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492294" w:rsidRDefault="00492294">
      <w:pPr>
        <w:rPr>
          <w:color w:val="000000"/>
          <w:sz w:val="88"/>
          <w:szCs w:val="88"/>
        </w:rPr>
      </w:pPr>
      <w:bookmarkStart w:id="0" w:name="_9orduc73e7pb" w:colFirst="0" w:colLast="0"/>
      <w:bookmarkEnd w:id="0"/>
    </w:p>
    <w:p w14:paraId="00000002" w14:textId="77777777" w:rsidR="00492294" w:rsidRDefault="00492294">
      <w:pPr>
        <w:jc w:val="center"/>
        <w:rPr>
          <w:color w:val="000000"/>
          <w:sz w:val="88"/>
          <w:szCs w:val="88"/>
        </w:rPr>
      </w:pPr>
    </w:p>
    <w:p w14:paraId="77C0FB30" w14:textId="77777777" w:rsidR="00E55727" w:rsidRDefault="00E55727">
      <w:pPr>
        <w:pStyle w:val="s4"/>
        <w:spacing w:before="0" w:beforeAutospacing="0" w:after="150" w:afterAutospacing="0"/>
        <w:jc w:val="center"/>
        <w:rPr>
          <w:rFonts w:ascii="-webkit-standard" w:hAnsi="-webkit-standard"/>
          <w:color w:val="000000"/>
          <w:sz w:val="27"/>
          <w:szCs w:val="27"/>
        </w:rPr>
      </w:pPr>
      <w:r>
        <w:rPr>
          <w:rStyle w:val="bumpedfont15"/>
          <w:rFonts w:ascii="-webkit-standard" w:hAnsi="-webkit-standard"/>
          <w:color w:val="000000"/>
          <w:sz w:val="27"/>
          <w:szCs w:val="27"/>
        </w:rPr>
        <w:t>Course Code: LCHS 4008</w:t>
      </w:r>
      <w:r>
        <w:rPr>
          <w:rFonts w:ascii="-webkit-standard" w:hAnsi="-webkit-standard"/>
          <w:color w:val="000000"/>
          <w:sz w:val="27"/>
          <w:szCs w:val="27"/>
        </w:rPr>
        <w:br/>
      </w:r>
      <w:r>
        <w:rPr>
          <w:rStyle w:val="bumpedfont15"/>
          <w:rFonts w:ascii="-webkit-standard" w:hAnsi="-webkit-standard"/>
          <w:color w:val="000000"/>
          <w:sz w:val="27"/>
          <w:szCs w:val="27"/>
        </w:rPr>
        <w:t>Course Title: Introduction to Public Health</w:t>
      </w:r>
    </w:p>
    <w:p w14:paraId="41716AC1" w14:textId="77777777" w:rsidR="00E55727" w:rsidRDefault="00E55727">
      <w:pPr>
        <w:pStyle w:val="s4"/>
        <w:spacing w:before="0" w:beforeAutospacing="0" w:after="150" w:afterAutospacing="0"/>
        <w:jc w:val="center"/>
        <w:rPr>
          <w:rFonts w:ascii="-webkit-standard" w:hAnsi="-webkit-standard"/>
          <w:color w:val="000000"/>
          <w:sz w:val="27"/>
          <w:szCs w:val="27"/>
        </w:rPr>
      </w:pPr>
      <w:r>
        <w:rPr>
          <w:rFonts w:ascii="-webkit-standard" w:hAnsi="-webkit-standard"/>
          <w:b/>
          <w:bCs/>
          <w:color w:val="000000"/>
          <w:sz w:val="36"/>
          <w:szCs w:val="36"/>
        </w:rPr>
        <w:br/>
      </w:r>
      <w:r>
        <w:rPr>
          <w:rStyle w:val="bumpedfont15"/>
          <w:rFonts w:ascii="-webkit-standard" w:hAnsi="-webkit-standard"/>
          <w:b/>
          <w:bCs/>
          <w:color w:val="000000"/>
          <w:sz w:val="36"/>
          <w:szCs w:val="36"/>
        </w:rPr>
        <w:t>Report on a Health Issue: Dementia</w:t>
      </w:r>
      <w:r>
        <w:rPr>
          <w:rFonts w:ascii="-webkit-standard" w:hAnsi="-webkit-standard"/>
          <w:b/>
          <w:bCs/>
          <w:color w:val="000000"/>
          <w:sz w:val="36"/>
          <w:szCs w:val="36"/>
        </w:rPr>
        <w:br/>
      </w:r>
      <w:r>
        <w:rPr>
          <w:rStyle w:val="bumpedfont15"/>
          <w:rFonts w:ascii="-webkit-standard" w:hAnsi="-webkit-standard"/>
          <w:b/>
          <w:bCs/>
          <w:color w:val="000000"/>
          <w:sz w:val="36"/>
          <w:szCs w:val="36"/>
        </w:rPr>
        <w:t>(Component 2)</w:t>
      </w:r>
    </w:p>
    <w:p w14:paraId="371953CB" w14:textId="77777777" w:rsidR="00E55727" w:rsidRDefault="00E55727">
      <w:pPr>
        <w:pStyle w:val="s4"/>
        <w:spacing w:before="0" w:beforeAutospacing="0" w:after="150" w:afterAutospacing="0"/>
        <w:jc w:val="center"/>
        <w:rPr>
          <w:rFonts w:ascii="-webkit-standard" w:hAnsi="-webkit-standard"/>
          <w:color w:val="000000"/>
          <w:sz w:val="27"/>
          <w:szCs w:val="27"/>
        </w:rPr>
      </w:pPr>
      <w:r>
        <w:rPr>
          <w:rFonts w:ascii="-webkit-standard" w:hAnsi="-webkit-standard"/>
          <w:color w:val="000000"/>
          <w:sz w:val="27"/>
          <w:szCs w:val="27"/>
        </w:rPr>
        <w:br/>
      </w:r>
      <w:r>
        <w:rPr>
          <w:rStyle w:val="bumpedfont15"/>
          <w:rFonts w:ascii="-webkit-standard" w:hAnsi="-webkit-standard"/>
          <w:color w:val="000000"/>
          <w:sz w:val="27"/>
          <w:szCs w:val="27"/>
        </w:rPr>
        <w:t xml:space="preserve">Student Name: </w:t>
      </w:r>
      <w:proofErr w:type="spellStart"/>
      <w:r>
        <w:rPr>
          <w:rStyle w:val="bumpedfont15"/>
          <w:rFonts w:ascii="-webkit-standard" w:hAnsi="-webkit-standard"/>
          <w:color w:val="000000"/>
          <w:sz w:val="27"/>
          <w:szCs w:val="27"/>
        </w:rPr>
        <w:t>Rabina</w:t>
      </w:r>
      <w:proofErr w:type="spellEnd"/>
      <w:r>
        <w:rPr>
          <w:rStyle w:val="bumpedfont15"/>
          <w:rFonts w:ascii="-webkit-standard" w:hAnsi="-webkit-standard"/>
          <w:color w:val="000000"/>
          <w:sz w:val="27"/>
          <w:szCs w:val="27"/>
        </w:rPr>
        <w:t xml:space="preserve"> </w:t>
      </w:r>
      <w:proofErr w:type="spellStart"/>
      <w:r>
        <w:rPr>
          <w:rStyle w:val="bumpedfont15"/>
          <w:rFonts w:ascii="-webkit-standard" w:hAnsi="-webkit-standard"/>
          <w:color w:val="000000"/>
          <w:sz w:val="27"/>
          <w:szCs w:val="27"/>
        </w:rPr>
        <w:t>Akhtar</w:t>
      </w:r>
      <w:proofErr w:type="spellEnd"/>
      <w:r>
        <w:rPr>
          <w:rFonts w:ascii="-webkit-standard" w:hAnsi="-webkit-standard"/>
          <w:color w:val="000000"/>
          <w:sz w:val="27"/>
          <w:szCs w:val="27"/>
        </w:rPr>
        <w:br/>
      </w:r>
      <w:r>
        <w:rPr>
          <w:rStyle w:val="bumpedfont15"/>
          <w:rFonts w:ascii="-webkit-standard" w:hAnsi="-webkit-standard"/>
          <w:color w:val="000000"/>
          <w:sz w:val="27"/>
          <w:szCs w:val="27"/>
        </w:rPr>
        <w:t>Student ID: 2421435</w:t>
      </w:r>
    </w:p>
    <w:p w14:paraId="61B058E1" w14:textId="77777777" w:rsidR="00E55727" w:rsidRDefault="00E55727">
      <w:pPr>
        <w:pStyle w:val="s4"/>
        <w:spacing w:before="0" w:beforeAutospacing="0" w:after="150" w:afterAutospacing="0"/>
        <w:jc w:val="center"/>
        <w:rPr>
          <w:rFonts w:ascii="-webkit-standard" w:hAnsi="-webkit-standard"/>
          <w:color w:val="000000"/>
          <w:sz w:val="27"/>
          <w:szCs w:val="27"/>
        </w:rPr>
      </w:pPr>
      <w:r>
        <w:rPr>
          <w:rFonts w:ascii="-webkit-standard" w:hAnsi="-webkit-standard"/>
          <w:color w:val="000000"/>
          <w:sz w:val="27"/>
          <w:szCs w:val="27"/>
        </w:rPr>
        <w:br/>
      </w:r>
      <w:r>
        <w:rPr>
          <w:rStyle w:val="bumpedfont15"/>
          <w:rFonts w:ascii="-webkit-standard" w:hAnsi="-webkit-standard"/>
          <w:color w:val="000000"/>
          <w:sz w:val="27"/>
          <w:szCs w:val="27"/>
        </w:rPr>
        <w:t>Lecturer Name: Gillian Weaver</w:t>
      </w:r>
    </w:p>
    <w:p w14:paraId="454E8A2D" w14:textId="77777777" w:rsidR="00E55727" w:rsidRDefault="00E55727">
      <w:pPr>
        <w:pStyle w:val="s4"/>
        <w:spacing w:before="0" w:beforeAutospacing="0" w:after="150" w:afterAutospacing="0"/>
        <w:jc w:val="center"/>
        <w:rPr>
          <w:rFonts w:ascii="-webkit-standard" w:hAnsi="-webkit-standard"/>
          <w:color w:val="000000"/>
          <w:sz w:val="27"/>
          <w:szCs w:val="27"/>
        </w:rPr>
      </w:pPr>
      <w:r>
        <w:rPr>
          <w:rFonts w:ascii="-webkit-standard" w:hAnsi="-webkit-standard"/>
          <w:color w:val="000000"/>
          <w:sz w:val="27"/>
          <w:szCs w:val="27"/>
        </w:rPr>
        <w:br/>
      </w:r>
    </w:p>
    <w:p w14:paraId="7117C366" w14:textId="77777777" w:rsidR="00E55727" w:rsidRDefault="00E55727"/>
    <w:p w14:paraId="00000004" w14:textId="77777777" w:rsidR="00492294" w:rsidRDefault="00EA2F41">
      <w:pPr>
        <w:keepNext/>
        <w:pageBreakBefore/>
        <w:pBdr>
          <w:top w:val="nil"/>
          <w:left w:val="nil"/>
          <w:bottom w:val="nil"/>
          <w:right w:val="nil"/>
          <w:between w:val="nil"/>
        </w:pBdr>
        <w:spacing w:before="240" w:after="120"/>
        <w:jc w:val="center"/>
        <w:rPr>
          <w:b/>
          <w:bCs/>
          <w:color w:val="000000"/>
          <w:sz w:val="28"/>
          <w:szCs w:val="28"/>
        </w:rPr>
      </w:pPr>
      <w:r>
        <w:rPr>
          <w:b/>
          <w:bCs/>
          <w:color w:val="000000"/>
          <w:sz w:val="28"/>
          <w:szCs w:val="28"/>
        </w:rPr>
        <w:t>Table of Contents</w:t>
      </w:r>
    </w:p>
    <w:sdt>
      <w:sdtPr>
        <w:id w:val="305071551"/>
        <w:docPartObj>
          <w:docPartGallery w:val="Table of Contents"/>
          <w:docPartUnique/>
        </w:docPartObj>
      </w:sdtPr>
      <w:sdtEndPr/>
      <w:sdtContent>
        <w:p w14:paraId="00000005" w14:textId="77777777" w:rsidR="00492294" w:rsidRDefault="00EA2F41">
          <w:pPr>
            <w:pBdr>
              <w:top w:val="nil"/>
              <w:left w:val="nil"/>
              <w:bottom w:val="nil"/>
              <w:right w:val="nil"/>
              <w:between w:val="nil"/>
            </w:pBdr>
            <w:tabs>
              <w:tab w:val="right" w:pos="9360"/>
            </w:tabs>
            <w:rPr>
              <w:rFonts w:ascii="Calibri" w:eastAsia="Calibri" w:hAnsi="Calibri" w:cs="Calibri"/>
              <w:color w:val="000000"/>
              <w:sz w:val="22"/>
              <w:szCs w:val="22"/>
            </w:rPr>
          </w:pPr>
          <w:r>
            <w:fldChar w:fldCharType="begin"/>
          </w:r>
          <w:r>
            <w:instrText xml:space="preserve"> TOC \h \u \z \t "Heading 1,1,Heading 2,2,Heading 3,3,Heading 4,4,Heading 5,5,Heading 6,6,"</w:instrText>
          </w:r>
          <w:r>
            <w:fldChar w:fldCharType="separate"/>
          </w:r>
          <w:r>
            <w:rPr>
              <w:color w:val="000000"/>
            </w:rPr>
            <w:t>Introduction</w:t>
          </w:r>
          <w:r>
            <w:rPr>
              <w:color w:val="000000"/>
            </w:rPr>
            <w:tab/>
          </w:r>
          <w:r>
            <w:fldChar w:fldCharType="begin"/>
          </w:r>
          <w:r>
            <w:instrText xml:space="preserve"> PAGEREF _w8yfw6iautbn \h </w:instrText>
          </w:r>
          <w:r>
            <w:fldChar w:fldCharType="separate"/>
          </w:r>
          <w:r>
            <w:rPr>
              <w:color w:val="000000"/>
            </w:rPr>
            <w:t>3</w:t>
          </w:r>
          <w:r>
            <w:fldChar w:fldCharType="end"/>
          </w:r>
        </w:p>
        <w:p w14:paraId="00000006" w14:textId="77777777" w:rsidR="00492294" w:rsidRDefault="00EA2F41">
          <w:pPr>
            <w:pBdr>
              <w:top w:val="nil"/>
              <w:left w:val="nil"/>
              <w:bottom w:val="nil"/>
              <w:right w:val="nil"/>
              <w:between w:val="nil"/>
            </w:pBdr>
            <w:tabs>
              <w:tab w:val="right" w:pos="9360"/>
            </w:tabs>
            <w:rPr>
              <w:rFonts w:ascii="Calibri" w:eastAsia="Calibri" w:hAnsi="Calibri" w:cs="Calibri"/>
              <w:color w:val="000000"/>
              <w:sz w:val="22"/>
              <w:szCs w:val="22"/>
            </w:rPr>
          </w:pPr>
          <w:r>
            <w:rPr>
              <w:color w:val="000000"/>
            </w:rPr>
            <w:t>Control and Management Strategies</w:t>
          </w:r>
          <w:r>
            <w:rPr>
              <w:color w:val="000000"/>
            </w:rPr>
            <w:tab/>
          </w:r>
          <w:r>
            <w:fldChar w:fldCharType="begin"/>
          </w:r>
          <w:r>
            <w:instrText xml:space="preserve"> PAGEREF _3z2ud229jr8d \h </w:instrText>
          </w:r>
          <w:r>
            <w:fldChar w:fldCharType="separate"/>
          </w:r>
          <w:r>
            <w:rPr>
              <w:color w:val="000000"/>
            </w:rPr>
            <w:t>4</w:t>
          </w:r>
          <w:r>
            <w:fldChar w:fldCharType="end"/>
          </w:r>
        </w:p>
        <w:p w14:paraId="00000007" w14:textId="77777777" w:rsidR="00492294" w:rsidRDefault="00EA2F41">
          <w:pPr>
            <w:pBdr>
              <w:top w:val="nil"/>
              <w:left w:val="nil"/>
              <w:bottom w:val="nil"/>
              <w:right w:val="nil"/>
              <w:between w:val="nil"/>
            </w:pBdr>
            <w:tabs>
              <w:tab w:val="right" w:pos="9360"/>
            </w:tabs>
            <w:rPr>
              <w:rFonts w:ascii="Calibri" w:eastAsia="Calibri" w:hAnsi="Calibri" w:cs="Calibri"/>
              <w:color w:val="000000"/>
              <w:sz w:val="22"/>
              <w:szCs w:val="22"/>
            </w:rPr>
          </w:pPr>
          <w:r>
            <w:rPr>
              <w:color w:val="000000"/>
            </w:rPr>
            <w:t>Consequences of Dementia on Individuals, Families &amp; Communities</w:t>
          </w:r>
          <w:r>
            <w:rPr>
              <w:color w:val="000000"/>
            </w:rPr>
            <w:tab/>
          </w:r>
          <w:r>
            <w:fldChar w:fldCharType="begin"/>
          </w:r>
          <w:r>
            <w:instrText xml:space="preserve"> PAGEREF _hv0g1q35av \h </w:instrText>
          </w:r>
          <w:r>
            <w:fldChar w:fldCharType="separate"/>
          </w:r>
          <w:r>
            <w:rPr>
              <w:color w:val="000000"/>
            </w:rPr>
            <w:t>5</w:t>
          </w:r>
          <w:r>
            <w:fldChar w:fldCharType="end"/>
          </w:r>
        </w:p>
        <w:p w14:paraId="00000008" w14:textId="77777777" w:rsidR="00492294" w:rsidRDefault="00EA2F41">
          <w:pPr>
            <w:pBdr>
              <w:top w:val="nil"/>
              <w:left w:val="nil"/>
              <w:bottom w:val="nil"/>
              <w:right w:val="nil"/>
              <w:between w:val="nil"/>
            </w:pBdr>
            <w:tabs>
              <w:tab w:val="right" w:pos="9360"/>
            </w:tabs>
            <w:rPr>
              <w:rFonts w:ascii="Calibri" w:eastAsia="Calibri" w:hAnsi="Calibri" w:cs="Calibri"/>
              <w:color w:val="000000"/>
              <w:sz w:val="22"/>
              <w:szCs w:val="22"/>
            </w:rPr>
          </w:pPr>
          <w:r>
            <w:rPr>
              <w:color w:val="000000"/>
            </w:rPr>
            <w:t>Health and Social Care Support Services Needed</w:t>
          </w:r>
          <w:r>
            <w:rPr>
              <w:color w:val="000000"/>
            </w:rPr>
            <w:tab/>
          </w:r>
          <w:r>
            <w:fldChar w:fldCharType="begin"/>
          </w:r>
          <w:r>
            <w:instrText xml:space="preserve"> PAGEREF _8etmdn1rpp4d \h </w:instrText>
          </w:r>
          <w:r>
            <w:fldChar w:fldCharType="separate"/>
          </w:r>
          <w:r>
            <w:rPr>
              <w:color w:val="000000"/>
            </w:rPr>
            <w:t>5</w:t>
          </w:r>
          <w:r>
            <w:fldChar w:fldCharType="end"/>
          </w:r>
        </w:p>
        <w:p w14:paraId="00000009" w14:textId="77777777" w:rsidR="00492294" w:rsidRDefault="00EA2F41">
          <w:pPr>
            <w:pBdr>
              <w:top w:val="nil"/>
              <w:left w:val="nil"/>
              <w:bottom w:val="nil"/>
              <w:right w:val="nil"/>
              <w:between w:val="nil"/>
            </w:pBdr>
            <w:tabs>
              <w:tab w:val="right" w:pos="9360"/>
            </w:tabs>
            <w:rPr>
              <w:rFonts w:ascii="Calibri" w:eastAsia="Calibri" w:hAnsi="Calibri" w:cs="Calibri"/>
              <w:color w:val="000000"/>
              <w:sz w:val="22"/>
              <w:szCs w:val="22"/>
            </w:rPr>
          </w:pPr>
          <w:r>
            <w:rPr>
              <w:color w:val="000000"/>
            </w:rPr>
            <w:t>CONCLUSION</w:t>
          </w:r>
          <w:r>
            <w:rPr>
              <w:color w:val="000000"/>
            </w:rPr>
            <w:tab/>
          </w:r>
          <w:r>
            <w:fldChar w:fldCharType="begin"/>
          </w:r>
          <w:r>
            <w:instrText xml:space="preserve"> PAGEREF _mtsqeuj1phl9 \h </w:instrText>
          </w:r>
          <w:r>
            <w:fldChar w:fldCharType="separate"/>
          </w:r>
          <w:r>
            <w:rPr>
              <w:color w:val="000000"/>
            </w:rPr>
            <w:t>6</w:t>
          </w:r>
          <w:r>
            <w:fldChar w:fldCharType="end"/>
          </w:r>
        </w:p>
        <w:p w14:paraId="0000000A" w14:textId="77777777" w:rsidR="00492294" w:rsidRDefault="00EA2F41">
          <w:pPr>
            <w:pBdr>
              <w:top w:val="nil"/>
              <w:left w:val="nil"/>
              <w:bottom w:val="nil"/>
              <w:right w:val="nil"/>
              <w:between w:val="nil"/>
            </w:pBdr>
            <w:tabs>
              <w:tab w:val="right" w:pos="9360"/>
            </w:tabs>
            <w:rPr>
              <w:rFonts w:ascii="Calibri" w:eastAsia="Calibri" w:hAnsi="Calibri" w:cs="Calibri"/>
              <w:color w:val="000000"/>
              <w:sz w:val="22"/>
              <w:szCs w:val="22"/>
            </w:rPr>
          </w:pPr>
          <w:r>
            <w:rPr>
              <w:color w:val="000000"/>
            </w:rPr>
            <w:t>REFERENCES</w:t>
          </w:r>
          <w:r>
            <w:rPr>
              <w:color w:val="000000"/>
            </w:rPr>
            <w:tab/>
          </w:r>
          <w:r>
            <w:fldChar w:fldCharType="begin"/>
          </w:r>
          <w:r>
            <w:instrText xml:space="preserve"> PAGEREF _sfuic1t9an8u \h </w:instrText>
          </w:r>
          <w:r>
            <w:fldChar w:fldCharType="separate"/>
          </w:r>
          <w:r>
            <w:rPr>
              <w:color w:val="000000"/>
            </w:rPr>
            <w:t>8</w:t>
          </w:r>
          <w:r>
            <w:fldChar w:fldCharType="end"/>
          </w:r>
          <w:r>
            <w:fldChar w:fldCharType="end"/>
          </w:r>
        </w:p>
      </w:sdtContent>
    </w:sdt>
    <w:p w14:paraId="0000000B" w14:textId="77777777" w:rsidR="00492294" w:rsidRDefault="00492294">
      <w:pPr>
        <w:pBdr>
          <w:top w:val="nil"/>
          <w:left w:val="nil"/>
          <w:bottom w:val="nil"/>
          <w:right w:val="nil"/>
          <w:between w:val="nil"/>
        </w:pBdr>
        <w:tabs>
          <w:tab w:val="right" w:pos="9360"/>
        </w:tabs>
        <w:rPr>
          <w:color w:val="000000"/>
        </w:rPr>
      </w:pPr>
    </w:p>
    <w:p w14:paraId="0000000C" w14:textId="77777777" w:rsidR="00492294" w:rsidRDefault="00492294">
      <w:pPr>
        <w:rPr>
          <w:color w:val="000000"/>
        </w:rPr>
      </w:pPr>
    </w:p>
    <w:p w14:paraId="0000000D" w14:textId="77777777" w:rsidR="00492294" w:rsidRDefault="00492294">
      <w:pPr>
        <w:rPr>
          <w:color w:val="000000"/>
        </w:rPr>
      </w:pPr>
    </w:p>
    <w:p w14:paraId="0000000E" w14:textId="77777777" w:rsidR="00492294" w:rsidRDefault="00492294">
      <w:pPr>
        <w:rPr>
          <w:color w:val="000000"/>
        </w:rPr>
      </w:pPr>
    </w:p>
    <w:p w14:paraId="0000000F" w14:textId="77777777" w:rsidR="00492294" w:rsidRDefault="00EA2F41">
      <w:pPr>
        <w:pStyle w:val="Heading1"/>
        <w:numPr>
          <w:ilvl w:val="0"/>
          <w:numId w:val="1"/>
        </w:numPr>
      </w:pPr>
      <w:bookmarkStart w:id="1" w:name="_w8yfw6iautbn" w:colFirst="0" w:colLast="0"/>
      <w:bookmarkEnd w:id="1"/>
      <w:r>
        <w:br w:type="page"/>
      </w:r>
      <w:r>
        <w:lastRenderedPageBreak/>
        <w:t>Introduction</w:t>
      </w:r>
    </w:p>
    <w:p w14:paraId="00000010" w14:textId="77777777" w:rsidR="00492294" w:rsidRDefault="00EA2F41">
      <w:r>
        <w:t xml:space="preserve">Dementia is a set of progressive neurodegenerative disorders associated with worsening of cognitive functions that interfere with daily operations and independence. This disorder correlates to memory loss, reasoning and communication as well as behaviour and in most circumstances a significant impairment even in daily living acts. The clinically general nature of such disorder is long-term memory loss, loss of sense of place or place (orientation), ability to plan or </w:t>
      </w:r>
      <w:proofErr w:type="spellStart"/>
      <w:r>
        <w:t>organize</w:t>
      </w:r>
      <w:proofErr w:type="spellEnd"/>
      <w:r>
        <w:t xml:space="preserve"> activities, and a dramatic change in personality or mood. Dementia is prevalent among over 55 million individuals worldwide and the figure will continue to increase in the next few decades. One of the topical areas in terms of the public health in the UK is dementia, which affects nearly one million citizens today due to the ageing population (Alzheimer's Society, 2024).</w:t>
      </w:r>
    </w:p>
    <w:p w14:paraId="00000011" w14:textId="77777777" w:rsidR="00492294" w:rsidRDefault="00492294"/>
    <w:p w14:paraId="00000012" w14:textId="77777777" w:rsidR="00492294" w:rsidRDefault="00EA2F41">
      <w:pPr>
        <w:rPr>
          <w:sz w:val="28"/>
          <w:szCs w:val="28"/>
        </w:rPr>
      </w:pPr>
      <w:r>
        <w:rPr>
          <w:b/>
          <w:bCs/>
          <w:sz w:val="28"/>
          <w:szCs w:val="28"/>
        </w:rPr>
        <w:t>Approaches Used to Measure and Monitor Dementia</w:t>
      </w:r>
    </w:p>
    <w:p w14:paraId="00000013" w14:textId="77777777" w:rsidR="00492294" w:rsidRDefault="00EA2F41">
      <w:r>
        <w:t>The burden of dementia is not studied by quantitative data and epidemiological measures can provide information on the required topic. Incidence measures new cases of such cases per unit of time whereas prevalence in the number of persons living with the condition; Second One, the mortality rates and DALYs (Disability-Adjusted Life Years) are used to establish the disease burden of death and loss of health. The comparability between time and populations and the different populations as well as different age</w:t>
      </w:r>
      <w:r>
        <w:t xml:space="preserve"> groups is ensured by the use of the age-standardised rates hence is of paramount importance when planning on the resources and the progress of the public health. The trend of DALY shows that there is an increasing burden of dementia especially among the ageing fields of people around the globe (Liu et al., 2021).</w:t>
      </w:r>
    </w:p>
    <w:p w14:paraId="00000014" w14:textId="77777777" w:rsidR="00492294" w:rsidRDefault="00EA2F41">
      <w:pPr>
        <w:ind w:firstLine="720"/>
      </w:pPr>
      <w:r>
        <w:t>NHS Digital published primary care dementia Data and recorded diagnoses are also significant sources of surveillance in the UK since the relationship experiences over 487,000 recorded diagnosis as well as the diagnosis rates of people aged 65 and above are being followed (NHS England, 2024). The WHO Global Dementia Observatory would be a list of indicators worldwide that would be used to monitor the progress in relation to global targets to inform policy and national undertakings.</w:t>
      </w:r>
    </w:p>
    <w:p w14:paraId="00000015" w14:textId="77777777" w:rsidR="00492294" w:rsidRDefault="00EA2F41">
      <w:pPr>
        <w:ind w:firstLine="720"/>
      </w:pPr>
      <w:r>
        <w:t xml:space="preserve">The diagnosis and assessment is determined through cognitive tests through the help of the Mini-Mental State Examination (MMSE) and Montreal Cognitive Assessment (MoCA) which are supplemented by GP cognitive testing and </w:t>
      </w:r>
      <w:proofErr w:type="spellStart"/>
      <w:r>
        <w:t>neuroimaging</w:t>
      </w:r>
      <w:proofErr w:type="spellEnd"/>
      <w:r>
        <w:t xml:space="preserve"> (MRI/CT) (</w:t>
      </w:r>
      <w:proofErr w:type="spellStart"/>
      <w:r>
        <w:t>Scuteri</w:t>
      </w:r>
      <w:proofErr w:type="spellEnd"/>
      <w:r>
        <w:t xml:space="preserve"> et al., 2021). Mechanism of Evaluation is provided in the Services of Memory Assessment.</w:t>
      </w:r>
    </w:p>
    <w:p w14:paraId="00000016" w14:textId="77777777" w:rsidR="00492294" w:rsidRDefault="00492294"/>
    <w:p w14:paraId="00000017" w14:textId="77777777" w:rsidR="00492294" w:rsidRDefault="00EA2F41">
      <w:r>
        <w:t>The combination of all these systems aids in enhancing care services and preventive interventions planning, promotion of longitudinal tracking, and early detection.</w:t>
      </w:r>
    </w:p>
    <w:p w14:paraId="00000018" w14:textId="77777777" w:rsidR="00492294" w:rsidRDefault="00492294">
      <w:bookmarkStart w:id="2" w:name="_3z2ud229jr8d" w:colFirst="0" w:colLast="0"/>
      <w:bookmarkEnd w:id="2"/>
    </w:p>
    <w:p w14:paraId="00000019" w14:textId="77777777" w:rsidR="00492294" w:rsidRDefault="00EA2F41">
      <w:pPr>
        <w:pStyle w:val="Heading1"/>
        <w:numPr>
          <w:ilvl w:val="0"/>
          <w:numId w:val="1"/>
        </w:numPr>
      </w:pPr>
      <w:r>
        <w:t>Control and Management Strategies</w:t>
      </w:r>
    </w:p>
    <w:p w14:paraId="0000001A" w14:textId="77777777" w:rsidR="00492294" w:rsidRDefault="00EA2F41">
      <w:r>
        <w:t xml:space="preserve"> Dementia cannot be cured and hence activities of the public health are used to mitigate risks and manage them in order to delay the disease as well as </w:t>
      </w:r>
      <w:proofErr w:type="spellStart"/>
      <w:r>
        <w:t>minimizing</w:t>
      </w:r>
      <w:proofErr w:type="spellEnd"/>
      <w:r>
        <w:t xml:space="preserve"> the consequences. Primary prevention focuses on dealing with any risk factor that can be modified during the lifespan; some of these modifiable risk factors are: physical inactivity, smoking, diet, high blood pressure, diabetes, excessive use of alcohol; there is a certain connection between increasing the risk of developing dementia due to increased physical activity, and increasing the mental activity. The UK health promotion systems are concerned with preventative strategies, including the mid</w:t>
      </w:r>
      <w:r>
        <w:t xml:space="preserve">-life lifestyle advice and NHS campaigns, the priorities of which is the healthy lifestyle and cardiovascular risk prevention. These plans recognise that behavioural change can prevent or delay a substantial count of incidences of dementia theatrically (Collins, </w:t>
      </w:r>
      <w:proofErr w:type="spellStart"/>
      <w:r>
        <w:t>Silarova</w:t>
      </w:r>
      <w:proofErr w:type="spellEnd"/>
      <w:r>
        <w:t xml:space="preserve"> and Clare, 2019).</w:t>
      </w:r>
    </w:p>
    <w:p w14:paraId="0000001B" w14:textId="77777777" w:rsidR="00492294" w:rsidRDefault="00EA2F41">
      <w:pPr>
        <w:ind w:firstLine="720"/>
      </w:pPr>
      <w:r>
        <w:t>Secondary prevention puts the focus on the early detection. General practitioners conduct a screen of cognitive impairment and directed referral to Memory Clinics where formal assessment and diagnosis are made through NICE Guideline NG97 that also encourages person-centred assessment and referral criteria (McMahon, 2024).</w:t>
      </w:r>
    </w:p>
    <w:p w14:paraId="0000001C" w14:textId="77777777" w:rsidR="00492294" w:rsidRDefault="00EA2F41">
      <w:pPr>
        <w:ind w:firstLine="720"/>
      </w:pPr>
      <w:r>
        <w:t xml:space="preserve">The pharmacological interventions applied to alleviate the symptoms and delay or halt the progression of the disease comprise acetylcholinesterase inhibitors (e.g., </w:t>
      </w:r>
      <w:proofErr w:type="spellStart"/>
      <w:r>
        <w:t>donepezil</w:t>
      </w:r>
      <w:proofErr w:type="spellEnd"/>
      <w:r>
        <w:t xml:space="preserve">, </w:t>
      </w:r>
      <w:proofErr w:type="spellStart"/>
      <w:r>
        <w:t>rivastigmine</w:t>
      </w:r>
      <w:proofErr w:type="spellEnd"/>
      <w:r>
        <w:t>) as part of the tertiary treatment, other psychosocial interventions, individual care planning, and safeguards that mount the functionality and quality of life. The characteristics of optimal care are multidisciplinary care and regular reviews.</w:t>
      </w:r>
    </w:p>
    <w:p w14:paraId="0000001D" w14:textId="77777777" w:rsidR="00492294" w:rsidRDefault="00EA2F41">
      <w:pPr>
        <w:ind w:firstLine="432"/>
      </w:pPr>
      <w:r>
        <w:t>In the UK, the policy frameworks such as the Prime Ministers Challenge on Dementia 2020 and the commitment to the amelioration of the services in the NHS Long Term Plan are concentrating their efforts on increasing the number of the diagnoses, equitable care accessibility and better services delivery. However, restrictions have also not disappeared, including lateness of detecting and disparities of services and access to specialist care across areas.</w:t>
      </w:r>
    </w:p>
    <w:p w14:paraId="0000001E" w14:textId="77777777" w:rsidR="00492294" w:rsidRDefault="00492294">
      <w:bookmarkStart w:id="3" w:name="_hv0g1q35av" w:colFirst="0" w:colLast="0"/>
      <w:bookmarkEnd w:id="3"/>
    </w:p>
    <w:p w14:paraId="0000001F" w14:textId="77777777" w:rsidR="00492294" w:rsidRDefault="00EA2F41">
      <w:pPr>
        <w:pStyle w:val="Heading1"/>
        <w:numPr>
          <w:ilvl w:val="0"/>
          <w:numId w:val="1"/>
        </w:numPr>
      </w:pPr>
      <w:r>
        <w:lastRenderedPageBreak/>
        <w:t>Consequences of Dementia on Individuals, Families &amp; Communities</w:t>
      </w:r>
    </w:p>
    <w:p w14:paraId="00000020" w14:textId="77777777" w:rsidR="00492294" w:rsidRDefault="00EA2F41">
      <w:r>
        <w:t xml:space="preserve">The effects of Dementia among individuals are so immense in that, as cognitive impairment progressively deteriorates, memory, reasoning and communication among people is impaired thus in most instances causes people to lose a significant level of autonomy (Warren et al., 2024). Individuals may experience impaired judgement and this will expose them to risk of being injured or falling and forgetting themselves. Frailty, depression and infections are </w:t>
      </w:r>
      <w:proofErr w:type="spellStart"/>
      <w:r>
        <w:t>comorbidities</w:t>
      </w:r>
      <w:proofErr w:type="spellEnd"/>
      <w:r>
        <w:t>, which usually result in admissions and hasty functional deterioration in patients. All these effects make life lower, and put more burden on the needs of long-term care.</w:t>
      </w:r>
    </w:p>
    <w:p w14:paraId="00000021" w14:textId="77777777" w:rsidR="00492294" w:rsidRDefault="00EA2F41">
      <w:pPr>
        <w:ind w:firstLine="720"/>
      </w:pPr>
      <w:r>
        <w:t>Families and carers will be exposed to a lot of emotional and psychological pressure due to taking more responsibilities as part of daily support. The burden to carers can either be in terms of stress, burnout and low wellbeing whilst the financial burden arises as a result of decreased jobs and cost of care. This is because with the care giving practices, isolation is common because of the limitation of social life.</w:t>
      </w:r>
    </w:p>
    <w:p w14:paraId="00000022" w14:textId="77777777" w:rsidR="00492294" w:rsidRDefault="00EA2F41">
      <w:pPr>
        <w:ind w:firstLine="432"/>
      </w:pPr>
      <w:r>
        <w:t xml:space="preserve">At the societal level, dementia has enormous economic and service expenditure. This amounts to a cost to UK between £34.7 billion per year, as there is a heightened demand in the services of NHS and social care and long term assistance (GOV, UK, 2022). The condition is also one of the causes of loss of productivity and in addition it adds the strain on already strained health and social care systems through an ageing population. Stigma and inequalities in health also make the access to timely assistance to </w:t>
      </w:r>
      <w:r>
        <w:t>be complicated. These implications highlight the importance of possessing an effective planning of the public health in accordance with the early diagnosis, combined care and community-based care to manage the increasing demand.</w:t>
      </w:r>
    </w:p>
    <w:p w14:paraId="00000023" w14:textId="77777777" w:rsidR="00492294" w:rsidRDefault="00492294">
      <w:bookmarkStart w:id="4" w:name="_8etmdn1rpp4d" w:colFirst="0" w:colLast="0"/>
      <w:bookmarkEnd w:id="4"/>
    </w:p>
    <w:p w14:paraId="00000024" w14:textId="77777777" w:rsidR="00492294" w:rsidRDefault="00EA2F41">
      <w:pPr>
        <w:pStyle w:val="Heading1"/>
        <w:numPr>
          <w:ilvl w:val="0"/>
          <w:numId w:val="1"/>
        </w:numPr>
      </w:pPr>
      <w:r>
        <w:t>Health and Social Care Support Services Needed</w:t>
      </w:r>
    </w:p>
    <w:p w14:paraId="00000025" w14:textId="77777777" w:rsidR="00492294" w:rsidRDefault="00EA2F41">
      <w:r>
        <w:t>The UK possesses an exemplary dementia support system uniting the healthcare and social care in addition to voluntary services to improve the wellbeing of the person/people with dementia, safety, dignity, as well as their independence. The primary care (through the examination of GP) is the first touch point in the diagnosis, continuity and referral to Memory Assessment Services and specialist teams, which is necessary to guarantee the proper timeliness and continuity of care. Community nursing also provide</w:t>
      </w:r>
      <w:r>
        <w:t xml:space="preserve">s home based services to the individuals and help in the management of their everyday needs and health related complications, reducing the number of situations of preventable </w:t>
      </w:r>
      <w:proofErr w:type="spellStart"/>
      <w:r>
        <w:t>hospitalization</w:t>
      </w:r>
      <w:proofErr w:type="spellEnd"/>
      <w:r>
        <w:t xml:space="preserve">. Multidisciplinary teams and Memory Assessment </w:t>
      </w:r>
      <w:r>
        <w:lastRenderedPageBreak/>
        <w:t>Services provide systematically examined tests and care designs, which are in line with the NICE on individualised and subsequent support. Mental health teams and specialist dementia units are present to offer treatment to complex behaviour and psychological symptoms, and a</w:t>
      </w:r>
      <w:r>
        <w:t xml:space="preserve">cute hospital service to treat </w:t>
      </w:r>
      <w:proofErr w:type="spellStart"/>
      <w:r>
        <w:t>comorbidities</w:t>
      </w:r>
      <w:proofErr w:type="spellEnd"/>
      <w:r>
        <w:t xml:space="preserve"> and offer immediate care. Palliative and end-of-life disease treatment models have ensured comfort and dignity in the sophisticated level treatment (NHS, 2023).</w:t>
      </w:r>
    </w:p>
    <w:p w14:paraId="00000026" w14:textId="77777777" w:rsidR="00492294" w:rsidRDefault="00EA2F41">
      <w:pPr>
        <w:ind w:firstLine="432"/>
      </w:pPr>
      <w:r>
        <w:t>The everyday needs are addressed by social care services: personal care assistance, modifying the home, day centres, residential/nursing homes assistance helps to retain the quality of life and safety, and particularly in the situation where the independence is lost. Social workers and respite care provide relief and planning to the families (</w:t>
      </w:r>
      <w:proofErr w:type="spellStart"/>
      <w:r>
        <w:t>Gavarskhar</w:t>
      </w:r>
      <w:proofErr w:type="spellEnd"/>
      <w:r>
        <w:t xml:space="preserve">, </w:t>
      </w:r>
      <w:proofErr w:type="spellStart"/>
      <w:r>
        <w:t>Gharibi</w:t>
      </w:r>
      <w:proofErr w:type="spellEnd"/>
      <w:r>
        <w:t xml:space="preserve"> and </w:t>
      </w:r>
      <w:proofErr w:type="spellStart"/>
      <w:r>
        <w:t>Dadgar</w:t>
      </w:r>
      <w:proofErr w:type="spellEnd"/>
      <w:r>
        <w:t>, 2022). The carer services are the source of emotional relaxation and elevated coping. The local community initiatives such as dementia-friendly groups and memory cafes offer these social engagements and wellbeing.</w:t>
      </w:r>
    </w:p>
    <w:p w14:paraId="00000027" w14:textId="77777777" w:rsidR="00492294" w:rsidRDefault="00EA2F41">
      <w:pPr>
        <w:ind w:firstLine="432"/>
      </w:pPr>
      <w:r>
        <w:t>Voluntary organisations support networks provide information, and advocate gap bridging of formal services and assist people activity navigating through the care pathway process. These include the examples of Alzheimer Society and Age UK. This, however, does not mean that the lack of evenness in service delivery based on geographic location and dearth of human resource is not a key challenge to service sustainability and accessibility to the disadvantaged.</w:t>
      </w:r>
    </w:p>
    <w:p w14:paraId="00000028" w14:textId="77777777" w:rsidR="00492294" w:rsidRDefault="00492294">
      <w:bookmarkStart w:id="5" w:name="_mtsqeuj1phl9" w:colFirst="0" w:colLast="0"/>
      <w:bookmarkEnd w:id="5"/>
    </w:p>
    <w:p w14:paraId="00000029" w14:textId="77777777" w:rsidR="00492294" w:rsidRDefault="00EA2F41">
      <w:pPr>
        <w:pStyle w:val="Heading1"/>
        <w:numPr>
          <w:ilvl w:val="0"/>
          <w:numId w:val="1"/>
        </w:numPr>
      </w:pPr>
      <w:r>
        <w:t>CONCLUSION</w:t>
      </w:r>
    </w:p>
    <w:p w14:paraId="0000002A" w14:textId="77777777" w:rsidR="00492294" w:rsidRDefault="00EA2F41">
      <w:r>
        <w:t>Dementia issue has remained a critical and growing concern among the general population due to its prevalence and the aging of the population in the UK and the rest of the world. The knowledge of the disease trend, the strategies to prevent, diagnose, and manage the disease will be facilitated with proper measurement and observation which will help to reduce the effects of the disease. The effects of consequences are far-reaching on individuals, families, and health care systems, and the need to establish s</w:t>
      </w:r>
      <w:r>
        <w:t>trong support mechanisms, including inbuilt health and social care services. As an integrated strategy that draws this early intervention, long-term planning, and community-based care model, dementia must be addressed to enhance the quality of life of the people, encourage modality, and ensure that the activities where service is provided to individuals is evenly distributed within all populations.</w:t>
      </w:r>
    </w:p>
    <w:p w14:paraId="0000002B" w14:textId="77777777" w:rsidR="00492294" w:rsidRDefault="00EA2F41">
      <w:pPr>
        <w:pStyle w:val="Heading1"/>
        <w:numPr>
          <w:ilvl w:val="0"/>
          <w:numId w:val="1"/>
        </w:numPr>
        <w:ind w:left="0" w:firstLine="0"/>
      </w:pPr>
      <w:bookmarkStart w:id="6" w:name="_sfuic1t9an8u" w:colFirst="0" w:colLast="0"/>
      <w:bookmarkEnd w:id="6"/>
      <w:r>
        <w:br w:type="page"/>
      </w:r>
      <w:r>
        <w:t>REFERENCES</w:t>
      </w:r>
    </w:p>
    <w:p w14:paraId="0000002C" w14:textId="77777777" w:rsidR="00492294" w:rsidRDefault="00EA2F41">
      <w:pPr>
        <w:numPr>
          <w:ilvl w:val="0"/>
          <w:numId w:val="1"/>
        </w:numPr>
        <w:spacing w:after="240" w:line="240" w:lineRule="auto"/>
        <w:rPr>
          <w:color w:val="000000"/>
        </w:rPr>
      </w:pPr>
      <w:r>
        <w:rPr>
          <w:color w:val="000000"/>
        </w:rPr>
        <w:t xml:space="preserve">Alzheimer's Society (2024). </w:t>
      </w:r>
      <w:r>
        <w:rPr>
          <w:i/>
          <w:iCs/>
          <w:color w:val="000000"/>
        </w:rPr>
        <w:t>How many people have dementia in the UK?</w:t>
      </w:r>
      <w:r>
        <w:rPr>
          <w:color w:val="000000"/>
        </w:rPr>
        <w:t xml:space="preserve"> [online] www.alzheimers.org.uk. Available at: </w:t>
      </w:r>
      <w:hyperlink r:id="rId7">
        <w:r>
          <w:rPr>
            <w:color w:val="000080"/>
            <w:u w:val="single"/>
          </w:rPr>
          <w:t>https://www.alzheimers.org.uk/blog/how-many-people-have-dementia-uk</w:t>
        </w:r>
      </w:hyperlink>
      <w:r>
        <w:rPr>
          <w:color w:val="000000"/>
        </w:rPr>
        <w:t xml:space="preserve">. </w:t>
      </w:r>
    </w:p>
    <w:p w14:paraId="0000002D" w14:textId="77777777" w:rsidR="00492294" w:rsidRDefault="00EA2F41">
      <w:pPr>
        <w:numPr>
          <w:ilvl w:val="0"/>
          <w:numId w:val="1"/>
        </w:numPr>
        <w:spacing w:after="240" w:line="240" w:lineRule="auto"/>
        <w:rPr>
          <w:color w:val="000000"/>
        </w:rPr>
      </w:pPr>
      <w:r>
        <w:rPr>
          <w:color w:val="000000"/>
        </w:rPr>
        <w:t xml:space="preserve">Collins, R., </w:t>
      </w:r>
      <w:proofErr w:type="spellStart"/>
      <w:r>
        <w:rPr>
          <w:color w:val="000000"/>
        </w:rPr>
        <w:t>Silarova</w:t>
      </w:r>
      <w:proofErr w:type="spellEnd"/>
      <w:r>
        <w:rPr>
          <w:color w:val="000000"/>
        </w:rPr>
        <w:t xml:space="preserve">, B. and Clare, L. (2019). Dementia Primary Prevention Policies and Strategies and Their Local Implementation: A Scoping Review Using England as a Case Study. </w:t>
      </w:r>
      <w:r>
        <w:rPr>
          <w:i/>
          <w:iCs/>
          <w:color w:val="000000"/>
        </w:rPr>
        <w:t>Journal of Alzheimer’s Disease</w:t>
      </w:r>
      <w:r>
        <w:rPr>
          <w:color w:val="000000"/>
        </w:rPr>
        <w:t xml:space="preserve">, 70(1), pp.1–16. </w:t>
      </w:r>
      <w:proofErr w:type="spellStart"/>
      <w:r>
        <w:rPr>
          <w:color w:val="000000"/>
        </w:rPr>
        <w:t>doi</w:t>
      </w:r>
      <w:proofErr w:type="spellEnd"/>
      <w:r>
        <w:rPr>
          <w:color w:val="000000"/>
        </w:rPr>
        <w:t xml:space="preserve">: </w:t>
      </w:r>
      <w:hyperlink r:id="rId8">
        <w:r>
          <w:rPr>
            <w:color w:val="000080"/>
            <w:u w:val="single"/>
          </w:rPr>
          <w:t>https://doi.org/10.3233/jad-180608</w:t>
        </w:r>
      </w:hyperlink>
      <w:r>
        <w:rPr>
          <w:color w:val="000000"/>
        </w:rPr>
        <w:t xml:space="preserve">. </w:t>
      </w:r>
    </w:p>
    <w:p w14:paraId="0000002E" w14:textId="77777777" w:rsidR="00492294" w:rsidRDefault="00EA2F41">
      <w:pPr>
        <w:numPr>
          <w:ilvl w:val="0"/>
          <w:numId w:val="1"/>
        </w:numPr>
        <w:spacing w:after="240" w:line="240" w:lineRule="auto"/>
        <w:rPr>
          <w:color w:val="000000"/>
        </w:rPr>
      </w:pPr>
      <w:proofErr w:type="spellStart"/>
      <w:r>
        <w:rPr>
          <w:color w:val="000000"/>
        </w:rPr>
        <w:t>Gavarskhar</w:t>
      </w:r>
      <w:proofErr w:type="spellEnd"/>
      <w:r>
        <w:rPr>
          <w:color w:val="000000"/>
        </w:rPr>
        <w:t xml:space="preserve">, F., </w:t>
      </w:r>
      <w:proofErr w:type="spellStart"/>
      <w:r>
        <w:rPr>
          <w:color w:val="000000"/>
        </w:rPr>
        <w:t>Gharibi</w:t>
      </w:r>
      <w:proofErr w:type="spellEnd"/>
      <w:r>
        <w:rPr>
          <w:color w:val="000000"/>
        </w:rPr>
        <w:t xml:space="preserve">, F. and </w:t>
      </w:r>
      <w:proofErr w:type="spellStart"/>
      <w:r>
        <w:rPr>
          <w:color w:val="000000"/>
        </w:rPr>
        <w:t>Dadgar</w:t>
      </w:r>
      <w:proofErr w:type="spellEnd"/>
      <w:r>
        <w:rPr>
          <w:color w:val="000000"/>
        </w:rPr>
        <w:t xml:space="preserve">, E. (2022). Care services for older persons: A scoping review. </w:t>
      </w:r>
      <w:r>
        <w:rPr>
          <w:i/>
          <w:iCs/>
          <w:color w:val="000000"/>
        </w:rPr>
        <w:t>Malaysian Family Physician</w:t>
      </w:r>
      <w:r>
        <w:rPr>
          <w:color w:val="000000"/>
        </w:rPr>
        <w:t xml:space="preserve">, 17(2), pp.22–37. </w:t>
      </w:r>
      <w:proofErr w:type="spellStart"/>
      <w:r>
        <w:rPr>
          <w:color w:val="000000"/>
        </w:rPr>
        <w:t>doi</w:t>
      </w:r>
      <w:proofErr w:type="spellEnd"/>
      <w:r>
        <w:rPr>
          <w:color w:val="000000"/>
        </w:rPr>
        <w:t xml:space="preserve">: </w:t>
      </w:r>
      <w:hyperlink r:id="rId9">
        <w:r>
          <w:rPr>
            <w:color w:val="000080"/>
            <w:u w:val="single"/>
          </w:rPr>
          <w:t>https://doi.org/10.51866/rv1221</w:t>
        </w:r>
      </w:hyperlink>
      <w:r>
        <w:rPr>
          <w:color w:val="000000"/>
        </w:rPr>
        <w:t xml:space="preserve">. </w:t>
      </w:r>
    </w:p>
    <w:p w14:paraId="0000002F" w14:textId="77777777" w:rsidR="00492294" w:rsidRDefault="00EA2F41">
      <w:pPr>
        <w:numPr>
          <w:ilvl w:val="0"/>
          <w:numId w:val="1"/>
        </w:numPr>
        <w:spacing w:after="240" w:line="240" w:lineRule="auto"/>
        <w:rPr>
          <w:color w:val="000000"/>
        </w:rPr>
      </w:pPr>
      <w:r>
        <w:rPr>
          <w:color w:val="000000"/>
        </w:rPr>
        <w:t xml:space="preserve">GOV, UK (2022). </w:t>
      </w:r>
      <w:r>
        <w:rPr>
          <w:i/>
          <w:iCs/>
          <w:color w:val="000000"/>
        </w:rPr>
        <w:t>Dementia: Applying All Our Health</w:t>
      </w:r>
      <w:r>
        <w:rPr>
          <w:color w:val="000000"/>
        </w:rPr>
        <w:t xml:space="preserve">. [online] GOV.UK. Available at: </w:t>
      </w:r>
      <w:hyperlink r:id="rId10">
        <w:r>
          <w:rPr>
            <w:color w:val="000080"/>
            <w:u w:val="single"/>
          </w:rPr>
          <w:t>https://www.gov.uk/government/publications/dementia-applying-all-our-health/dementia-applying-all-our-health</w:t>
        </w:r>
      </w:hyperlink>
      <w:r>
        <w:rPr>
          <w:color w:val="000000"/>
        </w:rPr>
        <w:t xml:space="preserve">. </w:t>
      </w:r>
    </w:p>
    <w:p w14:paraId="00000030" w14:textId="77777777" w:rsidR="00492294" w:rsidRDefault="00EA2F41">
      <w:pPr>
        <w:numPr>
          <w:ilvl w:val="0"/>
          <w:numId w:val="1"/>
        </w:numPr>
        <w:spacing w:after="240" w:line="240" w:lineRule="auto"/>
        <w:rPr>
          <w:color w:val="000000"/>
        </w:rPr>
      </w:pPr>
      <w:r>
        <w:rPr>
          <w:color w:val="000000"/>
        </w:rPr>
        <w:t xml:space="preserve">Liu, W., Deng , W., Gong , X., Ou, J., </w:t>
      </w:r>
      <w:proofErr w:type="spellStart"/>
      <w:r>
        <w:rPr>
          <w:color w:val="000000"/>
        </w:rPr>
        <w:t>Yu</w:t>
      </w:r>
      <w:proofErr w:type="spellEnd"/>
      <w:r>
        <w:rPr>
          <w:color w:val="000000"/>
        </w:rPr>
        <w:t xml:space="preserve">, S. and Chen, S. (2021). Global burden of Alzheimer’s disease and other dementias in adults aged 65 years and over, and health inequality related to SDI, 1990–2021: analysis of data from GBD 2021 | BMC Public Health. </w:t>
      </w:r>
      <w:proofErr w:type="spellStart"/>
      <w:r>
        <w:rPr>
          <w:i/>
          <w:iCs/>
          <w:color w:val="000000"/>
        </w:rPr>
        <w:t>Rdcu.be</w:t>
      </w:r>
      <w:proofErr w:type="spellEnd"/>
      <w:r>
        <w:rPr>
          <w:color w:val="000000"/>
        </w:rPr>
        <w:t xml:space="preserve">. [online] </w:t>
      </w:r>
      <w:proofErr w:type="spellStart"/>
      <w:r>
        <w:rPr>
          <w:color w:val="000000"/>
        </w:rPr>
        <w:t>doi</w:t>
      </w:r>
      <w:proofErr w:type="spellEnd"/>
      <w:r>
        <w:rPr>
          <w:color w:val="000000"/>
        </w:rPr>
        <w:t xml:space="preserve">: </w:t>
      </w:r>
      <w:hyperlink r:id="rId11">
        <w:r>
          <w:rPr>
            <w:color w:val="000080"/>
            <w:u w:val="single"/>
          </w:rPr>
          <w:t>https://doi.org/10.1186/s12889-025-22378-z</w:t>
        </w:r>
      </w:hyperlink>
      <w:r>
        <w:rPr>
          <w:color w:val="000000"/>
        </w:rPr>
        <w:t xml:space="preserve">. </w:t>
      </w:r>
    </w:p>
    <w:p w14:paraId="00000031" w14:textId="77777777" w:rsidR="00492294" w:rsidRDefault="00EA2F41">
      <w:pPr>
        <w:numPr>
          <w:ilvl w:val="0"/>
          <w:numId w:val="1"/>
        </w:numPr>
        <w:spacing w:after="240" w:line="240" w:lineRule="auto"/>
        <w:rPr>
          <w:color w:val="000000"/>
        </w:rPr>
      </w:pPr>
      <w:r>
        <w:rPr>
          <w:color w:val="000000"/>
        </w:rPr>
        <w:t xml:space="preserve">McMahon, D.J. (2024). </w:t>
      </w:r>
      <w:r>
        <w:rPr>
          <w:i/>
          <w:iCs/>
          <w:color w:val="000000"/>
        </w:rPr>
        <w:t>Acute assessments in stroke care: clinical guidance on cognitive testing, patients’ perceptions, and accuracy of diagnostic scoring systems</w:t>
      </w:r>
      <w:r>
        <w:rPr>
          <w:color w:val="000000"/>
        </w:rPr>
        <w:t xml:space="preserve">. Available at: </w:t>
      </w:r>
      <w:hyperlink r:id="rId12">
        <w:r>
          <w:rPr>
            <w:color w:val="000080"/>
            <w:u w:val="single"/>
          </w:rPr>
          <w:t>https://theses.gla.ac.uk/84198/</w:t>
        </w:r>
      </w:hyperlink>
      <w:r>
        <w:rPr>
          <w:color w:val="000000"/>
        </w:rPr>
        <w:t xml:space="preserve">. </w:t>
      </w:r>
    </w:p>
    <w:p w14:paraId="00000032" w14:textId="77777777" w:rsidR="00492294" w:rsidRDefault="00EA2F41">
      <w:pPr>
        <w:numPr>
          <w:ilvl w:val="0"/>
          <w:numId w:val="1"/>
        </w:numPr>
        <w:spacing w:after="240" w:line="240" w:lineRule="auto"/>
        <w:rPr>
          <w:color w:val="000000"/>
        </w:rPr>
      </w:pPr>
      <w:r>
        <w:rPr>
          <w:color w:val="000000"/>
        </w:rPr>
        <w:t xml:space="preserve">NHS (2023). </w:t>
      </w:r>
      <w:r>
        <w:rPr>
          <w:i/>
          <w:iCs/>
          <w:color w:val="000000"/>
        </w:rPr>
        <w:t>Dementia, social services and the NHS</w:t>
      </w:r>
      <w:r>
        <w:rPr>
          <w:color w:val="000000"/>
        </w:rPr>
        <w:t xml:space="preserve">. [online] nhs.uk. Available at: </w:t>
      </w:r>
      <w:hyperlink r:id="rId13">
        <w:r>
          <w:rPr>
            <w:color w:val="000080"/>
            <w:u w:val="single"/>
          </w:rPr>
          <w:t>https://www.nhs.uk/conditions/dementia/care-and-support/social-services-and-the-nhs/</w:t>
        </w:r>
      </w:hyperlink>
      <w:r>
        <w:rPr>
          <w:color w:val="000000"/>
        </w:rPr>
        <w:t xml:space="preserve">. </w:t>
      </w:r>
    </w:p>
    <w:p w14:paraId="00000033" w14:textId="77777777" w:rsidR="00492294" w:rsidRDefault="00EA2F41">
      <w:pPr>
        <w:numPr>
          <w:ilvl w:val="0"/>
          <w:numId w:val="1"/>
        </w:numPr>
        <w:spacing w:after="240" w:line="240" w:lineRule="auto"/>
        <w:rPr>
          <w:color w:val="000000"/>
        </w:rPr>
      </w:pPr>
      <w:r>
        <w:rPr>
          <w:color w:val="000000"/>
        </w:rPr>
        <w:t xml:space="preserve">NHS England (2024). </w:t>
      </w:r>
      <w:r>
        <w:rPr>
          <w:i/>
          <w:iCs/>
          <w:color w:val="000000"/>
        </w:rPr>
        <w:t>Primary Care Dementia Data, June 2024</w:t>
      </w:r>
      <w:r>
        <w:rPr>
          <w:color w:val="000000"/>
        </w:rPr>
        <w:t xml:space="preserve">. [online] NHS England Digital. Available at: </w:t>
      </w:r>
      <w:hyperlink r:id="rId14">
        <w:r>
          <w:rPr>
            <w:color w:val="000080"/>
            <w:u w:val="single"/>
          </w:rPr>
          <w:t>https://digital.nhs.uk/data-and-information/publications/statistical/primary-care-dementia-data/june-2024</w:t>
        </w:r>
      </w:hyperlink>
      <w:r>
        <w:rPr>
          <w:color w:val="000000"/>
        </w:rPr>
        <w:t xml:space="preserve">. </w:t>
      </w:r>
    </w:p>
    <w:p w14:paraId="00000034" w14:textId="77777777" w:rsidR="00492294" w:rsidRDefault="00EA2F41">
      <w:pPr>
        <w:numPr>
          <w:ilvl w:val="0"/>
          <w:numId w:val="1"/>
        </w:numPr>
        <w:spacing w:after="240" w:line="240" w:lineRule="auto"/>
        <w:rPr>
          <w:color w:val="000000"/>
        </w:rPr>
      </w:pPr>
      <w:proofErr w:type="spellStart"/>
      <w:r>
        <w:rPr>
          <w:color w:val="000000"/>
        </w:rPr>
        <w:t>Scuteri</w:t>
      </w:r>
      <w:proofErr w:type="spellEnd"/>
      <w:r>
        <w:rPr>
          <w:color w:val="000000"/>
        </w:rPr>
        <w:t xml:space="preserve">, A., </w:t>
      </w:r>
      <w:proofErr w:type="spellStart"/>
      <w:r>
        <w:rPr>
          <w:color w:val="000000"/>
        </w:rPr>
        <w:t>Benetos</w:t>
      </w:r>
      <w:proofErr w:type="spellEnd"/>
      <w:r>
        <w:rPr>
          <w:color w:val="000000"/>
        </w:rPr>
        <w:t xml:space="preserve">, A., Sierra, C., Coca, A., </w:t>
      </w:r>
      <w:proofErr w:type="spellStart"/>
      <w:r>
        <w:rPr>
          <w:color w:val="000000"/>
        </w:rPr>
        <w:t>Chicherio</w:t>
      </w:r>
      <w:proofErr w:type="spellEnd"/>
      <w:r>
        <w:rPr>
          <w:color w:val="000000"/>
        </w:rPr>
        <w:t xml:space="preserve">, C., </w:t>
      </w:r>
      <w:proofErr w:type="spellStart"/>
      <w:r>
        <w:rPr>
          <w:color w:val="000000"/>
        </w:rPr>
        <w:t>Frisoni</w:t>
      </w:r>
      <w:proofErr w:type="spellEnd"/>
      <w:r>
        <w:rPr>
          <w:color w:val="000000"/>
        </w:rPr>
        <w:t xml:space="preserve">, G.B., </w:t>
      </w:r>
      <w:proofErr w:type="spellStart"/>
      <w:r>
        <w:rPr>
          <w:color w:val="000000"/>
        </w:rPr>
        <w:t>Gasecki</w:t>
      </w:r>
      <w:proofErr w:type="spellEnd"/>
      <w:r>
        <w:rPr>
          <w:color w:val="000000"/>
        </w:rPr>
        <w:t xml:space="preserve">, D., </w:t>
      </w:r>
      <w:proofErr w:type="spellStart"/>
      <w:r>
        <w:rPr>
          <w:color w:val="000000"/>
        </w:rPr>
        <w:t>Hering</w:t>
      </w:r>
      <w:proofErr w:type="spellEnd"/>
      <w:r>
        <w:rPr>
          <w:color w:val="000000"/>
        </w:rPr>
        <w:t xml:space="preserve">, D., </w:t>
      </w:r>
      <w:proofErr w:type="spellStart"/>
      <w:r>
        <w:rPr>
          <w:color w:val="000000"/>
        </w:rPr>
        <w:t>Lovic</w:t>
      </w:r>
      <w:proofErr w:type="spellEnd"/>
      <w:r>
        <w:rPr>
          <w:color w:val="000000"/>
        </w:rPr>
        <w:t xml:space="preserve">, D., </w:t>
      </w:r>
      <w:proofErr w:type="spellStart"/>
      <w:r>
        <w:rPr>
          <w:color w:val="000000"/>
        </w:rPr>
        <w:t>Manios</w:t>
      </w:r>
      <w:proofErr w:type="spellEnd"/>
      <w:r>
        <w:rPr>
          <w:color w:val="000000"/>
        </w:rPr>
        <w:t xml:space="preserve">, E., </w:t>
      </w:r>
      <w:proofErr w:type="spellStart"/>
      <w:r>
        <w:rPr>
          <w:color w:val="000000"/>
        </w:rPr>
        <w:t>Petrovic</w:t>
      </w:r>
      <w:proofErr w:type="spellEnd"/>
      <w:r>
        <w:rPr>
          <w:color w:val="000000"/>
        </w:rPr>
        <w:t xml:space="preserve">, M., </w:t>
      </w:r>
      <w:proofErr w:type="spellStart"/>
      <w:r>
        <w:rPr>
          <w:color w:val="000000"/>
        </w:rPr>
        <w:t>Qiu</w:t>
      </w:r>
      <w:proofErr w:type="spellEnd"/>
      <w:r>
        <w:rPr>
          <w:color w:val="000000"/>
        </w:rPr>
        <w:t xml:space="preserve">, C., </w:t>
      </w:r>
      <w:proofErr w:type="spellStart"/>
      <w:r>
        <w:rPr>
          <w:color w:val="000000"/>
        </w:rPr>
        <w:t>Shenkin</w:t>
      </w:r>
      <w:proofErr w:type="spellEnd"/>
      <w:r>
        <w:rPr>
          <w:color w:val="000000"/>
        </w:rPr>
        <w:t xml:space="preserve">, S., </w:t>
      </w:r>
      <w:proofErr w:type="spellStart"/>
      <w:r>
        <w:rPr>
          <w:color w:val="000000"/>
        </w:rPr>
        <w:t>Tzourio</w:t>
      </w:r>
      <w:proofErr w:type="spellEnd"/>
      <w:r>
        <w:rPr>
          <w:color w:val="000000"/>
        </w:rPr>
        <w:t xml:space="preserve">, C., </w:t>
      </w:r>
      <w:proofErr w:type="spellStart"/>
      <w:r>
        <w:rPr>
          <w:color w:val="000000"/>
        </w:rPr>
        <w:t>Ungar</w:t>
      </w:r>
      <w:proofErr w:type="spellEnd"/>
      <w:r>
        <w:rPr>
          <w:color w:val="000000"/>
        </w:rPr>
        <w:t xml:space="preserve">, A., </w:t>
      </w:r>
      <w:proofErr w:type="spellStart"/>
      <w:r>
        <w:rPr>
          <w:color w:val="000000"/>
        </w:rPr>
        <w:t>Vicario</w:t>
      </w:r>
      <w:proofErr w:type="spellEnd"/>
      <w:r>
        <w:rPr>
          <w:color w:val="000000"/>
        </w:rPr>
        <w:t xml:space="preserve">, A., </w:t>
      </w:r>
      <w:proofErr w:type="spellStart"/>
      <w:r>
        <w:rPr>
          <w:color w:val="000000"/>
        </w:rPr>
        <w:t>Zaninelli</w:t>
      </w:r>
      <w:proofErr w:type="spellEnd"/>
      <w:r>
        <w:rPr>
          <w:color w:val="000000"/>
        </w:rPr>
        <w:t>, A. and Cunha, P.G. (2021). Routine assessment of cognitive function in older patients with hypertension seen by primary care physicians: why and how—a decision-making support from the working group on ‘hypertension and the brain’ of the European Society of Hypertension and from the European Geriatric Medicin</w:t>
      </w:r>
      <w:r>
        <w:rPr>
          <w:color w:val="000000"/>
        </w:rPr>
        <w:t xml:space="preserve">e Society. </w:t>
      </w:r>
      <w:r>
        <w:rPr>
          <w:i/>
          <w:iCs/>
          <w:color w:val="000000"/>
        </w:rPr>
        <w:t>Journal of Hypertension</w:t>
      </w:r>
      <w:r>
        <w:rPr>
          <w:color w:val="000000"/>
        </w:rPr>
        <w:t xml:space="preserve">, 39(1), pp.90–100. </w:t>
      </w:r>
      <w:proofErr w:type="spellStart"/>
      <w:r>
        <w:rPr>
          <w:color w:val="000000"/>
        </w:rPr>
        <w:t>doi</w:t>
      </w:r>
      <w:proofErr w:type="spellEnd"/>
      <w:r>
        <w:rPr>
          <w:color w:val="000000"/>
        </w:rPr>
        <w:t xml:space="preserve">: </w:t>
      </w:r>
      <w:hyperlink r:id="rId15">
        <w:r>
          <w:rPr>
            <w:color w:val="000080"/>
            <w:u w:val="single"/>
          </w:rPr>
          <w:t>https://doi.org/10.1097/hjh.0000000000002621</w:t>
        </w:r>
      </w:hyperlink>
      <w:r>
        <w:rPr>
          <w:color w:val="000000"/>
        </w:rPr>
        <w:t xml:space="preserve">. </w:t>
      </w:r>
    </w:p>
    <w:p w14:paraId="00000035" w14:textId="77777777" w:rsidR="00492294" w:rsidRDefault="00EA2F41">
      <w:pPr>
        <w:numPr>
          <w:ilvl w:val="0"/>
          <w:numId w:val="1"/>
        </w:numPr>
        <w:spacing w:after="240" w:line="240" w:lineRule="auto"/>
        <w:rPr>
          <w:color w:val="000000"/>
        </w:rPr>
      </w:pPr>
      <w:r>
        <w:rPr>
          <w:color w:val="000000"/>
        </w:rPr>
        <w:t xml:space="preserve">Warren, J., </w:t>
      </w:r>
      <w:proofErr w:type="spellStart"/>
      <w:r>
        <w:rPr>
          <w:color w:val="000000"/>
        </w:rPr>
        <w:t>Collinge</w:t>
      </w:r>
      <w:proofErr w:type="spellEnd"/>
      <w:r>
        <w:rPr>
          <w:color w:val="000000"/>
        </w:rPr>
        <w:t xml:space="preserve">, J., Fox, N., Mead, S., Mummery, C., Rohrer, J., </w:t>
      </w:r>
      <w:proofErr w:type="spellStart"/>
      <w:r>
        <w:rPr>
          <w:color w:val="000000"/>
        </w:rPr>
        <w:t>Rossor</w:t>
      </w:r>
      <w:proofErr w:type="spellEnd"/>
      <w:r>
        <w:rPr>
          <w:color w:val="000000"/>
        </w:rPr>
        <w:t xml:space="preserve">, M., </w:t>
      </w:r>
      <w:proofErr w:type="spellStart"/>
      <w:r>
        <w:rPr>
          <w:color w:val="000000"/>
        </w:rPr>
        <w:t>Schott</w:t>
      </w:r>
      <w:proofErr w:type="spellEnd"/>
      <w:r>
        <w:rPr>
          <w:color w:val="000000"/>
        </w:rPr>
        <w:t xml:space="preserve">, J. and Weil, R. (2024). Cognitive Impairment and Dementia. </w:t>
      </w:r>
      <w:r>
        <w:rPr>
          <w:i/>
          <w:iCs/>
          <w:color w:val="000000"/>
        </w:rPr>
        <w:t>Neurology</w:t>
      </w:r>
      <w:r>
        <w:rPr>
          <w:color w:val="000000"/>
        </w:rPr>
        <w:t xml:space="preserve">, pp.319–367. </w:t>
      </w:r>
      <w:proofErr w:type="spellStart"/>
      <w:r>
        <w:rPr>
          <w:color w:val="000000"/>
        </w:rPr>
        <w:t>doi</w:t>
      </w:r>
      <w:proofErr w:type="spellEnd"/>
      <w:r>
        <w:rPr>
          <w:color w:val="000000"/>
        </w:rPr>
        <w:t xml:space="preserve">: </w:t>
      </w:r>
      <w:hyperlink r:id="rId16">
        <w:r>
          <w:rPr>
            <w:color w:val="000080"/>
            <w:u w:val="single"/>
          </w:rPr>
          <w:t>https://doi.org/10.1002/9781119715672.ch11</w:t>
        </w:r>
      </w:hyperlink>
      <w:r>
        <w:rPr>
          <w:color w:val="000000"/>
        </w:rPr>
        <w:t xml:space="preserve">. </w:t>
      </w:r>
    </w:p>
    <w:p w14:paraId="00000036" w14:textId="77777777" w:rsidR="00492294" w:rsidRDefault="00492294"/>
    <w:sectPr w:rsidR="00492294">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B13CEF" w14:textId="77777777" w:rsidR="00EA2F41" w:rsidRDefault="00EA2F41">
      <w:pPr>
        <w:spacing w:line="240" w:lineRule="auto"/>
      </w:pPr>
      <w:r>
        <w:separator/>
      </w:r>
    </w:p>
  </w:endnote>
  <w:endnote w:type="continuationSeparator" w:id="0">
    <w:p w14:paraId="65BE6ECD" w14:textId="77777777" w:rsidR="00EA2F41" w:rsidRDefault="00EA2F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webkit-standard">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7" w14:textId="466E6AEF" w:rsidR="00492294" w:rsidRDefault="00EA2F41">
    <w:pPr>
      <w:pBdr>
        <w:top w:val="nil"/>
        <w:left w:val="nil"/>
        <w:bottom w:val="nil"/>
        <w:right w:val="nil"/>
        <w:between w:val="nil"/>
      </w:pBdr>
      <w:tabs>
        <w:tab w:val="center" w:pos="4680"/>
        <w:tab w:val="right" w:pos="9360"/>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9D3300">
      <w:rPr>
        <w:noProof/>
        <w:color w:val="000000"/>
      </w:rPr>
      <w:t>1</w:t>
    </w:r>
    <w:r>
      <w:rPr>
        <w:color w:val="000000"/>
      </w:rPr>
      <w:fldChar w:fldCharType="end"/>
    </w:r>
  </w:p>
  <w:p w14:paraId="00000038" w14:textId="77777777" w:rsidR="00492294" w:rsidRDefault="00492294">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AC800F" w14:textId="77777777" w:rsidR="00EA2F41" w:rsidRDefault="00EA2F41">
      <w:pPr>
        <w:spacing w:line="240" w:lineRule="auto"/>
      </w:pPr>
      <w:r>
        <w:separator/>
      </w:r>
    </w:p>
  </w:footnote>
  <w:footnote w:type="continuationSeparator" w:id="0">
    <w:p w14:paraId="01D63B8B" w14:textId="77777777" w:rsidR="00EA2F41" w:rsidRDefault="00EA2F4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CB150E"/>
    <w:multiLevelType w:val="multilevel"/>
    <w:tmpl w:val="FFFFFFFF"/>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num w:numId="1" w16cid:durableId="14841546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2294"/>
    <w:rsid w:val="00492294"/>
    <w:rsid w:val="009D3300"/>
    <w:rsid w:val="00DD5367"/>
    <w:rsid w:val="00E55727"/>
    <w:rsid w:val="00EA2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4B398B17-6662-3747-A2AD-52F163F8D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113"/>
      <w:ind w:left="432" w:hanging="432"/>
      <w:outlineLvl w:val="0"/>
    </w:pPr>
    <w:rPr>
      <w:b/>
      <w:bCs/>
      <w:color w:val="000000"/>
      <w:sz w:val="28"/>
      <w:szCs w:val="28"/>
    </w:rPr>
  </w:style>
  <w:style w:type="paragraph" w:styleId="Heading2">
    <w:name w:val="heading 2"/>
    <w:basedOn w:val="Normal"/>
    <w:next w:val="Normal"/>
    <w:uiPriority w:val="9"/>
    <w:semiHidden/>
    <w:unhideWhenUsed/>
    <w:qFormat/>
    <w:pPr>
      <w:keepNext/>
      <w:keepLines/>
      <w:spacing w:before="113"/>
      <w:ind w:left="576" w:hanging="576"/>
      <w:outlineLvl w:val="1"/>
    </w:pPr>
    <w:rPr>
      <w:color w:val="000000"/>
      <w:u w:val="single"/>
    </w:rPr>
  </w:style>
  <w:style w:type="paragraph" w:styleId="Heading3">
    <w:name w:val="heading 3"/>
    <w:basedOn w:val="Normal"/>
    <w:next w:val="Normal"/>
    <w:uiPriority w:val="9"/>
    <w:semiHidden/>
    <w:unhideWhenUsed/>
    <w:qFormat/>
    <w:pPr>
      <w:keepNext/>
      <w:spacing w:before="240" w:after="120"/>
      <w:ind w:left="720" w:hanging="720"/>
      <w:outlineLvl w:val="2"/>
    </w:pPr>
    <w:rPr>
      <w:rFonts w:ascii="Arial" w:eastAsia="Arial" w:hAnsi="Arial" w:cs="Arial"/>
      <w:b/>
      <w:bCs/>
      <w:color w:val="000000"/>
      <w:sz w:val="28"/>
      <w:szCs w:val="28"/>
    </w:rPr>
  </w:style>
  <w:style w:type="paragraph" w:styleId="Heading4">
    <w:name w:val="heading 4"/>
    <w:basedOn w:val="Normal"/>
    <w:next w:val="Normal"/>
    <w:uiPriority w:val="9"/>
    <w:semiHidden/>
    <w:unhideWhenUsed/>
    <w:qFormat/>
    <w:pPr>
      <w:keepNext/>
      <w:spacing w:before="240" w:after="120"/>
      <w:ind w:left="864" w:hanging="864"/>
      <w:outlineLvl w:val="3"/>
    </w:pPr>
    <w:rPr>
      <w:rFonts w:ascii="Arial" w:eastAsia="Arial" w:hAnsi="Arial" w:cs="Arial"/>
      <w:b/>
      <w:bCs/>
      <w:i/>
      <w:iCs/>
      <w:color w:val="000000"/>
    </w:rPr>
  </w:style>
  <w:style w:type="paragraph" w:styleId="Heading5">
    <w:name w:val="heading 5"/>
    <w:basedOn w:val="Normal"/>
    <w:next w:val="Normal"/>
    <w:uiPriority w:val="9"/>
    <w:semiHidden/>
    <w:unhideWhenUsed/>
    <w:qFormat/>
    <w:pPr>
      <w:keepNext/>
      <w:spacing w:before="240" w:after="120"/>
      <w:ind w:left="1008" w:hanging="1008"/>
      <w:outlineLvl w:val="4"/>
    </w:pPr>
    <w:rPr>
      <w:rFonts w:ascii="Arial" w:eastAsia="Arial" w:hAnsi="Arial" w:cs="Arial"/>
      <w:b/>
      <w:bCs/>
      <w:color w:val="000000"/>
    </w:rPr>
  </w:style>
  <w:style w:type="paragraph" w:styleId="Heading6">
    <w:name w:val="heading 6"/>
    <w:basedOn w:val="Normal"/>
    <w:next w:val="Normal"/>
    <w:uiPriority w:val="9"/>
    <w:semiHidden/>
    <w:unhideWhenUsed/>
    <w:qFormat/>
    <w:pPr>
      <w:keepNext/>
      <w:spacing w:before="240" w:after="120"/>
      <w:ind w:left="1152" w:hanging="1152"/>
      <w:outlineLvl w:val="5"/>
    </w:pPr>
    <w:rPr>
      <w:rFonts w:ascii="Arial" w:eastAsia="Arial" w:hAnsi="Arial" w:cs="Arial"/>
      <w:b/>
      <w:bCs/>
      <w:color w:val="000000"/>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before="240" w:after="60"/>
      <w:jc w:val="center"/>
    </w:pPr>
    <w:rPr>
      <w:rFonts w:ascii="Cambria" w:eastAsia="Cambria" w:hAnsi="Cambria" w:cs="Cambria"/>
      <w:b/>
      <w:bCs/>
      <w:color w:val="000000"/>
      <w:sz w:val="32"/>
      <w:szCs w:val="32"/>
    </w:rPr>
  </w:style>
  <w:style w:type="paragraph" w:styleId="Subtitle">
    <w:name w:val="Subtitle"/>
    <w:basedOn w:val="Normal"/>
    <w:next w:val="Normal"/>
    <w:uiPriority w:val="11"/>
    <w:qFormat/>
    <w:pPr>
      <w:keepNext/>
      <w:spacing w:before="240" w:after="120"/>
      <w:jc w:val="center"/>
    </w:pPr>
    <w:rPr>
      <w:rFonts w:ascii="Arial" w:eastAsia="Arial" w:hAnsi="Arial" w:cs="Arial"/>
      <w:i/>
      <w:iCs/>
      <w:color w:val="000000"/>
      <w:sz w:val="28"/>
      <w:szCs w:val="28"/>
    </w:rPr>
  </w:style>
  <w:style w:type="paragraph" w:customStyle="1" w:styleId="s4">
    <w:name w:val="s4"/>
    <w:basedOn w:val="Normal"/>
    <w:rsid w:val="00E55727"/>
    <w:pPr>
      <w:spacing w:before="100" w:beforeAutospacing="1" w:after="100" w:afterAutospacing="1" w:line="240" w:lineRule="auto"/>
      <w:jc w:val="left"/>
    </w:pPr>
    <w:rPr>
      <w:rFonts w:eastAsiaTheme="minorEastAsia"/>
    </w:rPr>
  </w:style>
  <w:style w:type="character" w:customStyle="1" w:styleId="bumpedfont15">
    <w:name w:val="bumpedfont15"/>
    <w:basedOn w:val="DefaultParagraphFont"/>
    <w:rsid w:val="00E557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3233/jad-180608" TargetMode="External"/><Relationship Id="rId13" Type="http://schemas.openxmlformats.org/officeDocument/2006/relationships/hyperlink" Target="https://www.nhs.uk/conditions/dementia/care-and-support/social-services-and-the-nh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lzheimers.org.uk/blog/how-many-people-have-dementia-uk" TargetMode="External"/><Relationship Id="rId12" Type="http://schemas.openxmlformats.org/officeDocument/2006/relationships/hyperlink" Target="https://theses.gla.ac.uk/84198/"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02/9781119715672.ch1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2889-025-22378-z" TargetMode="External"/><Relationship Id="rId5" Type="http://schemas.openxmlformats.org/officeDocument/2006/relationships/footnotes" Target="footnotes.xml"/><Relationship Id="rId15" Type="http://schemas.openxmlformats.org/officeDocument/2006/relationships/hyperlink" Target="https://doi.org/10.1097/hjh.0000000000002621" TargetMode="External"/><Relationship Id="rId10" Type="http://schemas.openxmlformats.org/officeDocument/2006/relationships/hyperlink" Target="https://www.gov.uk/government/publications/dementia-applying-all-our-health/dementia-applying-all-our-health"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51866/rv1221" TargetMode="External"/><Relationship Id="rId14" Type="http://schemas.openxmlformats.org/officeDocument/2006/relationships/hyperlink" Target="https://digital.nhs.uk/data-and-information/publications/statistical/primary-care-dementia-data/june-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2110</Words>
  <Characters>12032</Characters>
  <Application>Microsoft Office Word</Application>
  <DocSecurity>0</DocSecurity>
  <Lines>100</Lines>
  <Paragraphs>28</Paragraphs>
  <ScaleCrop>false</ScaleCrop>
  <Company/>
  <LinksUpToDate>false</LinksUpToDate>
  <CharactersWithSpaces>14114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A</cp:lastModifiedBy>
  <cp:revision>2</cp:revision>
  <dcterms:created xsi:type="dcterms:W3CDTF">2026-03-08T22:31:00Z</dcterms:created>
  <dcterms:modified xsi:type="dcterms:W3CDTF">2026-03-08T22:31:00Z</dcterms:modified>
</cp:coreProperties>
</file>