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59CAE8" w14:textId="18BC52FA" w:rsidR="009420CA" w:rsidRDefault="009420CA" w:rsidP="009420CA">
      <w:pPr>
        <w:pStyle w:val="p"/>
        <w:spacing w:before="166" w:beforeAutospacing="0" w:after="166" w:afterAutospacing="0"/>
        <w:rPr>
          <w:color w:val="000000"/>
          <w:lang w:val="en"/>
        </w:rPr>
      </w:pPr>
      <w:r>
        <w:rPr>
          <w:vanish/>
          <w:color w:val="000000"/>
          <w:lang w:val="en"/>
        </w:rPr>
        <w:t>The recent policy focus in British public health on the importance of local action invites consideration of historical precedent. The role and achievements of the medical officer of health (MOH), the local government official charged with public health responsibilities, is discussed. The gradual accretion of duties is traced in the first section: the mid‐Victorian concern with urban sanitation; the preventive strategies adopted after the bacteriological revolution; the extension of personal health services in the early 20</w:t>
      </w:r>
      <w:r w:rsidRPr="009420CA">
        <w:rPr>
          <w:vanish/>
          <w:color w:val="000000"/>
          <w:vertAlign w:val="superscript"/>
          <w:lang w:val="en"/>
        </w:rPr>
        <w:t>th</w:t>
      </w:r>
      <w:r>
        <w:rPr>
          <w:vanish/>
          <w:color w:val="000000"/>
          <w:lang w:val="en"/>
        </w:rPr>
        <w:t xml:space="preserve"> century; and the more diminished role under the National Health Service (NHS), when infectious diseases retreated. The historical verdicts passed on the MOsH are reviewed in the second section. The leading role of the MOsH in the late 19</w:t>
      </w:r>
      <w:r w:rsidRPr="009420CA">
        <w:rPr>
          <w:vanish/>
          <w:color w:val="000000"/>
          <w:vertAlign w:val="superscript"/>
          <w:lang w:val="en"/>
        </w:rPr>
        <w:t>th</w:t>
      </w:r>
      <w:r>
        <w:rPr>
          <w:vanish/>
          <w:color w:val="000000"/>
          <w:lang w:val="en"/>
        </w:rPr>
        <w:t>‐century mortality decline has been reasserted, and although there is some justification in the argument that in the 20</w:t>
      </w:r>
      <w:r w:rsidRPr="009420CA">
        <w:rPr>
          <w:vanish/>
          <w:color w:val="000000"/>
          <w:vertAlign w:val="superscript"/>
          <w:lang w:val="en"/>
        </w:rPr>
        <w:t>th</w:t>
      </w:r>
      <w:r>
        <w:rPr>
          <w:vanish/>
          <w:color w:val="000000"/>
          <w:lang w:val="en"/>
        </w:rPr>
        <w:t xml:space="preserve"> century public health lost its focus, it is important to recall that the extension of personal health services under MOH direction signified a major extension of access to care. Similarly, the charge that MOsH did not redefine their role in the period before their final demise in 1974 is not entirely justified. The emphasis of the NHS on curative rather than preventive medicine, and the economic constraints on local authority health service expansion limited their room for manoeuvre. The history of local leadership in public health may offer some enduring lessons. These include the importance of monitoring local population health, acting as a public interface between medicine and the community, facilitating joined‐up working and confronting vested interests.</w:t>
      </w:r>
    </w:p>
    <w:p w14:paraId="367E0FCE" w14:textId="77777777" w:rsidR="009420CA" w:rsidRDefault="009420CA" w:rsidP="009420CA">
      <w:pPr>
        <w:pStyle w:val="Heading1"/>
        <w:spacing w:after="120" w:line="324" w:lineRule="atLeast"/>
        <w:rPr>
          <w:rFonts w:ascii="Arial" w:hAnsi="Arial" w:cs="Arial"/>
          <w:color w:val="000000"/>
          <w:sz w:val="37"/>
          <w:szCs w:val="37"/>
        </w:rPr>
      </w:pPr>
      <w:r>
        <w:rPr>
          <w:rFonts w:ascii="Arial" w:hAnsi="Arial" w:cs="Arial"/>
          <w:b/>
          <w:bCs/>
          <w:color w:val="000000"/>
          <w:sz w:val="37"/>
          <w:szCs w:val="37"/>
        </w:rPr>
        <w:t>Local leadership in public health: the role of the medical officer of health in Britain, 1872–</w:t>
      </w:r>
    </w:p>
    <w:p w14:paraId="2EF64978" w14:textId="77777777" w:rsidR="009420CA" w:rsidRPr="009420CA" w:rsidRDefault="009420CA" w:rsidP="009420CA">
      <w:pPr>
        <w:rPr>
          <w:rFonts w:ascii="Times New Roman" w:eastAsia="Times New Roman" w:hAnsi="Times New Roman" w:cs="Times New Roman"/>
          <w:lang w:eastAsia="en-GB"/>
        </w:rPr>
      </w:pPr>
      <w:hyperlink r:id="rId4" w:history="1">
        <w:r w:rsidRPr="009420CA">
          <w:rPr>
            <w:rFonts w:ascii="Arial" w:eastAsia="Times New Roman" w:hAnsi="Arial" w:cs="Arial"/>
            <w:color w:val="642A8F"/>
            <w:sz w:val="20"/>
            <w:szCs w:val="20"/>
            <w:u w:val="single"/>
            <w:lang w:eastAsia="en-GB"/>
          </w:rPr>
          <w:t xml:space="preserve">J </w:t>
        </w:r>
        <w:proofErr w:type="spellStart"/>
        <w:r w:rsidRPr="009420CA">
          <w:rPr>
            <w:rFonts w:ascii="Arial" w:eastAsia="Times New Roman" w:hAnsi="Arial" w:cs="Arial"/>
            <w:color w:val="642A8F"/>
            <w:sz w:val="20"/>
            <w:szCs w:val="20"/>
            <w:u w:val="single"/>
            <w:lang w:eastAsia="en-GB"/>
          </w:rPr>
          <w:t>Epidemiol</w:t>
        </w:r>
        <w:proofErr w:type="spellEnd"/>
        <w:r w:rsidRPr="009420CA">
          <w:rPr>
            <w:rFonts w:ascii="Arial" w:eastAsia="Times New Roman" w:hAnsi="Arial" w:cs="Arial"/>
            <w:color w:val="642A8F"/>
            <w:sz w:val="20"/>
            <w:szCs w:val="20"/>
            <w:u w:val="single"/>
            <w:lang w:eastAsia="en-GB"/>
          </w:rPr>
          <w:t xml:space="preserve"> Community Health</w:t>
        </w:r>
      </w:hyperlink>
      <w:r w:rsidRPr="009420CA">
        <w:rPr>
          <w:rFonts w:ascii="Arial" w:eastAsia="Times New Roman" w:hAnsi="Arial" w:cs="Arial"/>
          <w:color w:val="000000"/>
          <w:sz w:val="20"/>
          <w:szCs w:val="20"/>
          <w:shd w:val="clear" w:color="auto" w:fill="FFFFFF"/>
          <w:lang w:eastAsia="en-GB"/>
        </w:rPr>
        <w:t>. 2007 Jun; 61(6): 468–472.</w:t>
      </w:r>
    </w:p>
    <w:p w14:paraId="0BC7F619" w14:textId="1E7CCC10" w:rsidR="009420CA" w:rsidRDefault="009420CA" w:rsidP="009420CA">
      <w:pPr>
        <w:pStyle w:val="p"/>
        <w:spacing w:before="166" w:beforeAutospacing="0" w:after="166" w:afterAutospacing="0"/>
        <w:rPr>
          <w:color w:val="000000"/>
          <w:lang w:val="en"/>
        </w:rPr>
      </w:pPr>
      <w:r>
        <w:rPr>
          <w:color w:val="000000"/>
          <w:lang w:val="en"/>
        </w:rPr>
        <w:t>Martin Gorsky</w:t>
      </w:r>
      <w:bookmarkStart w:id="0" w:name="_GoBack"/>
      <w:bookmarkEnd w:id="0"/>
    </w:p>
    <w:p w14:paraId="4C7D65EC" w14:textId="77777777" w:rsidR="009420CA" w:rsidRDefault="009420CA" w:rsidP="009420CA">
      <w:pPr>
        <w:pStyle w:val="p"/>
        <w:spacing w:before="166" w:beforeAutospacing="0" w:after="166" w:afterAutospacing="0"/>
        <w:rPr>
          <w:vanish/>
          <w:color w:val="000000"/>
          <w:lang w:val="en"/>
        </w:rPr>
      </w:pPr>
    </w:p>
    <w:p w14:paraId="09CA085E" w14:textId="77777777" w:rsidR="009420CA" w:rsidRDefault="009420CA" w:rsidP="009420CA">
      <w:pPr>
        <w:pStyle w:val="p"/>
        <w:spacing w:before="166" w:beforeAutospacing="0" w:after="166" w:afterAutospacing="0"/>
        <w:rPr>
          <w:color w:val="000000"/>
        </w:rPr>
      </w:pPr>
      <w:r>
        <w:rPr>
          <w:color w:val="000000"/>
        </w:rPr>
        <w:t>Since the 1980s, an important feature of public health, internationally, is an emphasis on the local, rather than the national, as the arena of action. For example, the Ottawa Charter in 1986 called for the empowerment of communities as a key strategy for meeting the World Health Organization's Health for All goals,</w:t>
      </w:r>
      <w:hyperlink r:id="rId5" w:anchor="ref1" w:history="1">
        <w:r>
          <w:rPr>
            <w:rStyle w:val="Hyperlink"/>
            <w:color w:val="642A8F"/>
            <w:sz w:val="20"/>
            <w:szCs w:val="20"/>
            <w:vertAlign w:val="superscript"/>
          </w:rPr>
          <w:t>1</w:t>
        </w:r>
      </w:hyperlink>
      <w:r>
        <w:rPr>
          <w:rStyle w:val="apple-converted-space"/>
          <w:color w:val="000000"/>
        </w:rPr>
        <w:t> </w:t>
      </w:r>
      <w:r>
        <w:rPr>
          <w:color w:val="000000"/>
        </w:rPr>
        <w:t>whereas the World Health Organization's Healthy Cities initiative was targeted at the urban level.</w:t>
      </w:r>
      <w:hyperlink r:id="rId6" w:anchor="ref2" w:history="1">
        <w:r>
          <w:rPr>
            <w:rStyle w:val="Hyperlink"/>
            <w:color w:val="642A8F"/>
            <w:sz w:val="20"/>
            <w:szCs w:val="20"/>
            <w:vertAlign w:val="superscript"/>
          </w:rPr>
          <w:t>2</w:t>
        </w:r>
      </w:hyperlink>
      <w:r>
        <w:rPr>
          <w:color w:val="000000"/>
        </w:rPr>
        <w:t>In Britain too, the reinvigoration of local initiative has been central to the recent review of public health policy. This partly seeks to mobilise individuals, private enterprises and voluntary organisations, but it also recognises that a strong corps of health workers within the public sector must take the lead if local initiative is to succeed.</w:t>
      </w:r>
      <w:hyperlink r:id="rId7" w:anchor="ref3" w:history="1">
        <w:r>
          <w:rPr>
            <w:rStyle w:val="Hyperlink"/>
            <w:color w:val="642A8F"/>
            <w:sz w:val="20"/>
            <w:szCs w:val="20"/>
            <w:vertAlign w:val="superscript"/>
          </w:rPr>
          <w:t>3</w:t>
        </w:r>
      </w:hyperlink>
      <w:r>
        <w:rPr>
          <w:color w:val="000000"/>
          <w:sz w:val="20"/>
          <w:szCs w:val="20"/>
          <w:vertAlign w:val="superscript"/>
        </w:rPr>
        <w:t>,</w:t>
      </w:r>
      <w:hyperlink r:id="rId8" w:anchor="ref4" w:history="1">
        <w:r>
          <w:rPr>
            <w:rStyle w:val="Hyperlink"/>
            <w:color w:val="642A8F"/>
            <w:sz w:val="20"/>
            <w:szCs w:val="20"/>
            <w:vertAlign w:val="superscript"/>
          </w:rPr>
          <w:t>4</w:t>
        </w:r>
      </w:hyperlink>
      <w:r>
        <w:rPr>
          <w:color w:val="000000"/>
          <w:sz w:val="20"/>
          <w:szCs w:val="20"/>
          <w:vertAlign w:val="superscript"/>
        </w:rPr>
        <w:t>,</w:t>
      </w:r>
      <w:hyperlink r:id="rId9" w:anchor="ref5" w:history="1">
        <w:r>
          <w:rPr>
            <w:rStyle w:val="Hyperlink"/>
            <w:color w:val="642A8F"/>
            <w:sz w:val="20"/>
            <w:szCs w:val="20"/>
            <w:vertAlign w:val="superscript"/>
          </w:rPr>
          <w:t>5</w:t>
        </w:r>
      </w:hyperlink>
      <w:r>
        <w:rPr>
          <w:rStyle w:val="apple-converted-space"/>
          <w:color w:val="000000"/>
        </w:rPr>
        <w:t> </w:t>
      </w:r>
      <w:r>
        <w:rPr>
          <w:color w:val="000000"/>
        </w:rPr>
        <w:t>From the vantage point of history, there is a certain irony in this rediscovery of the local. After all, it was through the medium of urban local authorities that the British state pioneered its mid‐19th century programme of sanitary reform, a template for attacking infectious diseases which was adopted by other industrialised nations.</w:t>
      </w:r>
      <w:hyperlink r:id="rId10" w:anchor="ref6" w:history="1">
        <w:r>
          <w:rPr>
            <w:rStyle w:val="Hyperlink"/>
            <w:color w:val="642A8F"/>
            <w:sz w:val="20"/>
            <w:szCs w:val="20"/>
            <w:vertAlign w:val="superscript"/>
          </w:rPr>
          <w:t>6</w:t>
        </w:r>
      </w:hyperlink>
      <w:r>
        <w:rPr>
          <w:rStyle w:val="apple-converted-space"/>
          <w:color w:val="000000"/>
        </w:rPr>
        <w:t> </w:t>
      </w:r>
      <w:r>
        <w:rPr>
          <w:color w:val="000000"/>
        </w:rPr>
        <w:t>When considering the status of public health in Britain over the long term, it is arguable that under the National Health Service (NHS) the experience has been one of decline and fall from an earlier golden age of locally driven action.</w:t>
      </w:r>
      <w:hyperlink r:id="rId11" w:anchor="ref7" w:history="1">
        <w:r>
          <w:rPr>
            <w:rStyle w:val="Hyperlink"/>
            <w:color w:val="642A8F"/>
            <w:sz w:val="20"/>
            <w:szCs w:val="20"/>
            <w:vertAlign w:val="superscript"/>
          </w:rPr>
          <w:t>7</w:t>
        </w:r>
      </w:hyperlink>
      <w:r>
        <w:rPr>
          <w:color w:val="000000"/>
          <w:sz w:val="20"/>
          <w:szCs w:val="20"/>
          <w:vertAlign w:val="superscript"/>
        </w:rPr>
        <w:t>,</w:t>
      </w:r>
      <w:hyperlink r:id="rId12" w:anchor="ref8" w:history="1">
        <w:r>
          <w:rPr>
            <w:rStyle w:val="Hyperlink"/>
            <w:color w:val="642A8F"/>
            <w:sz w:val="20"/>
            <w:szCs w:val="20"/>
            <w:vertAlign w:val="superscript"/>
          </w:rPr>
          <w:t>8</w:t>
        </w:r>
      </w:hyperlink>
    </w:p>
    <w:p w14:paraId="26AFB42C" w14:textId="77777777" w:rsidR="009420CA" w:rsidRDefault="009420CA" w:rsidP="009420CA">
      <w:pPr>
        <w:pStyle w:val="p"/>
        <w:spacing w:before="166" w:beforeAutospacing="0" w:after="166" w:afterAutospacing="0"/>
        <w:rPr>
          <w:color w:val="000000"/>
        </w:rPr>
      </w:pPr>
      <w:r>
        <w:rPr>
          <w:color w:val="000000"/>
        </w:rPr>
        <w:t xml:space="preserve">The subject of this article is the medical officer of health (MOH), the official who led the amply staffed public health departments once situated in local government. This post was abolished in the 1974 health service reorganisation, when </w:t>
      </w:r>
      <w:proofErr w:type="spellStart"/>
      <w:r>
        <w:rPr>
          <w:color w:val="000000"/>
        </w:rPr>
        <w:t>MOsH</w:t>
      </w:r>
      <w:proofErr w:type="spellEnd"/>
      <w:r>
        <w:rPr>
          <w:color w:val="000000"/>
        </w:rPr>
        <w:t xml:space="preserve"> were superseded by community physicians within the NHS and local government health services subsumed in Social Services Departments. Now that preventive medicine and health promotion are firmly back on the local political agenda, and the profile of the specialty raised through the appointment of Directors of Public Health, what can we learn from considering this history? The first section describes the development of the MOH's role since its inception until 1974. The second part discusses historical appraisals of the MOH and the final section points to several areas of this experience, with implications for today's local leadership in public health.</w:t>
      </w:r>
    </w:p>
    <w:p w14:paraId="215A6AD2" w14:textId="77777777" w:rsidR="009420CA" w:rsidRPr="009420CA" w:rsidRDefault="009420CA" w:rsidP="009420CA">
      <w:pPr>
        <w:spacing w:before="308" w:after="154" w:line="300" w:lineRule="atLeast"/>
        <w:outlineLvl w:val="2"/>
        <w:rPr>
          <w:rFonts w:ascii="Arial" w:eastAsia="Times New Roman" w:hAnsi="Arial" w:cs="Arial"/>
          <w:color w:val="724128"/>
          <w:lang w:eastAsia="en-GB"/>
        </w:rPr>
      </w:pPr>
      <w:r w:rsidRPr="009420CA">
        <w:rPr>
          <w:rFonts w:ascii="Arial" w:eastAsia="Times New Roman" w:hAnsi="Arial" w:cs="Arial"/>
          <w:color w:val="724128"/>
          <w:lang w:eastAsia="en-GB"/>
        </w:rPr>
        <w:t>1872–1914</w:t>
      </w:r>
    </w:p>
    <w:p w14:paraId="24C0C405" w14:textId="49AE2272" w:rsidR="009420CA" w:rsidRDefault="009420CA" w:rsidP="009420CA">
      <w:pPr>
        <w:spacing w:before="166" w:after="166"/>
        <w:rPr>
          <w:rFonts w:ascii="Times New Roman" w:eastAsia="Times New Roman" w:hAnsi="Times New Roman" w:cs="Times New Roman"/>
          <w:lang w:eastAsia="en-GB"/>
        </w:rPr>
      </w:pPr>
      <w:r w:rsidRPr="009420CA">
        <w:rPr>
          <w:rFonts w:ascii="Times New Roman" w:eastAsia="Times New Roman" w:hAnsi="Times New Roman" w:cs="Times New Roman"/>
          <w:lang w:eastAsia="en-GB"/>
        </w:rPr>
        <w:t>The idea of a medical appointee who would give direction to local authorities originated in Edwin Chadwick's report on the </w:t>
      </w:r>
      <w:r w:rsidRPr="009420CA">
        <w:rPr>
          <w:rFonts w:ascii="Times New Roman" w:eastAsia="Times New Roman" w:hAnsi="Times New Roman" w:cs="Times New Roman"/>
          <w:i/>
          <w:iCs/>
          <w:lang w:eastAsia="en-GB"/>
        </w:rPr>
        <w:t>Sanitary condition of the working population of Great Britain</w:t>
      </w:r>
      <w:r w:rsidRPr="009420CA">
        <w:rPr>
          <w:rFonts w:ascii="Times New Roman" w:eastAsia="Times New Roman" w:hAnsi="Times New Roman" w:cs="Times New Roman"/>
          <w:lang w:eastAsia="en-GB"/>
        </w:rPr>
        <w:t> (1842). The first such posts were held by William Henry Duncan in Liverpool and John Simon in the City of London, although these appointments become mandatory only with the Public Health Act of 1872.</w:t>
      </w:r>
      <w:hyperlink r:id="rId13" w:anchor="ref9" w:history="1">
        <w:r w:rsidRPr="009420CA">
          <w:rPr>
            <w:rFonts w:ascii="Times New Roman" w:eastAsia="Times New Roman" w:hAnsi="Times New Roman" w:cs="Times New Roman"/>
            <w:color w:val="642A8F"/>
            <w:sz w:val="20"/>
            <w:szCs w:val="20"/>
            <w:u w:val="single"/>
            <w:vertAlign w:val="superscript"/>
            <w:lang w:eastAsia="en-GB"/>
          </w:rPr>
          <w:t>9</w:t>
        </w:r>
      </w:hyperlink>
      <w:r w:rsidRPr="009420CA">
        <w:rPr>
          <w:rFonts w:ascii="Times New Roman" w:eastAsia="Times New Roman" w:hAnsi="Times New Roman" w:cs="Times New Roman"/>
          <w:lang w:eastAsia="en-GB"/>
        </w:rPr>
        <w:t xml:space="preserve"> This positioning of public health within local government may seem inevitable in retrospect, so familiar is the story of sanitary reform in the burgeoning industrial cities. Yet, it also indicated the dominance of the Chadwickian faith in environmental cleansing. </w:t>
      </w:r>
      <w:proofErr w:type="spellStart"/>
      <w:r w:rsidRPr="009420CA">
        <w:rPr>
          <w:rFonts w:ascii="Times New Roman" w:eastAsia="Times New Roman" w:hAnsi="Times New Roman" w:cs="Times New Roman"/>
          <w:lang w:eastAsia="en-GB"/>
        </w:rPr>
        <w:t>Miasmatic</w:t>
      </w:r>
      <w:proofErr w:type="spellEnd"/>
      <w:r w:rsidRPr="009420CA">
        <w:rPr>
          <w:rFonts w:ascii="Times New Roman" w:eastAsia="Times New Roman" w:hAnsi="Times New Roman" w:cs="Times New Roman"/>
          <w:lang w:eastAsia="en-GB"/>
        </w:rPr>
        <w:t xml:space="preserve"> theory was not the only method available to explain the cause of disease, but, in the heyday of laissez‐faire capitalism, programmes on sewerage and fresh water were a technical fix that suited policy makers better than more radical options such as income redistribution or social housing.</w:t>
      </w:r>
      <w:hyperlink r:id="rId14" w:anchor="ref10" w:history="1">
        <w:r w:rsidRPr="009420CA">
          <w:rPr>
            <w:rFonts w:ascii="Times New Roman" w:eastAsia="Times New Roman" w:hAnsi="Times New Roman" w:cs="Times New Roman"/>
            <w:color w:val="642A8F"/>
            <w:sz w:val="20"/>
            <w:szCs w:val="20"/>
            <w:u w:val="single"/>
            <w:vertAlign w:val="superscript"/>
            <w:lang w:eastAsia="en-GB"/>
          </w:rPr>
          <w:t>10</w:t>
        </w:r>
      </w:hyperlink>
      <w:r w:rsidRPr="009420CA">
        <w:rPr>
          <w:rFonts w:ascii="Times New Roman" w:eastAsia="Times New Roman" w:hAnsi="Times New Roman" w:cs="Times New Roman"/>
          <w:lang w:eastAsia="en-GB"/>
        </w:rPr>
        <w:t xml:space="preserve"> A key concern of the early MOH was therefore the physical environment, but various other duties developed, indicating the </w:t>
      </w:r>
      <w:r w:rsidRPr="009420CA">
        <w:rPr>
          <w:rFonts w:ascii="Times New Roman" w:eastAsia="Times New Roman" w:hAnsi="Times New Roman" w:cs="Times New Roman"/>
          <w:lang w:eastAsia="en-GB"/>
        </w:rPr>
        <w:lastRenderedPageBreak/>
        <w:t>medicalisation of public health that began during the tenure of John Simon as the country's first Chief Medical Officer. One was the preparation of an annual report on the sanitary state of his district, and in these texts the beginnings of epidemiological reporting may be traced.</w:t>
      </w:r>
      <w:hyperlink r:id="rId15" w:anchor="ref11" w:history="1">
        <w:r w:rsidRPr="009420CA">
          <w:rPr>
            <w:rFonts w:ascii="Times New Roman" w:eastAsia="Times New Roman" w:hAnsi="Times New Roman" w:cs="Times New Roman"/>
            <w:color w:val="642A8F"/>
            <w:sz w:val="20"/>
            <w:szCs w:val="20"/>
            <w:u w:val="single"/>
            <w:vertAlign w:val="superscript"/>
            <w:lang w:eastAsia="en-GB"/>
          </w:rPr>
          <w:t>11</w:t>
        </w:r>
      </w:hyperlink>
      <w:r w:rsidRPr="009420CA">
        <w:rPr>
          <w:rFonts w:ascii="Times New Roman" w:eastAsia="Times New Roman" w:hAnsi="Times New Roman" w:cs="Times New Roman"/>
          <w:lang w:eastAsia="en-GB"/>
        </w:rPr>
        <w:t> Crude death rates, cause of death tables and infant mortality became standard features, and from the 1890s, some introduced adjusted‐death rates and the incidence of legally notifiable infectious diseases, such as cholera, diphtheria, typhoid and scarlet fever.</w:t>
      </w:r>
      <w:hyperlink r:id="rId16" w:anchor="ref12" w:history="1">
        <w:r w:rsidRPr="009420CA">
          <w:rPr>
            <w:rFonts w:ascii="Times New Roman" w:eastAsia="Times New Roman" w:hAnsi="Times New Roman" w:cs="Times New Roman"/>
            <w:color w:val="642A8F"/>
            <w:sz w:val="20"/>
            <w:szCs w:val="20"/>
            <w:u w:val="single"/>
            <w:vertAlign w:val="superscript"/>
            <w:lang w:eastAsia="en-GB"/>
          </w:rPr>
          <w:t>12</w:t>
        </w:r>
      </w:hyperlink>
      <w:r w:rsidRPr="009420CA">
        <w:rPr>
          <w:rFonts w:ascii="Times New Roman" w:eastAsia="Times New Roman" w:hAnsi="Times New Roman" w:cs="Times New Roman"/>
          <w:lang w:eastAsia="en-GB"/>
        </w:rPr>
        <w:t xml:space="preserve"> With the infrastructure of sanitation being put in place, the remit of public health extended to tackle infectious diseases through the establishment of isolation hospitals and the appointment of specialist officers under the MOH's control. The Pasteurian revolution added bacteriology to the MOH's toolkit, and by the 1910s, laboratory facilities were provided either by a public analyst or under contract from universities or hospitals. These underpinned preventive and curative services for infectious disease and enabled </w:t>
      </w:r>
      <w:proofErr w:type="spellStart"/>
      <w:r w:rsidRPr="009420CA">
        <w:rPr>
          <w:rFonts w:ascii="Times New Roman" w:eastAsia="Times New Roman" w:hAnsi="Times New Roman" w:cs="Times New Roman"/>
          <w:lang w:eastAsia="en-GB"/>
        </w:rPr>
        <w:t>MOsH</w:t>
      </w:r>
      <w:proofErr w:type="spellEnd"/>
      <w:r w:rsidRPr="009420CA">
        <w:rPr>
          <w:rFonts w:ascii="Times New Roman" w:eastAsia="Times New Roman" w:hAnsi="Times New Roman" w:cs="Times New Roman"/>
          <w:lang w:eastAsia="en-GB"/>
        </w:rPr>
        <w:t xml:space="preserve"> to enforce food safety legislation. Finally, the late Victorian government promoted slum clearance and housing improvement schemes, with the MOH and local sanitary committee as prime movers in such initiatives.</w:t>
      </w:r>
    </w:p>
    <w:p w14:paraId="386C4F40" w14:textId="2E2909F1" w:rsidR="009420CA" w:rsidRDefault="009420CA" w:rsidP="009420CA">
      <w:pPr>
        <w:spacing w:before="166" w:after="166"/>
        <w:rPr>
          <w:rFonts w:ascii="Times New Roman" w:eastAsia="Times New Roman" w:hAnsi="Times New Roman" w:cs="Times New Roman"/>
          <w:lang w:eastAsia="en-GB"/>
        </w:rPr>
      </w:pPr>
    </w:p>
    <w:p w14:paraId="3EE0CE68" w14:textId="77777777" w:rsidR="009420CA" w:rsidRPr="009420CA" w:rsidRDefault="009420CA" w:rsidP="009420CA">
      <w:pPr>
        <w:rPr>
          <w:rFonts w:ascii="Times New Roman" w:eastAsia="Times New Roman" w:hAnsi="Times New Roman" w:cs="Times New Roman"/>
          <w:lang w:eastAsia="en-GB"/>
        </w:rPr>
      </w:pPr>
      <w:r w:rsidRPr="009420CA">
        <w:rPr>
          <w:rFonts w:ascii="Times New Roman" w:eastAsia="Times New Roman" w:hAnsi="Times New Roman" w:cs="Times New Roman"/>
          <w:color w:val="000000"/>
          <w:shd w:val="clear" w:color="auto" w:fill="FFFFFF"/>
          <w:lang w:eastAsia="en-GB"/>
        </w:rPr>
        <w:t>Historical verdicts on the achievements of the MOH have been far from unanimous. For the 19th century, a fierce debate has raged about the relative importance of preventive medicine in the decline in British mortality, triggered by Thomas McKeown's well‐known thesis. This dismissed the significance of health services and medical science in conquering infectious disease, which McKeown</w:t>
      </w:r>
      <w:hyperlink r:id="rId17" w:anchor="ref22" w:history="1">
        <w:r w:rsidRPr="009420CA">
          <w:rPr>
            <w:rFonts w:ascii="Times New Roman" w:eastAsia="Times New Roman" w:hAnsi="Times New Roman" w:cs="Times New Roman"/>
            <w:color w:val="642A8F"/>
            <w:sz w:val="20"/>
            <w:szCs w:val="20"/>
            <w:u w:val="single"/>
            <w:vertAlign w:val="superscript"/>
            <w:lang w:eastAsia="en-GB"/>
          </w:rPr>
          <w:t>22</w:t>
        </w:r>
      </w:hyperlink>
      <w:r w:rsidRPr="009420CA">
        <w:rPr>
          <w:rFonts w:ascii="Times New Roman" w:eastAsia="Times New Roman" w:hAnsi="Times New Roman" w:cs="Times New Roman"/>
          <w:color w:val="000000"/>
          <w:shd w:val="clear" w:color="auto" w:fill="FFFFFF"/>
          <w:lang w:eastAsia="en-GB"/>
        </w:rPr>
        <w:t> attributed instead to improved nutritional status. Public health measures were acknowledged to have played a lesser part, limited to the control of water and foodborne diseases. Subsequent exchanges questioned some aspects of McKeown's methodology and interrogated the association between the timing of decline in mortality and rising living standards.</w:t>
      </w:r>
      <w:hyperlink r:id="rId18" w:anchor="ref23" w:history="1">
        <w:r w:rsidRPr="009420CA">
          <w:rPr>
            <w:rFonts w:ascii="Times New Roman" w:eastAsia="Times New Roman" w:hAnsi="Times New Roman" w:cs="Times New Roman"/>
            <w:color w:val="642A8F"/>
            <w:sz w:val="20"/>
            <w:szCs w:val="20"/>
            <w:u w:val="single"/>
            <w:vertAlign w:val="superscript"/>
            <w:lang w:eastAsia="en-GB"/>
          </w:rPr>
          <w:t>23</w:t>
        </w:r>
      </w:hyperlink>
      <w:r w:rsidRPr="009420CA">
        <w:rPr>
          <w:rFonts w:ascii="Times New Roman" w:eastAsia="Times New Roman" w:hAnsi="Times New Roman" w:cs="Times New Roman"/>
          <w:color w:val="000000"/>
          <w:shd w:val="clear" w:color="auto" w:fill="FFFFFF"/>
          <w:lang w:eastAsia="en-GB"/>
        </w:rPr>
        <w:t> Broadly, this work reinstated the importance of local government public health interventions. Meanwhile, microhistories of local programmes against diseases such as smallpox, typhus, typhoid and TB have shown how the Victorian preventive administration was instrumental in bringing down mortality.</w:t>
      </w:r>
      <w:hyperlink r:id="rId19" w:anchor="ref24" w:history="1">
        <w:r w:rsidRPr="009420CA">
          <w:rPr>
            <w:rFonts w:ascii="Times New Roman" w:eastAsia="Times New Roman" w:hAnsi="Times New Roman" w:cs="Times New Roman"/>
            <w:color w:val="642A8F"/>
            <w:sz w:val="20"/>
            <w:szCs w:val="20"/>
            <w:u w:val="single"/>
            <w:vertAlign w:val="superscript"/>
            <w:lang w:eastAsia="en-GB"/>
          </w:rPr>
          <w:t>24</w:t>
        </w:r>
      </w:hyperlink>
    </w:p>
    <w:p w14:paraId="776F2529" w14:textId="77777777" w:rsidR="009420CA" w:rsidRPr="009420CA" w:rsidRDefault="009420CA" w:rsidP="009420CA">
      <w:pPr>
        <w:spacing w:before="166" w:after="166"/>
        <w:rPr>
          <w:rFonts w:ascii="Times New Roman" w:eastAsia="Times New Roman" w:hAnsi="Times New Roman" w:cs="Times New Roman"/>
          <w:lang w:eastAsia="en-GB"/>
        </w:rPr>
      </w:pPr>
    </w:p>
    <w:p w14:paraId="122CC378" w14:textId="633A2BC5" w:rsidR="009420CA" w:rsidRPr="009420CA" w:rsidRDefault="009420CA" w:rsidP="009420CA">
      <w:pPr>
        <w:rPr>
          <w:rFonts w:ascii="Times New Roman" w:eastAsia="Times New Roman" w:hAnsi="Times New Roman" w:cs="Times New Roman"/>
          <w:lang w:eastAsia="en-GB"/>
        </w:rPr>
      </w:pPr>
      <w:r>
        <w:rPr>
          <w:rFonts w:ascii="Times New Roman" w:eastAsia="Times New Roman" w:hAnsi="Times New Roman" w:cs="Times New Roman"/>
          <w:lang w:eastAsia="en-GB"/>
        </w:rPr>
        <w:t>Ref.</w:t>
      </w:r>
    </w:p>
    <w:p w14:paraId="4385CA62" w14:textId="7879530E" w:rsidR="009420CA" w:rsidRPr="009420CA" w:rsidRDefault="009420CA" w:rsidP="009420CA">
      <w:pPr>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1</w:t>
      </w:r>
      <w:r w:rsidRPr="009420CA">
        <w:rPr>
          <w:rFonts w:ascii="Times New Roman" w:eastAsia="Times New Roman" w:hAnsi="Times New Roman" w:cs="Times New Roman"/>
          <w:color w:val="000000"/>
          <w:lang w:eastAsia="en-GB"/>
        </w:rPr>
        <w:t>. Ottawa Charter for Health Promotion, WHO/HPR/HEP 95.1. 21 November 1986, http://www.who.int/hpr/NPH/docs/ottawa_charter_hp.pdf (accessed 22 Mar 2007) </w:t>
      </w:r>
    </w:p>
    <w:p w14:paraId="7EB1F5DA" w14:textId="77777777" w:rsidR="009420CA" w:rsidRPr="009420CA" w:rsidRDefault="009420CA" w:rsidP="009420CA">
      <w:pPr>
        <w:rPr>
          <w:rFonts w:ascii="Times New Roman" w:eastAsia="Times New Roman" w:hAnsi="Times New Roman" w:cs="Times New Roman"/>
          <w:color w:val="000000"/>
          <w:lang w:eastAsia="en-GB"/>
        </w:rPr>
      </w:pPr>
      <w:r w:rsidRPr="009420CA">
        <w:rPr>
          <w:rFonts w:ascii="Times New Roman" w:eastAsia="Times New Roman" w:hAnsi="Times New Roman" w:cs="Times New Roman"/>
          <w:color w:val="000000"/>
          <w:lang w:eastAsia="en-GB"/>
        </w:rPr>
        <w:t>2. Ashton J. ed. The origin of healthy cities. Healthy cities. Buckingham: Open University Press, 1992</w:t>
      </w:r>
    </w:p>
    <w:p w14:paraId="0C31ADC0" w14:textId="77777777" w:rsidR="009420CA" w:rsidRPr="009420CA" w:rsidRDefault="009420CA" w:rsidP="009420CA">
      <w:pPr>
        <w:rPr>
          <w:rFonts w:ascii="Times New Roman" w:eastAsia="Times New Roman" w:hAnsi="Times New Roman" w:cs="Times New Roman"/>
          <w:color w:val="000000"/>
          <w:lang w:eastAsia="en-GB"/>
        </w:rPr>
      </w:pPr>
      <w:r w:rsidRPr="009420CA">
        <w:rPr>
          <w:rFonts w:ascii="Times New Roman" w:eastAsia="Times New Roman" w:hAnsi="Times New Roman" w:cs="Times New Roman"/>
          <w:color w:val="000000"/>
          <w:lang w:eastAsia="en-GB"/>
        </w:rPr>
        <w:t>3. Blears H M P. Improving public health and well‐being: building national and local capacities Speech to UK Public Health Association, 19th March 2003. http://www.dh.gov.uk/en/Speeches/SpeechesList/DH_4031681 (accessed 10 April 2007) </w:t>
      </w:r>
    </w:p>
    <w:p w14:paraId="68E35479" w14:textId="77777777" w:rsidR="009420CA" w:rsidRPr="009420CA" w:rsidRDefault="009420CA" w:rsidP="009420CA">
      <w:pPr>
        <w:rPr>
          <w:rFonts w:ascii="Times New Roman" w:eastAsia="Times New Roman" w:hAnsi="Times New Roman" w:cs="Times New Roman"/>
          <w:color w:val="000000"/>
          <w:lang w:eastAsia="en-GB"/>
        </w:rPr>
      </w:pPr>
      <w:r w:rsidRPr="009420CA">
        <w:rPr>
          <w:rFonts w:ascii="Times New Roman" w:eastAsia="Times New Roman" w:hAnsi="Times New Roman" w:cs="Times New Roman"/>
          <w:color w:val="000000"/>
          <w:lang w:eastAsia="en-GB"/>
        </w:rPr>
        <w:t>4. </w:t>
      </w:r>
      <w:proofErr w:type="spellStart"/>
      <w:r w:rsidRPr="009420CA">
        <w:rPr>
          <w:rFonts w:ascii="Times New Roman" w:eastAsia="Times New Roman" w:hAnsi="Times New Roman" w:cs="Times New Roman"/>
          <w:color w:val="000000"/>
          <w:lang w:eastAsia="en-GB"/>
        </w:rPr>
        <w:t>Wanless</w:t>
      </w:r>
      <w:proofErr w:type="spellEnd"/>
      <w:r w:rsidRPr="009420CA">
        <w:rPr>
          <w:rFonts w:ascii="Times New Roman" w:eastAsia="Times New Roman" w:hAnsi="Times New Roman" w:cs="Times New Roman"/>
          <w:color w:val="000000"/>
          <w:lang w:eastAsia="en-GB"/>
        </w:rPr>
        <w:t xml:space="preserve"> D. Securing good health for the whole population: Final Report. London: HM Treasury, 2004</w:t>
      </w:r>
    </w:p>
    <w:p w14:paraId="742C88DC" w14:textId="77777777" w:rsidR="009420CA" w:rsidRPr="009420CA" w:rsidRDefault="009420CA" w:rsidP="009420CA">
      <w:pPr>
        <w:rPr>
          <w:rFonts w:ascii="Times New Roman" w:eastAsia="Times New Roman" w:hAnsi="Times New Roman" w:cs="Times New Roman"/>
          <w:color w:val="000000"/>
          <w:lang w:eastAsia="en-GB"/>
        </w:rPr>
      </w:pPr>
      <w:r w:rsidRPr="009420CA">
        <w:rPr>
          <w:rFonts w:ascii="Times New Roman" w:eastAsia="Times New Roman" w:hAnsi="Times New Roman" w:cs="Times New Roman"/>
          <w:color w:val="000000"/>
          <w:lang w:eastAsia="en-GB"/>
        </w:rPr>
        <w:t xml:space="preserve">5. Department of </w:t>
      </w:r>
      <w:proofErr w:type="gramStart"/>
      <w:r w:rsidRPr="009420CA">
        <w:rPr>
          <w:rFonts w:ascii="Times New Roman" w:eastAsia="Times New Roman" w:hAnsi="Times New Roman" w:cs="Times New Roman"/>
          <w:color w:val="000000"/>
          <w:lang w:eastAsia="en-GB"/>
        </w:rPr>
        <w:t>Health  Choosing</w:t>
      </w:r>
      <w:proofErr w:type="gramEnd"/>
      <w:r w:rsidRPr="009420CA">
        <w:rPr>
          <w:rFonts w:ascii="Times New Roman" w:eastAsia="Times New Roman" w:hAnsi="Times New Roman" w:cs="Times New Roman"/>
          <w:color w:val="000000"/>
          <w:lang w:eastAsia="en-GB"/>
        </w:rPr>
        <w:t xml:space="preserve"> health: making healthy choices easier. Public Health White Paper. Cm 6374, November 2004, Annexe B. Making it happen. London: DH, 2004</w:t>
      </w:r>
    </w:p>
    <w:p w14:paraId="6B8B5721" w14:textId="77777777" w:rsidR="009420CA" w:rsidRPr="009420CA" w:rsidRDefault="009420CA" w:rsidP="009420CA">
      <w:pPr>
        <w:rPr>
          <w:rFonts w:ascii="Times New Roman" w:eastAsia="Times New Roman" w:hAnsi="Times New Roman" w:cs="Times New Roman"/>
          <w:color w:val="000000"/>
          <w:lang w:eastAsia="en-GB"/>
        </w:rPr>
      </w:pPr>
      <w:r w:rsidRPr="009420CA">
        <w:rPr>
          <w:rFonts w:ascii="Times New Roman" w:eastAsia="Times New Roman" w:hAnsi="Times New Roman" w:cs="Times New Roman"/>
          <w:color w:val="000000"/>
          <w:lang w:eastAsia="en-GB"/>
        </w:rPr>
        <w:t>6. </w:t>
      </w:r>
      <w:proofErr w:type="spellStart"/>
      <w:r w:rsidRPr="009420CA">
        <w:rPr>
          <w:rFonts w:ascii="Times New Roman" w:eastAsia="Times New Roman" w:hAnsi="Times New Roman" w:cs="Times New Roman"/>
          <w:color w:val="000000"/>
          <w:lang w:eastAsia="en-GB"/>
        </w:rPr>
        <w:t>Melosi</w:t>
      </w:r>
      <w:proofErr w:type="spellEnd"/>
      <w:r w:rsidRPr="009420CA">
        <w:rPr>
          <w:rFonts w:ascii="Times New Roman" w:eastAsia="Times New Roman" w:hAnsi="Times New Roman" w:cs="Times New Roman"/>
          <w:color w:val="000000"/>
          <w:lang w:eastAsia="en-GB"/>
        </w:rPr>
        <w:t xml:space="preserve"> M V. The sanitary city: urban infrastructure in American from colonial times to the present. Baltimore: Johns Hopkins University Press, 2000 [</w:t>
      </w:r>
      <w:hyperlink r:id="rId20" w:tgtFrame="pmc_ext" w:history="1">
        <w:r w:rsidRPr="009420CA">
          <w:rPr>
            <w:rFonts w:ascii="Times New Roman" w:eastAsia="Times New Roman" w:hAnsi="Times New Roman" w:cs="Times New Roman"/>
            <w:color w:val="642A8F"/>
            <w:u w:val="single"/>
            <w:lang w:eastAsia="en-GB"/>
          </w:rPr>
          <w:t>PubMed</w:t>
        </w:r>
      </w:hyperlink>
      <w:r w:rsidRPr="009420CA">
        <w:rPr>
          <w:rFonts w:ascii="Times New Roman" w:eastAsia="Times New Roman" w:hAnsi="Times New Roman" w:cs="Times New Roman"/>
          <w:color w:val="000000"/>
          <w:lang w:eastAsia="en-GB"/>
        </w:rPr>
        <w:t>]</w:t>
      </w:r>
    </w:p>
    <w:p w14:paraId="5B9A8CE4" w14:textId="77777777" w:rsidR="009420CA" w:rsidRPr="009420CA" w:rsidRDefault="009420CA" w:rsidP="009420CA">
      <w:pPr>
        <w:rPr>
          <w:rFonts w:ascii="Times New Roman" w:eastAsia="Times New Roman" w:hAnsi="Times New Roman" w:cs="Times New Roman"/>
          <w:color w:val="000000"/>
          <w:lang w:eastAsia="en-GB"/>
        </w:rPr>
      </w:pPr>
      <w:r w:rsidRPr="009420CA">
        <w:rPr>
          <w:rFonts w:ascii="Times New Roman" w:eastAsia="Times New Roman" w:hAnsi="Times New Roman" w:cs="Times New Roman"/>
          <w:color w:val="000000"/>
          <w:lang w:eastAsia="en-GB"/>
        </w:rPr>
        <w:t>7. Acheson D. Public health in England. The Report of the Committee of Enquiry into the future development of the public health function. (Acheson Report). Cm 289. London: HMSO, 19884–8.</w:t>
      </w:r>
    </w:p>
    <w:p w14:paraId="531BE310" w14:textId="77777777" w:rsidR="009420CA" w:rsidRPr="009420CA" w:rsidRDefault="009420CA" w:rsidP="009420CA">
      <w:pPr>
        <w:rPr>
          <w:rFonts w:ascii="Times New Roman" w:eastAsia="Times New Roman" w:hAnsi="Times New Roman" w:cs="Times New Roman"/>
          <w:color w:val="000000"/>
          <w:lang w:eastAsia="en-GB"/>
        </w:rPr>
      </w:pPr>
      <w:r w:rsidRPr="009420CA">
        <w:rPr>
          <w:rFonts w:ascii="Times New Roman" w:eastAsia="Times New Roman" w:hAnsi="Times New Roman" w:cs="Times New Roman"/>
          <w:color w:val="000000"/>
          <w:lang w:eastAsia="en-GB"/>
        </w:rPr>
        <w:lastRenderedPageBreak/>
        <w:t>8. </w:t>
      </w:r>
      <w:proofErr w:type="spellStart"/>
      <w:r w:rsidRPr="009420CA">
        <w:rPr>
          <w:rFonts w:ascii="Times New Roman" w:eastAsia="Times New Roman" w:hAnsi="Times New Roman" w:cs="Times New Roman"/>
          <w:color w:val="000000"/>
          <w:lang w:eastAsia="en-GB"/>
        </w:rPr>
        <w:t>Berridge</w:t>
      </w:r>
      <w:proofErr w:type="spellEnd"/>
      <w:r w:rsidRPr="009420CA">
        <w:rPr>
          <w:rFonts w:ascii="Times New Roman" w:eastAsia="Times New Roman" w:hAnsi="Times New Roman" w:cs="Times New Roman"/>
          <w:color w:val="000000"/>
          <w:lang w:eastAsia="en-GB"/>
        </w:rPr>
        <w:t xml:space="preserve"> V, Christie D, Tansey E. eds.  Public health in the 1980s and 1990s: decline and rise? </w:t>
      </w:r>
      <w:proofErr w:type="spellStart"/>
      <w:r w:rsidRPr="009420CA">
        <w:rPr>
          <w:rFonts w:ascii="Times New Roman" w:eastAsia="Times New Roman" w:hAnsi="Times New Roman" w:cs="Times New Roman"/>
          <w:color w:val="000000"/>
          <w:lang w:eastAsia="en-GB"/>
        </w:rPr>
        <w:t>Wellcome</w:t>
      </w:r>
      <w:proofErr w:type="spellEnd"/>
      <w:r w:rsidRPr="009420CA">
        <w:rPr>
          <w:rFonts w:ascii="Times New Roman" w:eastAsia="Times New Roman" w:hAnsi="Times New Roman" w:cs="Times New Roman"/>
          <w:color w:val="000000"/>
          <w:lang w:eastAsia="en-GB"/>
        </w:rPr>
        <w:t xml:space="preserve"> witnesses to twentieth century medicine Vol 26. London: </w:t>
      </w:r>
      <w:proofErr w:type="spellStart"/>
      <w:r w:rsidRPr="009420CA">
        <w:rPr>
          <w:rFonts w:ascii="Times New Roman" w:eastAsia="Times New Roman" w:hAnsi="Times New Roman" w:cs="Times New Roman"/>
          <w:color w:val="000000"/>
          <w:lang w:eastAsia="en-GB"/>
        </w:rPr>
        <w:t>Wellcome</w:t>
      </w:r>
      <w:proofErr w:type="spellEnd"/>
      <w:r w:rsidRPr="009420CA">
        <w:rPr>
          <w:rFonts w:ascii="Times New Roman" w:eastAsia="Times New Roman" w:hAnsi="Times New Roman" w:cs="Times New Roman"/>
          <w:color w:val="000000"/>
          <w:lang w:eastAsia="en-GB"/>
        </w:rPr>
        <w:t xml:space="preserve"> Trust Centre for the History of Medicine at UCL, 2006</w:t>
      </w:r>
    </w:p>
    <w:p w14:paraId="6FE2CDA7" w14:textId="77777777" w:rsidR="009420CA" w:rsidRPr="009420CA" w:rsidRDefault="009420CA" w:rsidP="009420CA">
      <w:pPr>
        <w:rPr>
          <w:rFonts w:ascii="Times New Roman" w:eastAsia="Times New Roman" w:hAnsi="Times New Roman" w:cs="Times New Roman"/>
          <w:color w:val="000000"/>
          <w:lang w:eastAsia="en-GB"/>
        </w:rPr>
      </w:pPr>
      <w:r w:rsidRPr="009420CA">
        <w:rPr>
          <w:rFonts w:ascii="Times New Roman" w:eastAsia="Times New Roman" w:hAnsi="Times New Roman" w:cs="Times New Roman"/>
          <w:color w:val="000000"/>
          <w:lang w:eastAsia="en-GB"/>
        </w:rPr>
        <w:t xml:space="preserve">9. Fraser Brockington C. A short history of public health. London: </w:t>
      </w:r>
      <w:proofErr w:type="spellStart"/>
      <w:r w:rsidRPr="009420CA">
        <w:rPr>
          <w:rFonts w:ascii="Times New Roman" w:eastAsia="Times New Roman" w:hAnsi="Times New Roman" w:cs="Times New Roman"/>
          <w:color w:val="000000"/>
          <w:lang w:eastAsia="en-GB"/>
        </w:rPr>
        <w:t>JAChurchill</w:t>
      </w:r>
      <w:proofErr w:type="spellEnd"/>
      <w:r w:rsidRPr="009420CA">
        <w:rPr>
          <w:rFonts w:ascii="Times New Roman" w:eastAsia="Times New Roman" w:hAnsi="Times New Roman" w:cs="Times New Roman"/>
          <w:color w:val="000000"/>
          <w:lang w:eastAsia="en-GB"/>
        </w:rPr>
        <w:t>, 1956</w:t>
      </w:r>
    </w:p>
    <w:p w14:paraId="6AF86EA2" w14:textId="77777777" w:rsidR="009420CA" w:rsidRPr="009420CA" w:rsidRDefault="009420CA" w:rsidP="009420CA">
      <w:pPr>
        <w:rPr>
          <w:rFonts w:ascii="Times New Roman" w:eastAsia="Times New Roman" w:hAnsi="Times New Roman" w:cs="Times New Roman"/>
          <w:color w:val="000000"/>
          <w:lang w:eastAsia="en-GB"/>
        </w:rPr>
      </w:pPr>
      <w:r w:rsidRPr="009420CA">
        <w:rPr>
          <w:rFonts w:ascii="Times New Roman" w:eastAsia="Times New Roman" w:hAnsi="Times New Roman" w:cs="Times New Roman"/>
          <w:color w:val="000000"/>
          <w:lang w:eastAsia="en-GB"/>
        </w:rPr>
        <w:t>10. Hamlin C. Public health and social justice in the age of Chadwick. Cambridge: Cambridge University Press, 1997</w:t>
      </w:r>
    </w:p>
    <w:p w14:paraId="57B93D81" w14:textId="77777777" w:rsidR="009420CA" w:rsidRPr="009420CA" w:rsidRDefault="009420CA" w:rsidP="009420CA">
      <w:pPr>
        <w:rPr>
          <w:rFonts w:ascii="Times New Roman" w:eastAsia="Times New Roman" w:hAnsi="Times New Roman" w:cs="Times New Roman"/>
          <w:color w:val="000000"/>
          <w:lang w:eastAsia="en-GB"/>
        </w:rPr>
      </w:pPr>
      <w:r w:rsidRPr="009420CA">
        <w:rPr>
          <w:rFonts w:ascii="Times New Roman" w:eastAsia="Times New Roman" w:hAnsi="Times New Roman" w:cs="Times New Roman"/>
          <w:color w:val="000000"/>
          <w:lang w:eastAsia="en-GB"/>
        </w:rPr>
        <w:t xml:space="preserve">11. Warren M, Francis H. eds. Order of the Local Government Board. In: Recalling the medical officer of </w:t>
      </w:r>
      <w:proofErr w:type="gramStart"/>
      <w:r w:rsidRPr="009420CA">
        <w:rPr>
          <w:rFonts w:ascii="Times New Roman" w:eastAsia="Times New Roman" w:hAnsi="Times New Roman" w:cs="Times New Roman"/>
          <w:color w:val="000000"/>
          <w:lang w:eastAsia="en-GB"/>
        </w:rPr>
        <w:t>health,  writings</w:t>
      </w:r>
      <w:proofErr w:type="gramEnd"/>
      <w:r w:rsidRPr="009420CA">
        <w:rPr>
          <w:rFonts w:ascii="Times New Roman" w:eastAsia="Times New Roman" w:hAnsi="Times New Roman" w:cs="Times New Roman"/>
          <w:color w:val="000000"/>
          <w:lang w:eastAsia="en-GB"/>
        </w:rPr>
        <w:t xml:space="preserve"> of Sidney </w:t>
      </w:r>
      <w:proofErr w:type="spellStart"/>
      <w:r w:rsidRPr="009420CA">
        <w:rPr>
          <w:rFonts w:ascii="Times New Roman" w:eastAsia="Times New Roman" w:hAnsi="Times New Roman" w:cs="Times New Roman"/>
          <w:color w:val="000000"/>
          <w:lang w:eastAsia="en-GB"/>
        </w:rPr>
        <w:t>Chave</w:t>
      </w:r>
      <w:proofErr w:type="spellEnd"/>
      <w:r w:rsidRPr="009420CA">
        <w:rPr>
          <w:rFonts w:ascii="Times New Roman" w:eastAsia="Times New Roman" w:hAnsi="Times New Roman" w:cs="Times New Roman"/>
          <w:color w:val="000000"/>
          <w:lang w:eastAsia="en-GB"/>
        </w:rPr>
        <w:t>. London: King Edwards Hospital Fund 1987191</w:t>
      </w:r>
    </w:p>
    <w:p w14:paraId="36CCAE90" w14:textId="77777777" w:rsidR="009420CA" w:rsidRPr="009420CA" w:rsidRDefault="009420CA" w:rsidP="009420CA">
      <w:pPr>
        <w:rPr>
          <w:rFonts w:ascii="Times New Roman" w:eastAsia="Times New Roman" w:hAnsi="Times New Roman" w:cs="Times New Roman"/>
          <w:color w:val="000000"/>
          <w:lang w:eastAsia="en-GB"/>
        </w:rPr>
      </w:pPr>
      <w:r w:rsidRPr="009420CA">
        <w:rPr>
          <w:rFonts w:ascii="Times New Roman" w:eastAsia="Times New Roman" w:hAnsi="Times New Roman" w:cs="Times New Roman"/>
          <w:color w:val="000000"/>
          <w:lang w:eastAsia="en-GB"/>
        </w:rPr>
        <w:t>22. McKeown T. The modern rise of population. London: Edward Arnold, 1976</w:t>
      </w:r>
    </w:p>
    <w:p w14:paraId="6551977D" w14:textId="77777777" w:rsidR="009420CA" w:rsidRPr="009420CA" w:rsidRDefault="009420CA" w:rsidP="009420CA">
      <w:pPr>
        <w:rPr>
          <w:rFonts w:ascii="Times New Roman" w:eastAsia="Times New Roman" w:hAnsi="Times New Roman" w:cs="Times New Roman"/>
          <w:color w:val="000000"/>
          <w:lang w:eastAsia="en-GB"/>
        </w:rPr>
      </w:pPr>
      <w:r w:rsidRPr="009420CA">
        <w:rPr>
          <w:rFonts w:ascii="Times New Roman" w:eastAsia="Times New Roman" w:hAnsi="Times New Roman" w:cs="Times New Roman"/>
          <w:color w:val="000000"/>
          <w:lang w:eastAsia="en-GB"/>
        </w:rPr>
        <w:t>23. </w:t>
      </w:r>
      <w:proofErr w:type="spellStart"/>
      <w:r w:rsidRPr="009420CA">
        <w:rPr>
          <w:rFonts w:ascii="Times New Roman" w:eastAsia="Times New Roman" w:hAnsi="Times New Roman" w:cs="Times New Roman"/>
          <w:color w:val="000000"/>
          <w:lang w:eastAsia="en-GB"/>
        </w:rPr>
        <w:t>Szreter</w:t>
      </w:r>
      <w:proofErr w:type="spellEnd"/>
      <w:r w:rsidRPr="009420CA">
        <w:rPr>
          <w:rFonts w:ascii="Times New Roman" w:eastAsia="Times New Roman" w:hAnsi="Times New Roman" w:cs="Times New Roman"/>
          <w:color w:val="000000"/>
          <w:lang w:eastAsia="en-GB"/>
        </w:rPr>
        <w:t xml:space="preserve"> S. The importance of social intervention in Britain's mortality decline: a reinterpretation of the role of public health. Soc </w:t>
      </w:r>
      <w:proofErr w:type="spellStart"/>
      <w:r w:rsidRPr="009420CA">
        <w:rPr>
          <w:rFonts w:ascii="Times New Roman" w:eastAsia="Times New Roman" w:hAnsi="Times New Roman" w:cs="Times New Roman"/>
          <w:color w:val="000000"/>
          <w:lang w:eastAsia="en-GB"/>
        </w:rPr>
        <w:t>Hist</w:t>
      </w:r>
      <w:proofErr w:type="spellEnd"/>
      <w:r w:rsidRPr="009420CA">
        <w:rPr>
          <w:rFonts w:ascii="Times New Roman" w:eastAsia="Times New Roman" w:hAnsi="Times New Roman" w:cs="Times New Roman"/>
          <w:color w:val="000000"/>
          <w:lang w:eastAsia="en-GB"/>
        </w:rPr>
        <w:t xml:space="preserve"> Med 198811–37. [</w:t>
      </w:r>
      <w:hyperlink r:id="rId21" w:tgtFrame="pmc_ext" w:history="1">
        <w:r w:rsidRPr="009420CA">
          <w:rPr>
            <w:rFonts w:ascii="Times New Roman" w:eastAsia="Times New Roman" w:hAnsi="Times New Roman" w:cs="Times New Roman"/>
            <w:color w:val="642A8F"/>
            <w:u w:val="single"/>
            <w:lang w:eastAsia="en-GB"/>
          </w:rPr>
          <w:t>Google Scholar</w:t>
        </w:r>
      </w:hyperlink>
      <w:r w:rsidRPr="009420CA">
        <w:rPr>
          <w:rFonts w:ascii="Times New Roman" w:eastAsia="Times New Roman" w:hAnsi="Times New Roman" w:cs="Times New Roman"/>
          <w:color w:val="000000"/>
          <w:lang w:eastAsia="en-GB"/>
        </w:rPr>
        <w:t>]</w:t>
      </w:r>
    </w:p>
    <w:p w14:paraId="062D73B3" w14:textId="77777777" w:rsidR="009420CA" w:rsidRPr="009420CA" w:rsidRDefault="009420CA" w:rsidP="009420CA">
      <w:pPr>
        <w:rPr>
          <w:rFonts w:ascii="Times New Roman" w:eastAsia="Times New Roman" w:hAnsi="Times New Roman" w:cs="Times New Roman"/>
          <w:color w:val="000000"/>
          <w:lang w:eastAsia="en-GB"/>
        </w:rPr>
      </w:pPr>
      <w:r w:rsidRPr="009420CA">
        <w:rPr>
          <w:rFonts w:ascii="Times New Roman" w:eastAsia="Times New Roman" w:hAnsi="Times New Roman" w:cs="Times New Roman"/>
          <w:color w:val="000000"/>
          <w:lang w:eastAsia="en-GB"/>
        </w:rPr>
        <w:t>24. Hardy A. The epidemic streets: infectious disease and the rise of preventive medicine. Oxford: Clarendon Press, 1993291</w:t>
      </w:r>
    </w:p>
    <w:p w14:paraId="0E0ABB9A" w14:textId="77777777" w:rsidR="00E0282A" w:rsidRDefault="009420CA"/>
    <w:sectPr w:rsidR="00E0282A" w:rsidSect="00FB0F44">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0CA"/>
    <w:rsid w:val="00037E12"/>
    <w:rsid w:val="000A7BE6"/>
    <w:rsid w:val="000E4BE0"/>
    <w:rsid w:val="000F6008"/>
    <w:rsid w:val="001C34E1"/>
    <w:rsid w:val="00225FB4"/>
    <w:rsid w:val="00310ACA"/>
    <w:rsid w:val="00381E5F"/>
    <w:rsid w:val="003A0248"/>
    <w:rsid w:val="004E419E"/>
    <w:rsid w:val="006F16F3"/>
    <w:rsid w:val="007C480F"/>
    <w:rsid w:val="007D5540"/>
    <w:rsid w:val="00823C51"/>
    <w:rsid w:val="009420CA"/>
    <w:rsid w:val="009E3F22"/>
    <w:rsid w:val="00BB1859"/>
    <w:rsid w:val="00E3465E"/>
    <w:rsid w:val="00EA79F4"/>
    <w:rsid w:val="00F04B88"/>
    <w:rsid w:val="00FB0F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DE5C19F"/>
  <w14:defaultImageDpi w14:val="32767"/>
  <w15:chartTrackingRefBased/>
  <w15:docId w15:val="{7B345498-1E3E-C843-BBE2-C2C090B12F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20C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9420CA"/>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 w:type="paragraph" w:customStyle="1" w:styleId="p">
    <w:name w:val="p"/>
    <w:basedOn w:val="Normal"/>
    <w:rsid w:val="009420CA"/>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9420CA"/>
    <w:rPr>
      <w:color w:val="0000FF"/>
      <w:u w:val="single"/>
    </w:rPr>
  </w:style>
  <w:style w:type="character" w:customStyle="1" w:styleId="apple-converted-space">
    <w:name w:val="apple-converted-space"/>
    <w:basedOn w:val="DefaultParagraphFont"/>
    <w:rsid w:val="009420CA"/>
  </w:style>
  <w:style w:type="character" w:customStyle="1" w:styleId="Heading3Char">
    <w:name w:val="Heading 3 Char"/>
    <w:basedOn w:val="DefaultParagraphFont"/>
    <w:link w:val="Heading3"/>
    <w:uiPriority w:val="9"/>
    <w:rsid w:val="009420CA"/>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9420CA"/>
    <w:rPr>
      <w:i/>
      <w:iCs/>
    </w:rPr>
  </w:style>
  <w:style w:type="character" w:customStyle="1" w:styleId="citation">
    <w:name w:val="citation"/>
    <w:basedOn w:val="DefaultParagraphFont"/>
    <w:rsid w:val="009420CA"/>
  </w:style>
  <w:style w:type="character" w:customStyle="1" w:styleId="ref-journal">
    <w:name w:val="ref-journal"/>
    <w:basedOn w:val="DefaultParagraphFont"/>
    <w:rsid w:val="009420CA"/>
  </w:style>
  <w:style w:type="character" w:customStyle="1" w:styleId="ref-vol">
    <w:name w:val="ref-vol"/>
    <w:basedOn w:val="DefaultParagraphFont"/>
    <w:rsid w:val="009420CA"/>
  </w:style>
  <w:style w:type="character" w:customStyle="1" w:styleId="nowrap">
    <w:name w:val="nowrap"/>
    <w:basedOn w:val="DefaultParagraphFont"/>
    <w:rsid w:val="009420CA"/>
  </w:style>
  <w:style w:type="character" w:customStyle="1" w:styleId="Heading1Char">
    <w:name w:val="Heading 1 Char"/>
    <w:basedOn w:val="DefaultParagraphFont"/>
    <w:link w:val="Heading1"/>
    <w:uiPriority w:val="9"/>
    <w:rsid w:val="009420CA"/>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302531">
      <w:bodyDiv w:val="1"/>
      <w:marLeft w:val="0"/>
      <w:marRight w:val="0"/>
      <w:marTop w:val="0"/>
      <w:marBottom w:val="0"/>
      <w:divBdr>
        <w:top w:val="none" w:sz="0" w:space="0" w:color="auto"/>
        <w:left w:val="none" w:sz="0" w:space="0" w:color="auto"/>
        <w:bottom w:val="none" w:sz="0" w:space="0" w:color="auto"/>
        <w:right w:val="none" w:sz="0" w:space="0" w:color="auto"/>
      </w:divBdr>
    </w:div>
    <w:div w:id="176847662">
      <w:bodyDiv w:val="1"/>
      <w:marLeft w:val="0"/>
      <w:marRight w:val="0"/>
      <w:marTop w:val="0"/>
      <w:marBottom w:val="0"/>
      <w:divBdr>
        <w:top w:val="none" w:sz="0" w:space="0" w:color="auto"/>
        <w:left w:val="none" w:sz="0" w:space="0" w:color="auto"/>
        <w:bottom w:val="none" w:sz="0" w:space="0" w:color="auto"/>
        <w:right w:val="none" w:sz="0" w:space="0" w:color="auto"/>
      </w:divBdr>
    </w:div>
    <w:div w:id="341780479">
      <w:bodyDiv w:val="1"/>
      <w:marLeft w:val="0"/>
      <w:marRight w:val="0"/>
      <w:marTop w:val="0"/>
      <w:marBottom w:val="0"/>
      <w:divBdr>
        <w:top w:val="none" w:sz="0" w:space="0" w:color="auto"/>
        <w:left w:val="none" w:sz="0" w:space="0" w:color="auto"/>
        <w:bottom w:val="none" w:sz="0" w:space="0" w:color="auto"/>
        <w:right w:val="none" w:sz="0" w:space="0" w:color="auto"/>
      </w:divBdr>
      <w:divsChild>
        <w:div w:id="1154293881">
          <w:marLeft w:val="0"/>
          <w:marRight w:val="0"/>
          <w:marTop w:val="166"/>
          <w:marBottom w:val="166"/>
          <w:divBdr>
            <w:top w:val="none" w:sz="0" w:space="0" w:color="auto"/>
            <w:left w:val="none" w:sz="0" w:space="0" w:color="auto"/>
            <w:bottom w:val="none" w:sz="0" w:space="0" w:color="auto"/>
            <w:right w:val="none" w:sz="0" w:space="0" w:color="auto"/>
          </w:divBdr>
        </w:div>
        <w:div w:id="1379934052">
          <w:marLeft w:val="0"/>
          <w:marRight w:val="0"/>
          <w:marTop w:val="166"/>
          <w:marBottom w:val="166"/>
          <w:divBdr>
            <w:top w:val="none" w:sz="0" w:space="0" w:color="auto"/>
            <w:left w:val="none" w:sz="0" w:space="0" w:color="auto"/>
            <w:bottom w:val="none" w:sz="0" w:space="0" w:color="auto"/>
            <w:right w:val="none" w:sz="0" w:space="0" w:color="auto"/>
          </w:divBdr>
        </w:div>
        <w:div w:id="1387753937">
          <w:marLeft w:val="0"/>
          <w:marRight w:val="0"/>
          <w:marTop w:val="166"/>
          <w:marBottom w:val="166"/>
          <w:divBdr>
            <w:top w:val="none" w:sz="0" w:space="0" w:color="auto"/>
            <w:left w:val="none" w:sz="0" w:space="0" w:color="auto"/>
            <w:bottom w:val="none" w:sz="0" w:space="0" w:color="auto"/>
            <w:right w:val="none" w:sz="0" w:space="0" w:color="auto"/>
          </w:divBdr>
        </w:div>
      </w:divsChild>
    </w:div>
    <w:div w:id="469787781">
      <w:bodyDiv w:val="1"/>
      <w:marLeft w:val="0"/>
      <w:marRight w:val="0"/>
      <w:marTop w:val="0"/>
      <w:marBottom w:val="0"/>
      <w:divBdr>
        <w:top w:val="none" w:sz="0" w:space="0" w:color="auto"/>
        <w:left w:val="none" w:sz="0" w:space="0" w:color="auto"/>
        <w:bottom w:val="none" w:sz="0" w:space="0" w:color="auto"/>
        <w:right w:val="none" w:sz="0" w:space="0" w:color="auto"/>
      </w:divBdr>
      <w:divsChild>
        <w:div w:id="1633093872">
          <w:marLeft w:val="0"/>
          <w:marRight w:val="0"/>
          <w:marTop w:val="0"/>
          <w:marBottom w:val="0"/>
          <w:divBdr>
            <w:top w:val="none" w:sz="0" w:space="0" w:color="auto"/>
            <w:left w:val="none" w:sz="0" w:space="0" w:color="auto"/>
            <w:bottom w:val="none" w:sz="0" w:space="0" w:color="auto"/>
            <w:right w:val="none" w:sz="0" w:space="0" w:color="auto"/>
          </w:divBdr>
        </w:div>
        <w:div w:id="1834376616">
          <w:marLeft w:val="0"/>
          <w:marRight w:val="0"/>
          <w:marTop w:val="332"/>
          <w:marBottom w:val="332"/>
          <w:divBdr>
            <w:top w:val="single" w:sz="6" w:space="0" w:color="97B0C8"/>
            <w:left w:val="none" w:sz="0" w:space="0" w:color="auto"/>
            <w:bottom w:val="none" w:sz="0" w:space="0" w:color="auto"/>
            <w:right w:val="none" w:sz="0" w:space="0" w:color="auto"/>
          </w:divBdr>
        </w:div>
      </w:divsChild>
    </w:div>
    <w:div w:id="641621343">
      <w:bodyDiv w:val="1"/>
      <w:marLeft w:val="0"/>
      <w:marRight w:val="0"/>
      <w:marTop w:val="0"/>
      <w:marBottom w:val="0"/>
      <w:divBdr>
        <w:top w:val="none" w:sz="0" w:space="0" w:color="auto"/>
        <w:left w:val="none" w:sz="0" w:space="0" w:color="auto"/>
        <w:bottom w:val="none" w:sz="0" w:space="0" w:color="auto"/>
        <w:right w:val="none" w:sz="0" w:space="0" w:color="auto"/>
      </w:divBdr>
      <w:divsChild>
        <w:div w:id="828525464">
          <w:marLeft w:val="0"/>
          <w:marRight w:val="0"/>
          <w:marTop w:val="0"/>
          <w:marBottom w:val="0"/>
          <w:divBdr>
            <w:top w:val="none" w:sz="0" w:space="0" w:color="auto"/>
            <w:left w:val="none" w:sz="0" w:space="0" w:color="auto"/>
            <w:bottom w:val="none" w:sz="0" w:space="0" w:color="auto"/>
            <w:right w:val="none" w:sz="0" w:space="0" w:color="auto"/>
          </w:divBdr>
        </w:div>
        <w:div w:id="751391791">
          <w:marLeft w:val="0"/>
          <w:marRight w:val="0"/>
          <w:marTop w:val="0"/>
          <w:marBottom w:val="0"/>
          <w:divBdr>
            <w:top w:val="none" w:sz="0" w:space="0" w:color="auto"/>
            <w:left w:val="none" w:sz="0" w:space="0" w:color="auto"/>
            <w:bottom w:val="none" w:sz="0" w:space="0" w:color="auto"/>
            <w:right w:val="none" w:sz="0" w:space="0" w:color="auto"/>
          </w:divBdr>
        </w:div>
      </w:divsChild>
    </w:div>
    <w:div w:id="930968412">
      <w:bodyDiv w:val="1"/>
      <w:marLeft w:val="0"/>
      <w:marRight w:val="0"/>
      <w:marTop w:val="0"/>
      <w:marBottom w:val="0"/>
      <w:divBdr>
        <w:top w:val="none" w:sz="0" w:space="0" w:color="auto"/>
        <w:left w:val="none" w:sz="0" w:space="0" w:color="auto"/>
        <w:bottom w:val="none" w:sz="0" w:space="0" w:color="auto"/>
        <w:right w:val="none" w:sz="0" w:space="0" w:color="auto"/>
      </w:divBdr>
    </w:div>
    <w:div w:id="1042173510">
      <w:bodyDiv w:val="1"/>
      <w:marLeft w:val="0"/>
      <w:marRight w:val="0"/>
      <w:marTop w:val="0"/>
      <w:marBottom w:val="0"/>
      <w:divBdr>
        <w:top w:val="none" w:sz="0" w:space="0" w:color="auto"/>
        <w:left w:val="none" w:sz="0" w:space="0" w:color="auto"/>
        <w:bottom w:val="none" w:sz="0" w:space="0" w:color="auto"/>
        <w:right w:val="none" w:sz="0" w:space="0" w:color="auto"/>
      </w:divBdr>
    </w:div>
    <w:div w:id="1361511426">
      <w:bodyDiv w:val="1"/>
      <w:marLeft w:val="0"/>
      <w:marRight w:val="0"/>
      <w:marTop w:val="0"/>
      <w:marBottom w:val="0"/>
      <w:divBdr>
        <w:top w:val="none" w:sz="0" w:space="0" w:color="auto"/>
        <w:left w:val="none" w:sz="0" w:space="0" w:color="auto"/>
        <w:bottom w:val="none" w:sz="0" w:space="0" w:color="auto"/>
        <w:right w:val="none" w:sz="0" w:space="0" w:color="auto"/>
      </w:divBdr>
      <w:divsChild>
        <w:div w:id="1386561844">
          <w:marLeft w:val="0"/>
          <w:marRight w:val="0"/>
          <w:marTop w:val="166"/>
          <w:marBottom w:val="166"/>
          <w:divBdr>
            <w:top w:val="none" w:sz="0" w:space="0" w:color="auto"/>
            <w:left w:val="none" w:sz="0" w:space="0" w:color="auto"/>
            <w:bottom w:val="none" w:sz="0" w:space="0" w:color="auto"/>
            <w:right w:val="none" w:sz="0" w:space="0" w:color="auto"/>
          </w:divBdr>
        </w:div>
        <w:div w:id="297414286">
          <w:marLeft w:val="0"/>
          <w:marRight w:val="0"/>
          <w:marTop w:val="166"/>
          <w:marBottom w:val="166"/>
          <w:divBdr>
            <w:top w:val="none" w:sz="0" w:space="0" w:color="auto"/>
            <w:left w:val="none" w:sz="0" w:space="0" w:color="auto"/>
            <w:bottom w:val="none" w:sz="0" w:space="0" w:color="auto"/>
            <w:right w:val="none" w:sz="0" w:space="0" w:color="auto"/>
          </w:divBdr>
        </w:div>
        <w:div w:id="113184716">
          <w:marLeft w:val="0"/>
          <w:marRight w:val="0"/>
          <w:marTop w:val="166"/>
          <w:marBottom w:val="166"/>
          <w:divBdr>
            <w:top w:val="none" w:sz="0" w:space="0" w:color="auto"/>
            <w:left w:val="none" w:sz="0" w:space="0" w:color="auto"/>
            <w:bottom w:val="none" w:sz="0" w:space="0" w:color="auto"/>
            <w:right w:val="none" w:sz="0" w:space="0" w:color="auto"/>
          </w:divBdr>
        </w:div>
        <w:div w:id="395131059">
          <w:marLeft w:val="0"/>
          <w:marRight w:val="0"/>
          <w:marTop w:val="166"/>
          <w:marBottom w:val="166"/>
          <w:divBdr>
            <w:top w:val="none" w:sz="0" w:space="0" w:color="auto"/>
            <w:left w:val="none" w:sz="0" w:space="0" w:color="auto"/>
            <w:bottom w:val="none" w:sz="0" w:space="0" w:color="auto"/>
            <w:right w:val="none" w:sz="0" w:space="0" w:color="auto"/>
          </w:divBdr>
        </w:div>
        <w:div w:id="1064764891">
          <w:marLeft w:val="0"/>
          <w:marRight w:val="0"/>
          <w:marTop w:val="166"/>
          <w:marBottom w:val="166"/>
          <w:divBdr>
            <w:top w:val="none" w:sz="0" w:space="0" w:color="auto"/>
            <w:left w:val="none" w:sz="0" w:space="0" w:color="auto"/>
            <w:bottom w:val="none" w:sz="0" w:space="0" w:color="auto"/>
            <w:right w:val="none" w:sz="0" w:space="0" w:color="auto"/>
          </w:divBdr>
        </w:div>
        <w:div w:id="919410244">
          <w:marLeft w:val="0"/>
          <w:marRight w:val="0"/>
          <w:marTop w:val="166"/>
          <w:marBottom w:val="166"/>
          <w:divBdr>
            <w:top w:val="none" w:sz="0" w:space="0" w:color="auto"/>
            <w:left w:val="none" w:sz="0" w:space="0" w:color="auto"/>
            <w:bottom w:val="none" w:sz="0" w:space="0" w:color="auto"/>
            <w:right w:val="none" w:sz="0" w:space="0" w:color="auto"/>
          </w:divBdr>
        </w:div>
        <w:div w:id="912160369">
          <w:marLeft w:val="0"/>
          <w:marRight w:val="0"/>
          <w:marTop w:val="166"/>
          <w:marBottom w:val="166"/>
          <w:divBdr>
            <w:top w:val="none" w:sz="0" w:space="0" w:color="auto"/>
            <w:left w:val="none" w:sz="0" w:space="0" w:color="auto"/>
            <w:bottom w:val="none" w:sz="0" w:space="0" w:color="auto"/>
            <w:right w:val="none" w:sz="0" w:space="0" w:color="auto"/>
          </w:divBdr>
        </w:div>
        <w:div w:id="137696189">
          <w:marLeft w:val="0"/>
          <w:marRight w:val="0"/>
          <w:marTop w:val="166"/>
          <w:marBottom w:val="166"/>
          <w:divBdr>
            <w:top w:val="none" w:sz="0" w:space="0" w:color="auto"/>
            <w:left w:val="none" w:sz="0" w:space="0" w:color="auto"/>
            <w:bottom w:val="none" w:sz="0" w:space="0" w:color="auto"/>
            <w:right w:val="none" w:sz="0" w:space="0" w:color="auto"/>
          </w:divBdr>
        </w:div>
        <w:div w:id="1336689839">
          <w:marLeft w:val="0"/>
          <w:marRight w:val="0"/>
          <w:marTop w:val="166"/>
          <w:marBottom w:val="166"/>
          <w:divBdr>
            <w:top w:val="none" w:sz="0" w:space="0" w:color="auto"/>
            <w:left w:val="none" w:sz="0" w:space="0" w:color="auto"/>
            <w:bottom w:val="none" w:sz="0" w:space="0" w:color="auto"/>
            <w:right w:val="none" w:sz="0" w:space="0" w:color="auto"/>
          </w:divBdr>
        </w:div>
        <w:div w:id="212624970">
          <w:marLeft w:val="0"/>
          <w:marRight w:val="0"/>
          <w:marTop w:val="166"/>
          <w:marBottom w:val="166"/>
          <w:divBdr>
            <w:top w:val="none" w:sz="0" w:space="0" w:color="auto"/>
            <w:left w:val="none" w:sz="0" w:space="0" w:color="auto"/>
            <w:bottom w:val="none" w:sz="0" w:space="0" w:color="auto"/>
            <w:right w:val="none" w:sz="0" w:space="0" w:color="auto"/>
          </w:divBdr>
        </w:div>
        <w:div w:id="1409232494">
          <w:marLeft w:val="0"/>
          <w:marRight w:val="0"/>
          <w:marTop w:val="166"/>
          <w:marBottom w:val="166"/>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2465709/" TargetMode="External"/><Relationship Id="rId13" Type="http://schemas.openxmlformats.org/officeDocument/2006/relationships/hyperlink" Target="https://www.ncbi.nlm.nih.gov/pmc/articles/PMC2465709/" TargetMode="External"/><Relationship Id="rId18" Type="http://schemas.openxmlformats.org/officeDocument/2006/relationships/hyperlink" Target="https://www.ncbi.nlm.nih.gov/pmc/articles/PMC2465709/" TargetMode="External"/><Relationship Id="rId3" Type="http://schemas.openxmlformats.org/officeDocument/2006/relationships/webSettings" Target="webSettings.xml"/><Relationship Id="rId21" Type="http://schemas.openxmlformats.org/officeDocument/2006/relationships/hyperlink" Target="https://scholar.google.com/scholar_lookup?journal=Soc+Hist+Med&amp;volume=1&amp;publication_year=1988&amp;pages=1-37&amp;" TargetMode="External"/><Relationship Id="rId7" Type="http://schemas.openxmlformats.org/officeDocument/2006/relationships/hyperlink" Target="https://www.ncbi.nlm.nih.gov/pmc/articles/PMC2465709/" TargetMode="External"/><Relationship Id="rId12" Type="http://schemas.openxmlformats.org/officeDocument/2006/relationships/hyperlink" Target="https://www.ncbi.nlm.nih.gov/pmc/articles/PMC2465709/" TargetMode="External"/><Relationship Id="rId17" Type="http://schemas.openxmlformats.org/officeDocument/2006/relationships/hyperlink" Target="https://www.ncbi.nlm.nih.gov/pmc/articles/PMC2465709/" TargetMode="External"/><Relationship Id="rId2" Type="http://schemas.openxmlformats.org/officeDocument/2006/relationships/settings" Target="settings.xml"/><Relationship Id="rId16" Type="http://schemas.openxmlformats.org/officeDocument/2006/relationships/hyperlink" Target="https://www.ncbi.nlm.nih.gov/pmc/articles/PMC2465709/" TargetMode="External"/><Relationship Id="rId20" Type="http://schemas.openxmlformats.org/officeDocument/2006/relationships/hyperlink" Target="https://www.ncbi.nlm.nih.gov/pubmed/16791973" TargetMode="External"/><Relationship Id="rId1" Type="http://schemas.openxmlformats.org/officeDocument/2006/relationships/styles" Target="styles.xml"/><Relationship Id="rId6" Type="http://schemas.openxmlformats.org/officeDocument/2006/relationships/hyperlink" Target="https://www.ncbi.nlm.nih.gov/pmc/articles/PMC2465709/" TargetMode="External"/><Relationship Id="rId11" Type="http://schemas.openxmlformats.org/officeDocument/2006/relationships/hyperlink" Target="https://www.ncbi.nlm.nih.gov/pmc/articles/PMC2465709/" TargetMode="External"/><Relationship Id="rId5" Type="http://schemas.openxmlformats.org/officeDocument/2006/relationships/hyperlink" Target="https://www.ncbi.nlm.nih.gov/pmc/articles/PMC2465709/" TargetMode="External"/><Relationship Id="rId15" Type="http://schemas.openxmlformats.org/officeDocument/2006/relationships/hyperlink" Target="https://www.ncbi.nlm.nih.gov/pmc/articles/PMC2465709/" TargetMode="External"/><Relationship Id="rId23" Type="http://schemas.openxmlformats.org/officeDocument/2006/relationships/theme" Target="theme/theme1.xml"/><Relationship Id="rId10" Type="http://schemas.openxmlformats.org/officeDocument/2006/relationships/hyperlink" Target="https://www.ncbi.nlm.nih.gov/pmc/articles/PMC2465709/" TargetMode="External"/><Relationship Id="rId19" Type="http://schemas.openxmlformats.org/officeDocument/2006/relationships/hyperlink" Target="https://www.ncbi.nlm.nih.gov/pmc/articles/PMC2465709/" TargetMode="External"/><Relationship Id="rId4" Type="http://schemas.openxmlformats.org/officeDocument/2006/relationships/hyperlink" Target="https://www.ncbi.nlm.nih.gov/pmc/articles/PMC2465709/" TargetMode="External"/><Relationship Id="rId9" Type="http://schemas.openxmlformats.org/officeDocument/2006/relationships/hyperlink" Target="https://www.ncbi.nlm.nih.gov/pmc/articles/PMC2465709/" TargetMode="External"/><Relationship Id="rId14" Type="http://schemas.openxmlformats.org/officeDocument/2006/relationships/hyperlink" Target="https://www.ncbi.nlm.nih.gov/pmc/articles/PMC2465709/"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3</Pages>
  <Words>1654</Words>
  <Characters>9429</Characters>
  <Application>Microsoft Office Word</Application>
  <DocSecurity>0</DocSecurity>
  <Lines>78</Lines>
  <Paragraphs>22</Paragraphs>
  <ScaleCrop>false</ScaleCrop>
  <Company/>
  <LinksUpToDate>false</LinksUpToDate>
  <CharactersWithSpaces>11061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Conway Davies</dc:creator>
  <cp:keywords/>
  <dc:description/>
  <cp:lastModifiedBy>Conway Davies</cp:lastModifiedBy>
  <cp:revision>1</cp:revision>
  <dcterms:created xsi:type="dcterms:W3CDTF">2019-12-04T09:20:00Z</dcterms:created>
  <dcterms:modified xsi:type="dcterms:W3CDTF">2019-12-04T09:29:00Z</dcterms:modified>
</cp:coreProperties>
</file>