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5BC6E" w14:textId="77777777" w:rsidR="00A734E7" w:rsidRDefault="00A734E7" w:rsidP="0068657A">
      <w:pPr>
        <w:autoSpaceDE w:val="0"/>
        <w:autoSpaceDN w:val="0"/>
        <w:adjustRightInd w:val="0"/>
        <w:spacing w:line="360" w:lineRule="auto"/>
        <w:jc w:val="center"/>
        <w:rPr>
          <w:rFonts w:ascii="Arial" w:hAnsi="Arial" w:cs="Arial"/>
          <w:sz w:val="36"/>
          <w:szCs w:val="36"/>
        </w:rPr>
      </w:pPr>
    </w:p>
    <w:p w14:paraId="42942228" w14:textId="77777777" w:rsidR="00A734E7" w:rsidRDefault="00A734E7" w:rsidP="0068657A">
      <w:pPr>
        <w:autoSpaceDE w:val="0"/>
        <w:autoSpaceDN w:val="0"/>
        <w:adjustRightInd w:val="0"/>
        <w:spacing w:line="360" w:lineRule="auto"/>
        <w:jc w:val="center"/>
        <w:rPr>
          <w:rFonts w:ascii="Arial" w:hAnsi="Arial" w:cs="Arial"/>
          <w:sz w:val="36"/>
          <w:szCs w:val="36"/>
        </w:rPr>
      </w:pPr>
    </w:p>
    <w:p w14:paraId="3FF32698" w14:textId="77777777" w:rsidR="00A734E7" w:rsidRDefault="00A734E7" w:rsidP="0068657A">
      <w:pPr>
        <w:autoSpaceDE w:val="0"/>
        <w:autoSpaceDN w:val="0"/>
        <w:adjustRightInd w:val="0"/>
        <w:spacing w:line="360" w:lineRule="auto"/>
        <w:jc w:val="center"/>
        <w:rPr>
          <w:rFonts w:ascii="Arial" w:hAnsi="Arial" w:cs="Arial"/>
          <w:sz w:val="36"/>
          <w:szCs w:val="36"/>
        </w:rPr>
      </w:pPr>
    </w:p>
    <w:p w14:paraId="560B0B08" w14:textId="77777777" w:rsidR="00A734E7" w:rsidRDefault="00A734E7" w:rsidP="0068657A">
      <w:pPr>
        <w:autoSpaceDE w:val="0"/>
        <w:autoSpaceDN w:val="0"/>
        <w:adjustRightInd w:val="0"/>
        <w:spacing w:line="360" w:lineRule="auto"/>
        <w:jc w:val="center"/>
        <w:rPr>
          <w:rFonts w:ascii="Arial" w:hAnsi="Arial" w:cs="Arial"/>
          <w:sz w:val="36"/>
          <w:szCs w:val="36"/>
        </w:rPr>
      </w:pPr>
    </w:p>
    <w:p w14:paraId="70B0E63A" w14:textId="77777777" w:rsidR="00A734E7" w:rsidRDefault="00A734E7" w:rsidP="0068657A">
      <w:pPr>
        <w:autoSpaceDE w:val="0"/>
        <w:autoSpaceDN w:val="0"/>
        <w:adjustRightInd w:val="0"/>
        <w:spacing w:line="360" w:lineRule="auto"/>
        <w:jc w:val="center"/>
        <w:rPr>
          <w:rFonts w:ascii="Arial" w:hAnsi="Arial" w:cs="Arial"/>
          <w:sz w:val="36"/>
          <w:szCs w:val="36"/>
        </w:rPr>
      </w:pPr>
    </w:p>
    <w:p w14:paraId="7A3317D8" w14:textId="00B31172" w:rsidR="00A85A01" w:rsidRPr="00A734E7" w:rsidRDefault="00A85A01" w:rsidP="0068657A">
      <w:pPr>
        <w:autoSpaceDE w:val="0"/>
        <w:autoSpaceDN w:val="0"/>
        <w:adjustRightInd w:val="0"/>
        <w:spacing w:line="360" w:lineRule="auto"/>
        <w:jc w:val="center"/>
        <w:rPr>
          <w:rFonts w:ascii="Arial" w:hAnsi="Arial" w:cs="Arial"/>
          <w:sz w:val="36"/>
          <w:szCs w:val="36"/>
        </w:rPr>
      </w:pPr>
      <w:r w:rsidRPr="00A734E7">
        <w:rPr>
          <w:rFonts w:ascii="Arial" w:hAnsi="Arial" w:cs="Arial"/>
          <w:sz w:val="36"/>
          <w:szCs w:val="36"/>
        </w:rPr>
        <w:t>A CRITICAL EVALUATION AND THE IDENTIFICATION OF NEXT TEACHING AND LEARNING STEPS FOCUSING ON A CASE STUDY OF AN INDIVIDUAL LEARNER OR GROUP OF LEARNERS, BASED ON AN OBSERVED CRITICAL INCIDENT.</w:t>
      </w:r>
    </w:p>
    <w:p w14:paraId="5F8D0A69" w14:textId="72C558C8" w:rsidR="00556203" w:rsidRDefault="00556203" w:rsidP="0068657A">
      <w:pPr>
        <w:autoSpaceDE w:val="0"/>
        <w:autoSpaceDN w:val="0"/>
        <w:adjustRightInd w:val="0"/>
        <w:spacing w:line="360" w:lineRule="auto"/>
        <w:jc w:val="center"/>
        <w:rPr>
          <w:rFonts w:ascii="Arial" w:hAnsi="Arial" w:cs="Arial"/>
          <w:sz w:val="28"/>
          <w:szCs w:val="28"/>
        </w:rPr>
      </w:pPr>
      <w:r>
        <w:rPr>
          <w:rFonts w:ascii="Arial" w:hAnsi="Arial" w:cs="Arial"/>
          <w:sz w:val="28"/>
          <w:szCs w:val="28"/>
        </w:rPr>
        <w:t>Student number: 2204428</w:t>
      </w:r>
    </w:p>
    <w:p w14:paraId="0A9F425F" w14:textId="07A8BFFC" w:rsidR="00A85A01" w:rsidRPr="00A734E7" w:rsidRDefault="00A85A01" w:rsidP="0068657A">
      <w:pPr>
        <w:autoSpaceDE w:val="0"/>
        <w:autoSpaceDN w:val="0"/>
        <w:adjustRightInd w:val="0"/>
        <w:spacing w:line="360" w:lineRule="auto"/>
        <w:jc w:val="center"/>
        <w:rPr>
          <w:rFonts w:ascii="Arial" w:hAnsi="Arial" w:cs="Arial"/>
          <w:sz w:val="28"/>
          <w:szCs w:val="28"/>
        </w:rPr>
      </w:pPr>
      <w:r w:rsidRPr="00A734E7">
        <w:rPr>
          <w:rFonts w:ascii="Arial" w:hAnsi="Arial" w:cs="Arial"/>
          <w:sz w:val="28"/>
          <w:szCs w:val="28"/>
        </w:rPr>
        <w:t>Module 6007</w:t>
      </w:r>
      <w:r w:rsidR="00556203">
        <w:rPr>
          <w:rFonts w:ascii="Arial" w:hAnsi="Arial" w:cs="Arial"/>
          <w:sz w:val="28"/>
          <w:szCs w:val="28"/>
        </w:rPr>
        <w:t xml:space="preserve">: </w:t>
      </w:r>
      <w:r w:rsidRPr="00A734E7">
        <w:rPr>
          <w:rFonts w:ascii="Arial" w:hAnsi="Arial" w:cs="Arial"/>
          <w:sz w:val="28"/>
          <w:szCs w:val="28"/>
        </w:rPr>
        <w:t>Assignment 1</w:t>
      </w:r>
    </w:p>
    <w:p w14:paraId="1AC1EF9C" w14:textId="77777777" w:rsidR="00A85A01" w:rsidRPr="00A734E7" w:rsidRDefault="00A85A01" w:rsidP="0068657A">
      <w:pPr>
        <w:autoSpaceDE w:val="0"/>
        <w:autoSpaceDN w:val="0"/>
        <w:adjustRightInd w:val="0"/>
        <w:spacing w:line="360" w:lineRule="auto"/>
        <w:jc w:val="center"/>
        <w:rPr>
          <w:rFonts w:ascii="Arial" w:hAnsi="Arial" w:cs="Arial"/>
          <w:sz w:val="28"/>
          <w:szCs w:val="28"/>
        </w:rPr>
      </w:pPr>
      <w:r w:rsidRPr="00A734E7">
        <w:rPr>
          <w:rFonts w:ascii="Arial" w:hAnsi="Arial" w:cs="Arial"/>
          <w:sz w:val="28"/>
          <w:szCs w:val="28"/>
        </w:rPr>
        <w:t>PGCE Primary</w:t>
      </w:r>
    </w:p>
    <w:p w14:paraId="1D11F6E3" w14:textId="77777777" w:rsidR="00A85A01" w:rsidRPr="00A734E7" w:rsidRDefault="00A85A01" w:rsidP="0068657A">
      <w:pPr>
        <w:autoSpaceDE w:val="0"/>
        <w:autoSpaceDN w:val="0"/>
        <w:adjustRightInd w:val="0"/>
        <w:spacing w:line="360" w:lineRule="auto"/>
        <w:jc w:val="center"/>
        <w:rPr>
          <w:rFonts w:ascii="Arial" w:hAnsi="Arial" w:cs="Arial"/>
          <w:sz w:val="28"/>
          <w:szCs w:val="28"/>
        </w:rPr>
      </w:pPr>
      <w:r w:rsidRPr="00A734E7">
        <w:rPr>
          <w:rFonts w:ascii="Arial" w:hAnsi="Arial" w:cs="Arial"/>
          <w:sz w:val="28"/>
          <w:szCs w:val="28"/>
        </w:rPr>
        <w:t>University of Wales Trinity St David</w:t>
      </w:r>
    </w:p>
    <w:p w14:paraId="55391351" w14:textId="78DEF824" w:rsidR="00AE6A95" w:rsidRDefault="00A85A01" w:rsidP="00A734E7">
      <w:pPr>
        <w:autoSpaceDE w:val="0"/>
        <w:autoSpaceDN w:val="0"/>
        <w:adjustRightInd w:val="0"/>
        <w:spacing w:line="360" w:lineRule="auto"/>
        <w:jc w:val="center"/>
        <w:rPr>
          <w:rFonts w:ascii="Arial" w:hAnsi="Arial" w:cs="Arial"/>
          <w:sz w:val="28"/>
          <w:szCs w:val="28"/>
        </w:rPr>
      </w:pPr>
      <w:r w:rsidRPr="00A734E7">
        <w:rPr>
          <w:rFonts w:ascii="Arial" w:hAnsi="Arial" w:cs="Arial"/>
          <w:sz w:val="28"/>
          <w:szCs w:val="28"/>
        </w:rPr>
        <w:t>7</w:t>
      </w:r>
      <w:r w:rsidRPr="00A734E7">
        <w:rPr>
          <w:rFonts w:ascii="Arial" w:hAnsi="Arial" w:cs="Arial"/>
          <w:sz w:val="28"/>
          <w:szCs w:val="28"/>
          <w:vertAlign w:val="superscript"/>
        </w:rPr>
        <w:t>th</w:t>
      </w:r>
      <w:r w:rsidRPr="00A734E7">
        <w:rPr>
          <w:rFonts w:ascii="Arial" w:hAnsi="Arial" w:cs="Arial"/>
          <w:sz w:val="28"/>
          <w:szCs w:val="28"/>
        </w:rPr>
        <w:t xml:space="preserve"> November 2022</w:t>
      </w:r>
    </w:p>
    <w:p w14:paraId="1CE263CF" w14:textId="77777777" w:rsidR="00AE6A95" w:rsidRDefault="00AE6A95">
      <w:pPr>
        <w:rPr>
          <w:rFonts w:ascii="Arial" w:hAnsi="Arial" w:cs="Arial"/>
          <w:sz w:val="28"/>
          <w:szCs w:val="28"/>
        </w:rPr>
      </w:pPr>
      <w:r>
        <w:rPr>
          <w:rFonts w:ascii="Arial" w:hAnsi="Arial" w:cs="Arial"/>
          <w:sz w:val="28"/>
          <w:szCs w:val="28"/>
        </w:rPr>
        <w:br w:type="page"/>
      </w:r>
    </w:p>
    <w:p w14:paraId="5FF5EF02" w14:textId="77777777" w:rsidR="00A85A01" w:rsidRPr="00FE6D7A" w:rsidRDefault="00A85A01" w:rsidP="00FB617B">
      <w:pPr>
        <w:autoSpaceDE w:val="0"/>
        <w:autoSpaceDN w:val="0"/>
        <w:adjustRightInd w:val="0"/>
        <w:spacing w:line="360" w:lineRule="auto"/>
        <w:jc w:val="center"/>
        <w:rPr>
          <w:rFonts w:ascii="Arial" w:hAnsi="Arial" w:cs="Arial"/>
          <w:sz w:val="28"/>
          <w:szCs w:val="28"/>
        </w:rPr>
      </w:pPr>
    </w:p>
    <w:p w14:paraId="09A6F4C1" w14:textId="77777777" w:rsidR="00A85A01" w:rsidRPr="00FE6D7A" w:rsidRDefault="00A85A01" w:rsidP="00FB617B">
      <w:pPr>
        <w:autoSpaceDE w:val="0"/>
        <w:autoSpaceDN w:val="0"/>
        <w:adjustRightInd w:val="0"/>
        <w:spacing w:line="360" w:lineRule="auto"/>
        <w:jc w:val="center"/>
        <w:rPr>
          <w:rFonts w:ascii="Arial" w:hAnsi="Arial" w:cs="Arial"/>
          <w:sz w:val="28"/>
          <w:szCs w:val="28"/>
        </w:rPr>
      </w:pPr>
    </w:p>
    <w:p w14:paraId="050E9680" w14:textId="77777777" w:rsidR="00AE6A95" w:rsidRPr="00FB617B" w:rsidRDefault="00AE6A95" w:rsidP="00FB617B">
      <w:pPr>
        <w:spacing w:line="360" w:lineRule="auto"/>
        <w:jc w:val="center"/>
        <w:rPr>
          <w:rFonts w:ascii="Arial" w:hAnsi="Arial" w:cs="Arial"/>
          <w:sz w:val="36"/>
          <w:szCs w:val="36"/>
        </w:rPr>
      </w:pPr>
      <w:r w:rsidRPr="00FB617B">
        <w:rPr>
          <w:rFonts w:ascii="Arial" w:hAnsi="Arial" w:cs="Arial"/>
          <w:sz w:val="36"/>
          <w:szCs w:val="36"/>
        </w:rPr>
        <w:t>Contents</w:t>
      </w:r>
    </w:p>
    <w:p w14:paraId="5AE86E43" w14:textId="77777777" w:rsidR="00AE6A95" w:rsidRPr="00FE6D7A" w:rsidRDefault="00AE6A95" w:rsidP="00FB617B">
      <w:pPr>
        <w:spacing w:line="360" w:lineRule="auto"/>
        <w:jc w:val="center"/>
        <w:rPr>
          <w:rFonts w:ascii="Arial" w:hAnsi="Arial" w:cs="Arial"/>
          <w:sz w:val="28"/>
          <w:szCs w:val="28"/>
        </w:rPr>
      </w:pPr>
    </w:p>
    <w:p w14:paraId="764D6236" w14:textId="536032F5" w:rsidR="00FE6D7A" w:rsidRPr="00FE6D7A" w:rsidRDefault="00AE6A95" w:rsidP="00FB617B">
      <w:pPr>
        <w:spacing w:line="360" w:lineRule="auto"/>
        <w:jc w:val="center"/>
        <w:rPr>
          <w:rFonts w:ascii="Arial" w:hAnsi="Arial" w:cs="Arial"/>
          <w:sz w:val="28"/>
          <w:szCs w:val="28"/>
        </w:rPr>
      </w:pPr>
      <w:r w:rsidRPr="00FE6D7A">
        <w:rPr>
          <w:rFonts w:ascii="Arial" w:hAnsi="Arial" w:cs="Arial"/>
          <w:sz w:val="28"/>
          <w:szCs w:val="28"/>
        </w:rPr>
        <w:t>Introduction</w:t>
      </w:r>
      <w:r w:rsidR="00FE6D7A" w:rsidRPr="00FE6D7A">
        <w:rPr>
          <w:rFonts w:ascii="Arial" w:hAnsi="Arial" w:cs="Arial"/>
          <w:sz w:val="28"/>
          <w:szCs w:val="28"/>
        </w:rPr>
        <w:t xml:space="preserve"> – 2</w:t>
      </w:r>
    </w:p>
    <w:p w14:paraId="2CCACF0D" w14:textId="18397403" w:rsidR="00FE6D7A" w:rsidRPr="00FE6D7A" w:rsidRDefault="00FE6D7A" w:rsidP="00FB617B">
      <w:pPr>
        <w:autoSpaceDE w:val="0"/>
        <w:autoSpaceDN w:val="0"/>
        <w:adjustRightInd w:val="0"/>
        <w:spacing w:after="40" w:line="360" w:lineRule="auto"/>
        <w:jc w:val="center"/>
        <w:rPr>
          <w:rFonts w:ascii="Arial" w:hAnsi="Arial" w:cs="Arial"/>
          <w:sz w:val="28"/>
          <w:szCs w:val="28"/>
        </w:rPr>
      </w:pPr>
      <w:r w:rsidRPr="00FE6D7A">
        <w:rPr>
          <w:rFonts w:ascii="Arial" w:hAnsi="Arial" w:cs="Arial"/>
          <w:sz w:val="28"/>
          <w:szCs w:val="28"/>
        </w:rPr>
        <w:t>The role of critical reflection</w:t>
      </w:r>
      <w:r w:rsidRPr="00FE6D7A">
        <w:rPr>
          <w:rFonts w:ascii="Arial" w:hAnsi="Arial" w:cs="Arial"/>
          <w:sz w:val="28"/>
          <w:szCs w:val="28"/>
        </w:rPr>
        <w:t xml:space="preserve"> – 2</w:t>
      </w:r>
    </w:p>
    <w:p w14:paraId="7B75F54B" w14:textId="0C94EC08" w:rsidR="00FE6D7A" w:rsidRPr="00FE6D7A" w:rsidRDefault="00FE6D7A" w:rsidP="00FB617B">
      <w:pPr>
        <w:autoSpaceDE w:val="0"/>
        <w:autoSpaceDN w:val="0"/>
        <w:adjustRightInd w:val="0"/>
        <w:spacing w:after="40" w:line="360" w:lineRule="auto"/>
        <w:jc w:val="center"/>
        <w:rPr>
          <w:rFonts w:ascii="Arial" w:hAnsi="Arial" w:cs="Arial"/>
          <w:sz w:val="28"/>
          <w:szCs w:val="28"/>
        </w:rPr>
      </w:pPr>
      <w:r w:rsidRPr="00FE6D7A">
        <w:rPr>
          <w:rFonts w:ascii="Arial" w:hAnsi="Arial" w:cs="Arial"/>
          <w:sz w:val="28"/>
          <w:szCs w:val="28"/>
        </w:rPr>
        <w:t>Observation</w:t>
      </w:r>
      <w:r w:rsidRPr="00FE6D7A">
        <w:rPr>
          <w:rFonts w:ascii="Arial" w:hAnsi="Arial" w:cs="Arial"/>
          <w:sz w:val="28"/>
          <w:szCs w:val="28"/>
        </w:rPr>
        <w:t xml:space="preserve"> – 4</w:t>
      </w:r>
    </w:p>
    <w:p w14:paraId="673032DD" w14:textId="1B89846F" w:rsidR="00FE6D7A" w:rsidRPr="00FE6D7A" w:rsidRDefault="00FE6D7A" w:rsidP="00FB617B">
      <w:pPr>
        <w:autoSpaceDE w:val="0"/>
        <w:autoSpaceDN w:val="0"/>
        <w:adjustRightInd w:val="0"/>
        <w:spacing w:after="40" w:line="360" w:lineRule="auto"/>
        <w:jc w:val="center"/>
        <w:rPr>
          <w:rFonts w:ascii="Arial" w:hAnsi="Arial" w:cs="Arial"/>
          <w:sz w:val="28"/>
          <w:szCs w:val="28"/>
        </w:rPr>
      </w:pPr>
      <w:r w:rsidRPr="00FE6D7A">
        <w:rPr>
          <w:rFonts w:ascii="Arial" w:hAnsi="Arial" w:cs="Arial"/>
          <w:sz w:val="28"/>
          <w:szCs w:val="28"/>
        </w:rPr>
        <w:t>Literature review</w:t>
      </w:r>
      <w:r w:rsidRPr="00FE6D7A">
        <w:rPr>
          <w:rFonts w:ascii="Arial" w:hAnsi="Arial" w:cs="Arial"/>
          <w:sz w:val="28"/>
          <w:szCs w:val="28"/>
        </w:rPr>
        <w:t xml:space="preserve"> – 6</w:t>
      </w:r>
    </w:p>
    <w:p w14:paraId="05AA5724" w14:textId="228E028E" w:rsidR="00FE6D7A" w:rsidRPr="00FE6D7A" w:rsidRDefault="00FE6D7A" w:rsidP="00FB617B">
      <w:pPr>
        <w:autoSpaceDE w:val="0"/>
        <w:autoSpaceDN w:val="0"/>
        <w:adjustRightInd w:val="0"/>
        <w:spacing w:after="40" w:line="360" w:lineRule="auto"/>
        <w:jc w:val="center"/>
        <w:rPr>
          <w:rFonts w:ascii="Arial" w:hAnsi="Arial" w:cs="Arial"/>
          <w:sz w:val="28"/>
          <w:szCs w:val="28"/>
        </w:rPr>
      </w:pPr>
      <w:r w:rsidRPr="00FE6D7A">
        <w:rPr>
          <w:rFonts w:ascii="Arial" w:hAnsi="Arial" w:cs="Arial"/>
          <w:sz w:val="28"/>
          <w:szCs w:val="28"/>
        </w:rPr>
        <w:t>Next steps</w:t>
      </w:r>
      <w:r w:rsidRPr="00FE6D7A">
        <w:rPr>
          <w:rFonts w:ascii="Arial" w:hAnsi="Arial" w:cs="Arial"/>
          <w:sz w:val="28"/>
          <w:szCs w:val="28"/>
        </w:rPr>
        <w:t xml:space="preserve"> – 9</w:t>
      </w:r>
    </w:p>
    <w:p w14:paraId="3D04B6EF" w14:textId="5F18B142" w:rsidR="00FE6D7A" w:rsidRPr="00FE6D7A" w:rsidRDefault="00FE6D7A" w:rsidP="00FB617B">
      <w:pPr>
        <w:autoSpaceDE w:val="0"/>
        <w:autoSpaceDN w:val="0"/>
        <w:adjustRightInd w:val="0"/>
        <w:spacing w:after="40" w:line="360" w:lineRule="auto"/>
        <w:jc w:val="center"/>
        <w:rPr>
          <w:rFonts w:ascii="Arial" w:hAnsi="Arial" w:cs="Arial"/>
          <w:sz w:val="28"/>
          <w:szCs w:val="28"/>
        </w:rPr>
      </w:pPr>
      <w:r w:rsidRPr="00FE6D7A">
        <w:rPr>
          <w:rFonts w:ascii="Arial" w:hAnsi="Arial" w:cs="Arial"/>
          <w:sz w:val="28"/>
          <w:szCs w:val="28"/>
        </w:rPr>
        <w:t>Conclusion</w:t>
      </w:r>
      <w:r w:rsidRPr="00FE6D7A">
        <w:rPr>
          <w:rFonts w:ascii="Arial" w:hAnsi="Arial" w:cs="Arial"/>
          <w:sz w:val="28"/>
          <w:szCs w:val="28"/>
        </w:rPr>
        <w:t xml:space="preserve"> - 11</w:t>
      </w:r>
    </w:p>
    <w:p w14:paraId="50B591E7" w14:textId="77777777" w:rsidR="00FE6D7A" w:rsidRPr="00FC273C" w:rsidRDefault="00FE6D7A" w:rsidP="00FE6D7A">
      <w:pPr>
        <w:autoSpaceDE w:val="0"/>
        <w:autoSpaceDN w:val="0"/>
        <w:adjustRightInd w:val="0"/>
        <w:spacing w:after="40" w:line="360" w:lineRule="auto"/>
        <w:jc w:val="both"/>
        <w:rPr>
          <w:rFonts w:ascii="Arial" w:hAnsi="Arial" w:cs="Arial"/>
          <w:sz w:val="28"/>
          <w:szCs w:val="28"/>
        </w:rPr>
      </w:pPr>
    </w:p>
    <w:p w14:paraId="06AAECEB" w14:textId="77777777" w:rsidR="00FE6D7A" w:rsidRPr="00C83827" w:rsidRDefault="00FE6D7A" w:rsidP="00FE6D7A">
      <w:pPr>
        <w:autoSpaceDE w:val="0"/>
        <w:autoSpaceDN w:val="0"/>
        <w:adjustRightInd w:val="0"/>
        <w:spacing w:after="40" w:line="360" w:lineRule="auto"/>
        <w:jc w:val="both"/>
        <w:rPr>
          <w:rFonts w:ascii="Arial" w:hAnsi="Arial" w:cs="Arial"/>
          <w:sz w:val="28"/>
          <w:szCs w:val="28"/>
        </w:rPr>
      </w:pPr>
    </w:p>
    <w:p w14:paraId="482FA741" w14:textId="77777777" w:rsidR="00FE6D7A" w:rsidRDefault="00FE6D7A" w:rsidP="00FE6D7A">
      <w:pPr>
        <w:autoSpaceDE w:val="0"/>
        <w:autoSpaceDN w:val="0"/>
        <w:adjustRightInd w:val="0"/>
        <w:spacing w:after="40" w:line="360" w:lineRule="auto"/>
        <w:jc w:val="both"/>
        <w:rPr>
          <w:rFonts w:ascii="Arial" w:hAnsi="Arial" w:cs="Arial"/>
          <w:sz w:val="28"/>
          <w:szCs w:val="28"/>
        </w:rPr>
      </w:pPr>
    </w:p>
    <w:p w14:paraId="4BA04FB9" w14:textId="77777777" w:rsidR="00FE6D7A" w:rsidRPr="00C83827" w:rsidRDefault="00FE6D7A" w:rsidP="00FE6D7A">
      <w:pPr>
        <w:autoSpaceDE w:val="0"/>
        <w:autoSpaceDN w:val="0"/>
        <w:adjustRightInd w:val="0"/>
        <w:spacing w:after="40" w:line="360" w:lineRule="auto"/>
        <w:jc w:val="both"/>
        <w:rPr>
          <w:rFonts w:ascii="Arial" w:hAnsi="Arial" w:cs="Arial"/>
          <w:sz w:val="28"/>
          <w:szCs w:val="28"/>
        </w:rPr>
      </w:pPr>
    </w:p>
    <w:p w14:paraId="255AF08B" w14:textId="77777777" w:rsidR="00FE6D7A" w:rsidRDefault="00FE6D7A" w:rsidP="00FE6D7A">
      <w:pPr>
        <w:autoSpaceDE w:val="0"/>
        <w:autoSpaceDN w:val="0"/>
        <w:adjustRightInd w:val="0"/>
        <w:spacing w:after="40" w:line="360" w:lineRule="auto"/>
        <w:jc w:val="both"/>
        <w:rPr>
          <w:rFonts w:ascii="Arial" w:hAnsi="Arial" w:cs="Arial"/>
          <w:sz w:val="28"/>
          <w:szCs w:val="28"/>
        </w:rPr>
      </w:pPr>
    </w:p>
    <w:p w14:paraId="7D75A41A" w14:textId="77777777" w:rsidR="00FE6D7A" w:rsidRDefault="00FE6D7A" w:rsidP="00FE6D7A">
      <w:pPr>
        <w:autoSpaceDE w:val="0"/>
        <w:autoSpaceDN w:val="0"/>
        <w:adjustRightInd w:val="0"/>
        <w:spacing w:after="40" w:line="360" w:lineRule="auto"/>
        <w:jc w:val="both"/>
        <w:rPr>
          <w:rFonts w:ascii="Arial" w:hAnsi="Arial" w:cs="Arial"/>
          <w:sz w:val="28"/>
          <w:szCs w:val="28"/>
        </w:rPr>
      </w:pPr>
    </w:p>
    <w:p w14:paraId="07A2FA37" w14:textId="5E477481" w:rsidR="00A85A01" w:rsidRPr="00A734E7" w:rsidRDefault="00A734E7" w:rsidP="00A734E7">
      <w:pPr>
        <w:rPr>
          <w:rFonts w:ascii="Arial" w:hAnsi="Arial" w:cs="Arial"/>
          <w:sz w:val="22"/>
          <w:szCs w:val="22"/>
        </w:rPr>
      </w:pPr>
      <w:r>
        <w:rPr>
          <w:rFonts w:ascii="Arial" w:hAnsi="Arial" w:cs="Arial"/>
          <w:sz w:val="22"/>
          <w:szCs w:val="22"/>
        </w:rPr>
        <w:br w:type="page"/>
      </w:r>
    </w:p>
    <w:p w14:paraId="1265BD8A" w14:textId="77777777" w:rsidR="00A85A01" w:rsidRPr="003868C1" w:rsidRDefault="00A85A01" w:rsidP="0068657A">
      <w:pPr>
        <w:autoSpaceDE w:val="0"/>
        <w:autoSpaceDN w:val="0"/>
        <w:adjustRightInd w:val="0"/>
        <w:spacing w:after="40" w:line="360" w:lineRule="auto"/>
        <w:rPr>
          <w:rFonts w:ascii="Arial" w:hAnsi="Arial" w:cs="Arial"/>
          <w:sz w:val="28"/>
          <w:szCs w:val="28"/>
        </w:rPr>
      </w:pPr>
      <w:r w:rsidRPr="003868C1">
        <w:rPr>
          <w:rFonts w:ascii="Arial" w:hAnsi="Arial" w:cs="Arial"/>
          <w:sz w:val="28"/>
          <w:szCs w:val="28"/>
        </w:rPr>
        <w:lastRenderedPageBreak/>
        <w:t>Introduction</w:t>
      </w:r>
    </w:p>
    <w:p w14:paraId="64251B64" w14:textId="25639CF5" w:rsidR="00A85A01" w:rsidRPr="0068657A" w:rsidRDefault="00A85A01" w:rsidP="003868C1">
      <w:pPr>
        <w:autoSpaceDE w:val="0"/>
        <w:autoSpaceDN w:val="0"/>
        <w:adjustRightInd w:val="0"/>
        <w:spacing w:line="360" w:lineRule="auto"/>
        <w:ind w:firstLine="720"/>
        <w:jc w:val="both"/>
        <w:rPr>
          <w:rFonts w:ascii="Arial" w:hAnsi="Arial" w:cs="Arial"/>
          <w:sz w:val="22"/>
          <w:szCs w:val="22"/>
        </w:rPr>
      </w:pPr>
      <w:r w:rsidRPr="0068657A">
        <w:rPr>
          <w:rFonts w:ascii="Arial" w:hAnsi="Arial" w:cs="Arial"/>
          <w:sz w:val="22"/>
          <w:szCs w:val="22"/>
        </w:rPr>
        <w:t>In this assignment, I will analyse a classroom event observed in an English-medium primary school in South Wales, aiming to evaluate the incident using Tripp’s critical incident methodology (2011). Tripp defines a critical incident as an event taking place in the classroom which can be seen to be ‘indicative of underlying trends, motives and structures’ when critically reflected upon (ibid., p.25). Rather than severity determining the criticality of an incident, Tripp highlights that critical analysis and reflection renders commonplace events as critical incidents (ibid., p.25).  Tripp’s methodology outlines a ‘diagnostic’ approach to critical reflection in teaching (ibid.,</w:t>
      </w:r>
      <w:r w:rsidR="001D1793">
        <w:rPr>
          <w:rFonts w:ascii="Arial" w:hAnsi="Arial" w:cs="Arial"/>
          <w:sz w:val="22"/>
          <w:szCs w:val="22"/>
        </w:rPr>
        <w:t xml:space="preserve"> </w:t>
      </w:r>
      <w:r w:rsidRPr="0068657A">
        <w:rPr>
          <w:rFonts w:ascii="Arial" w:hAnsi="Arial" w:cs="Arial"/>
          <w:sz w:val="22"/>
          <w:szCs w:val="22"/>
        </w:rPr>
        <w:t xml:space="preserve">p.31). Comparing observation of classroom behaviour to recording symptoms in medicine, Tripp highlights how teachers should consider their understanding of the causes of and contributing factors towards an incident </w:t>
      </w:r>
      <w:r w:rsidR="003868C1" w:rsidRPr="0068657A">
        <w:rPr>
          <w:rFonts w:ascii="Arial" w:hAnsi="Arial" w:cs="Arial"/>
          <w:sz w:val="22"/>
          <w:szCs w:val="22"/>
        </w:rPr>
        <w:t>to</w:t>
      </w:r>
      <w:r w:rsidRPr="0068657A">
        <w:rPr>
          <w:rFonts w:ascii="Arial" w:hAnsi="Arial" w:cs="Arial"/>
          <w:sz w:val="22"/>
          <w:szCs w:val="22"/>
        </w:rPr>
        <w:t xml:space="preserve"> plan and implement a response. The effects of this response should continue to be observed and reflected on to form what is termed a ‘diagnostic teaching cycle’ (ibid., p.32). This cycle functions to continually identify new needs and opportunities for development in teaching practice. Tripp also highlights the importance of taking time to consider interpretations of the event between observation and action, as a suitable response to an event will vary greatly depending on what the incident is interpreted to ‘mean’ for an individual or group (ibid., p.31). Using this methodology as a framework to facilitate the critical evaluation of a classroom event, I aim to identify areas for research to inform critical reflection and response, before highlighting next steps for teaching and learning. </w:t>
      </w:r>
    </w:p>
    <w:p w14:paraId="1AFFA29E" w14:textId="77777777" w:rsidR="003868C1" w:rsidRPr="0068657A" w:rsidRDefault="003868C1" w:rsidP="0068657A">
      <w:pPr>
        <w:autoSpaceDE w:val="0"/>
        <w:autoSpaceDN w:val="0"/>
        <w:adjustRightInd w:val="0"/>
        <w:spacing w:line="360" w:lineRule="auto"/>
        <w:jc w:val="both"/>
        <w:rPr>
          <w:rFonts w:ascii="Arial" w:hAnsi="Arial" w:cs="Arial"/>
          <w:sz w:val="22"/>
          <w:szCs w:val="22"/>
        </w:rPr>
      </w:pPr>
    </w:p>
    <w:p w14:paraId="230C057F" w14:textId="77777777" w:rsidR="003868C1" w:rsidRDefault="00A85A01" w:rsidP="003868C1">
      <w:pPr>
        <w:autoSpaceDE w:val="0"/>
        <w:autoSpaceDN w:val="0"/>
        <w:adjustRightInd w:val="0"/>
        <w:spacing w:after="40" w:line="360" w:lineRule="auto"/>
        <w:jc w:val="both"/>
        <w:rPr>
          <w:rFonts w:ascii="Arial" w:hAnsi="Arial" w:cs="Arial"/>
          <w:sz w:val="28"/>
          <w:szCs w:val="28"/>
        </w:rPr>
      </w:pPr>
      <w:r w:rsidRPr="003868C1">
        <w:rPr>
          <w:rFonts w:ascii="Arial" w:hAnsi="Arial" w:cs="Arial"/>
          <w:sz w:val="28"/>
          <w:szCs w:val="28"/>
        </w:rPr>
        <w:t>The role of critical reflection</w:t>
      </w:r>
    </w:p>
    <w:p w14:paraId="2C8A7E25" w14:textId="1F3A84F9" w:rsidR="00A85A01" w:rsidRPr="003868C1" w:rsidRDefault="00A85A01" w:rsidP="003868C1">
      <w:pPr>
        <w:autoSpaceDE w:val="0"/>
        <w:autoSpaceDN w:val="0"/>
        <w:adjustRightInd w:val="0"/>
        <w:spacing w:after="40" w:line="360" w:lineRule="auto"/>
        <w:ind w:firstLine="720"/>
        <w:jc w:val="both"/>
        <w:rPr>
          <w:rFonts w:ascii="Arial" w:hAnsi="Arial" w:cs="Arial"/>
          <w:sz w:val="28"/>
          <w:szCs w:val="28"/>
        </w:rPr>
      </w:pPr>
      <w:r w:rsidRPr="0068657A">
        <w:rPr>
          <w:rFonts w:ascii="Arial" w:hAnsi="Arial" w:cs="Arial"/>
          <w:sz w:val="22"/>
          <w:szCs w:val="22"/>
        </w:rPr>
        <w:t xml:space="preserve">As much as pedagogical knowledge and practical expertise are demanded of teachers, critical reflection is essential for successful teaching practice (Winch, </w:t>
      </w:r>
      <w:proofErr w:type="spellStart"/>
      <w:r w:rsidRPr="0068657A">
        <w:rPr>
          <w:rFonts w:ascii="Arial" w:hAnsi="Arial" w:cs="Arial"/>
          <w:sz w:val="22"/>
          <w:szCs w:val="22"/>
        </w:rPr>
        <w:t>Oancea</w:t>
      </w:r>
      <w:proofErr w:type="spellEnd"/>
      <w:r w:rsidRPr="0068657A">
        <w:rPr>
          <w:rFonts w:ascii="Arial" w:hAnsi="Arial" w:cs="Arial"/>
          <w:sz w:val="22"/>
          <w:szCs w:val="22"/>
        </w:rPr>
        <w:t xml:space="preserve"> &amp; Orchard, 2015, p.202). Through reflective practice, teachers systematically review past actions to improve and sustain their practice into the future (ibid., p.206).  Tripp’s proposal of a ‘diagnostic teaching cycle’ is a methodical guide to approaching, and continually applying critical reflection to ensure effective practice (ibid., p.32).  Nonetheless, the importance of continual reflection in teaching practice is widely agreed upon across educational research, with numerous scholars presenting different ideological frameworks through which to approach reflection in practice.</w:t>
      </w:r>
    </w:p>
    <w:p w14:paraId="58160E95" w14:textId="7249E577" w:rsidR="00A85A01" w:rsidRPr="0068657A" w:rsidRDefault="00A85A01" w:rsidP="00A734E7">
      <w:pPr>
        <w:autoSpaceDE w:val="0"/>
        <w:autoSpaceDN w:val="0"/>
        <w:adjustRightInd w:val="0"/>
        <w:spacing w:line="360" w:lineRule="auto"/>
        <w:ind w:firstLine="720"/>
        <w:jc w:val="both"/>
        <w:rPr>
          <w:rFonts w:ascii="Arial" w:hAnsi="Arial" w:cs="Arial"/>
          <w:sz w:val="22"/>
          <w:szCs w:val="22"/>
        </w:rPr>
      </w:pPr>
      <w:r w:rsidRPr="0068657A">
        <w:rPr>
          <w:rFonts w:ascii="Arial" w:hAnsi="Arial" w:cs="Arial"/>
          <w:sz w:val="22"/>
          <w:szCs w:val="22"/>
        </w:rPr>
        <w:t>Brookfield (2017, p.79) states reflection is vital in pursuit of ‘pedagogic, political and emotional clarity’ in decision makin</w:t>
      </w:r>
      <w:r w:rsidRPr="003E606D">
        <w:rPr>
          <w:rFonts w:ascii="Arial" w:hAnsi="Arial" w:cs="Arial"/>
          <w:sz w:val="22"/>
          <w:szCs w:val="22"/>
        </w:rPr>
        <w:t>g.</w:t>
      </w:r>
      <w:r w:rsidRPr="0068657A">
        <w:rPr>
          <w:rFonts w:ascii="Arial" w:hAnsi="Arial" w:cs="Arial"/>
          <w:sz w:val="22"/>
          <w:szCs w:val="22"/>
        </w:rPr>
        <w:t xml:space="preserve">  He highlights teachers should aim to reflect from multiple perspectives, including ‘unfamiliar angles’, in pursuit of clarity and to avoid acting on misassumptions (ibid., p.61).  Brookfield (ibid., p.62) proposes four </w:t>
      </w:r>
      <w:proofErr w:type="gramStart"/>
      <w:r w:rsidRPr="0068657A">
        <w:rPr>
          <w:rFonts w:ascii="Arial" w:hAnsi="Arial" w:cs="Arial"/>
          <w:sz w:val="22"/>
          <w:szCs w:val="22"/>
        </w:rPr>
        <w:t>core</w:t>
      </w:r>
      <w:proofErr w:type="gramEnd"/>
      <w:r w:rsidRPr="0068657A">
        <w:rPr>
          <w:rFonts w:ascii="Arial" w:hAnsi="Arial" w:cs="Arial"/>
          <w:sz w:val="22"/>
          <w:szCs w:val="22"/>
        </w:rPr>
        <w:t xml:space="preserve"> ‘lenses’ through which </w:t>
      </w:r>
      <w:r w:rsidRPr="0068657A">
        <w:rPr>
          <w:rFonts w:ascii="Arial" w:hAnsi="Arial" w:cs="Arial"/>
          <w:sz w:val="22"/>
          <w:szCs w:val="22"/>
        </w:rPr>
        <w:lastRenderedPageBreak/>
        <w:t xml:space="preserve">teaching practice should be reflected </w:t>
      </w:r>
      <w:r w:rsidR="003868C1" w:rsidRPr="0068657A">
        <w:rPr>
          <w:rFonts w:ascii="Arial" w:hAnsi="Arial" w:cs="Arial"/>
          <w:sz w:val="22"/>
          <w:szCs w:val="22"/>
        </w:rPr>
        <w:t>upon, namely</w:t>
      </w:r>
      <w:r w:rsidRPr="0068657A">
        <w:rPr>
          <w:rFonts w:ascii="Arial" w:hAnsi="Arial" w:cs="Arial"/>
          <w:sz w:val="22"/>
          <w:szCs w:val="22"/>
        </w:rPr>
        <w:t xml:space="preserve"> the students’ eyes, colleagues’ perceptions, personal experience and theory. As teacher actions can imply a diverse range of meanings to students, Brookfield (ibid., p.66) highlights the importance of knowing how students experience classroom teaching through honest and anonymous feedback to facilitate their learning progression. Similarly, having a network of critical, </w:t>
      </w:r>
      <w:proofErr w:type="gramStart"/>
      <w:r w:rsidRPr="0068657A">
        <w:rPr>
          <w:rFonts w:ascii="Arial" w:hAnsi="Arial" w:cs="Arial"/>
          <w:sz w:val="22"/>
          <w:szCs w:val="22"/>
        </w:rPr>
        <w:t>honest</w:t>
      </w:r>
      <w:proofErr w:type="gramEnd"/>
      <w:r w:rsidRPr="0068657A">
        <w:rPr>
          <w:rFonts w:ascii="Arial" w:hAnsi="Arial" w:cs="Arial"/>
          <w:sz w:val="22"/>
          <w:szCs w:val="22"/>
        </w:rPr>
        <w:t xml:space="preserve"> and supportive colleagues is ‘at the heart’ of successful reflection, as analysing different interpretation of events and discussing solutions is fundamental to forming critical judgements. Reflecting on personal experiences of teaching and learning is additionally vital to not only contribute alternative angles to discussions with colleagues, but to have a reference from which to unravel meanings behind pupil actions and behaviour (ibid., p.71). This process of unravelling is also </w:t>
      </w:r>
      <w:r w:rsidRPr="0096164C">
        <w:rPr>
          <w:rFonts w:ascii="Arial" w:hAnsi="Arial" w:cs="Arial"/>
          <w:sz w:val="22"/>
          <w:szCs w:val="22"/>
        </w:rPr>
        <w:t>paralle</w:t>
      </w:r>
      <w:r w:rsidR="0096164C" w:rsidRPr="0096164C">
        <w:rPr>
          <w:rFonts w:ascii="Arial" w:hAnsi="Arial" w:cs="Arial"/>
          <w:sz w:val="22"/>
          <w:szCs w:val="22"/>
        </w:rPr>
        <w:t>le</w:t>
      </w:r>
      <w:r w:rsidRPr="0096164C">
        <w:rPr>
          <w:rFonts w:ascii="Arial" w:hAnsi="Arial" w:cs="Arial"/>
          <w:sz w:val="22"/>
          <w:szCs w:val="22"/>
        </w:rPr>
        <w:t>d</w:t>
      </w:r>
      <w:r w:rsidRPr="0068657A">
        <w:rPr>
          <w:rFonts w:ascii="Arial" w:hAnsi="Arial" w:cs="Arial"/>
          <w:sz w:val="22"/>
          <w:szCs w:val="22"/>
        </w:rPr>
        <w:t xml:space="preserve"> in Tripp’s critical incident methodology through his discussion of ‘diagnosis’ (2011, p. 32). Finally, Brookfield (2017, p.73) comments that continually revisiting evolving educational theory gives teachers the opportunity to </w:t>
      </w:r>
      <w:r w:rsidR="003868C1">
        <w:rPr>
          <w:rFonts w:ascii="Arial" w:hAnsi="Arial" w:cs="Arial"/>
          <w:sz w:val="22"/>
          <w:szCs w:val="22"/>
        </w:rPr>
        <w:t>relate their experiences to ideas discussed in</w:t>
      </w:r>
      <w:r w:rsidRPr="0068657A">
        <w:rPr>
          <w:rFonts w:ascii="Arial" w:hAnsi="Arial" w:cs="Arial"/>
          <w:sz w:val="22"/>
          <w:szCs w:val="22"/>
        </w:rPr>
        <w:t xml:space="preserve"> research</w:t>
      </w:r>
      <w:r w:rsidR="003868C1">
        <w:rPr>
          <w:rFonts w:ascii="Arial" w:hAnsi="Arial" w:cs="Arial"/>
          <w:sz w:val="22"/>
          <w:szCs w:val="22"/>
        </w:rPr>
        <w:t xml:space="preserve">. It </w:t>
      </w:r>
      <w:r w:rsidRPr="0068657A">
        <w:rPr>
          <w:rFonts w:ascii="Arial" w:hAnsi="Arial" w:cs="Arial"/>
          <w:sz w:val="22"/>
          <w:szCs w:val="22"/>
        </w:rPr>
        <w:t>is widely agreed upon that teachers must draw on ‘well-thought</w:t>
      </w:r>
      <w:r w:rsidR="003868C1">
        <w:rPr>
          <w:rFonts w:ascii="Arial" w:hAnsi="Arial" w:cs="Arial"/>
          <w:sz w:val="22"/>
          <w:szCs w:val="22"/>
        </w:rPr>
        <w:t>-</w:t>
      </w:r>
      <w:r w:rsidRPr="0068657A">
        <w:rPr>
          <w:rFonts w:ascii="Arial" w:hAnsi="Arial" w:cs="Arial"/>
          <w:sz w:val="22"/>
          <w:szCs w:val="22"/>
        </w:rPr>
        <w:t>through conceptual framework’ and ‘well-substantiated empirical research’, while considering ethical principles, to make informed decisions in the classroom and make reflective judgements on the success of these actions (</w:t>
      </w:r>
      <w:r w:rsidR="00A734E7" w:rsidRPr="0068657A">
        <w:rPr>
          <w:rFonts w:ascii="Arial" w:hAnsi="Arial" w:cs="Arial"/>
          <w:sz w:val="22"/>
          <w:szCs w:val="22"/>
        </w:rPr>
        <w:t xml:space="preserve">Winch, </w:t>
      </w:r>
      <w:proofErr w:type="spellStart"/>
      <w:r w:rsidR="00A734E7" w:rsidRPr="0068657A">
        <w:rPr>
          <w:rFonts w:ascii="Arial" w:hAnsi="Arial" w:cs="Arial"/>
          <w:sz w:val="22"/>
          <w:szCs w:val="22"/>
        </w:rPr>
        <w:t>Oancea</w:t>
      </w:r>
      <w:proofErr w:type="spellEnd"/>
      <w:r w:rsidR="00A734E7" w:rsidRPr="0068657A">
        <w:rPr>
          <w:rFonts w:ascii="Arial" w:hAnsi="Arial" w:cs="Arial"/>
          <w:sz w:val="22"/>
          <w:szCs w:val="22"/>
        </w:rPr>
        <w:t xml:space="preserve"> &amp; Orchard, 2015</w:t>
      </w:r>
      <w:r w:rsidRPr="0068657A">
        <w:rPr>
          <w:rFonts w:ascii="Arial" w:hAnsi="Arial" w:cs="Arial"/>
          <w:sz w:val="22"/>
          <w:szCs w:val="22"/>
        </w:rPr>
        <w:t>).</w:t>
      </w:r>
    </w:p>
    <w:p w14:paraId="613A4C5C" w14:textId="5B2FD254" w:rsidR="00A85A01" w:rsidRPr="0068657A" w:rsidRDefault="00A85A01" w:rsidP="0096164C">
      <w:pPr>
        <w:autoSpaceDE w:val="0"/>
        <w:autoSpaceDN w:val="0"/>
        <w:adjustRightInd w:val="0"/>
        <w:spacing w:line="360" w:lineRule="auto"/>
        <w:ind w:firstLine="720"/>
        <w:jc w:val="both"/>
        <w:rPr>
          <w:rFonts w:ascii="Arial" w:hAnsi="Arial" w:cs="Arial"/>
          <w:sz w:val="22"/>
          <w:szCs w:val="22"/>
        </w:rPr>
      </w:pPr>
      <w:r w:rsidRPr="0068657A">
        <w:rPr>
          <w:rFonts w:ascii="Arial" w:hAnsi="Arial" w:cs="Arial"/>
          <w:sz w:val="22"/>
          <w:szCs w:val="22"/>
        </w:rPr>
        <w:t xml:space="preserve">Critical reflection has become a crucial consideration for educational practitioners following the introduction of Curriculum for </w:t>
      </w:r>
      <w:r w:rsidR="00C83827" w:rsidRPr="0068657A">
        <w:rPr>
          <w:rFonts w:ascii="Arial" w:hAnsi="Arial" w:cs="Arial"/>
          <w:sz w:val="22"/>
          <w:szCs w:val="22"/>
        </w:rPr>
        <w:t>Wales (</w:t>
      </w:r>
      <w:r w:rsidRPr="0068657A">
        <w:rPr>
          <w:rFonts w:ascii="Arial" w:hAnsi="Arial" w:cs="Arial"/>
          <w:sz w:val="22"/>
          <w:szCs w:val="22"/>
        </w:rPr>
        <w:t xml:space="preserve">Welsh Government, 2022). Welsh Government highlight that the new curriculum has been reformed to encompass a broad sense of education, to prioritise ‘how we teach and, crucially, why we teach it’ over rigid specification of subject content </w:t>
      </w:r>
      <w:r w:rsidRPr="001D1793">
        <w:rPr>
          <w:rFonts w:ascii="Arial" w:hAnsi="Arial" w:cs="Arial"/>
          <w:sz w:val="22"/>
          <w:szCs w:val="22"/>
        </w:rPr>
        <w:t>(ibid.).</w:t>
      </w:r>
      <w:r w:rsidRPr="0068657A">
        <w:rPr>
          <w:rFonts w:ascii="Arial" w:hAnsi="Arial" w:cs="Arial"/>
          <w:sz w:val="22"/>
          <w:szCs w:val="22"/>
        </w:rPr>
        <w:t xml:space="preserve"> Therefore, critical reflection is paramount to ensure teacher pedagogy is backed not only by theory but critical judgements in the classroom</w:t>
      </w:r>
      <w:r w:rsidR="0061130B">
        <w:rPr>
          <w:rFonts w:ascii="Arial" w:hAnsi="Arial" w:cs="Arial"/>
          <w:sz w:val="22"/>
          <w:szCs w:val="22"/>
        </w:rPr>
        <w:t>.</w:t>
      </w:r>
      <w:r w:rsidRPr="0068657A">
        <w:rPr>
          <w:rFonts w:ascii="Arial" w:hAnsi="Arial" w:cs="Arial"/>
          <w:sz w:val="22"/>
          <w:szCs w:val="22"/>
        </w:rPr>
        <w:t xml:space="preserve"> </w:t>
      </w:r>
      <w:r w:rsidRPr="0096164C">
        <w:rPr>
          <w:rFonts w:ascii="Arial" w:hAnsi="Arial" w:cs="Arial"/>
          <w:sz w:val="22"/>
          <w:szCs w:val="22"/>
        </w:rPr>
        <w:t>Waters</w:t>
      </w:r>
      <w:r w:rsidR="0096164C">
        <w:rPr>
          <w:rFonts w:ascii="Arial" w:hAnsi="Arial" w:cs="Arial"/>
          <w:sz w:val="22"/>
          <w:szCs w:val="22"/>
        </w:rPr>
        <w:t xml:space="preserve"> </w:t>
      </w:r>
      <w:r w:rsidR="0096164C" w:rsidRPr="0068657A">
        <w:rPr>
          <w:rFonts w:ascii="Arial" w:hAnsi="Arial" w:cs="Arial"/>
          <w:sz w:val="22"/>
          <w:szCs w:val="22"/>
        </w:rPr>
        <w:t xml:space="preserve">(2020) </w:t>
      </w:r>
      <w:r w:rsidRPr="0068657A">
        <w:rPr>
          <w:rFonts w:ascii="Arial" w:hAnsi="Arial" w:cs="Arial"/>
          <w:sz w:val="22"/>
          <w:szCs w:val="22"/>
        </w:rPr>
        <w:t>also highlights the need for critical reflection in his evaluation on Initial Teacher Education in Wales</w:t>
      </w:r>
      <w:r w:rsidR="0061130B">
        <w:rPr>
          <w:rFonts w:ascii="Arial" w:hAnsi="Arial" w:cs="Arial"/>
          <w:sz w:val="22"/>
          <w:szCs w:val="22"/>
        </w:rPr>
        <w:t>.</w:t>
      </w:r>
      <w:r w:rsidRPr="0068657A">
        <w:rPr>
          <w:rFonts w:ascii="Arial" w:hAnsi="Arial" w:cs="Arial"/>
          <w:sz w:val="22"/>
          <w:szCs w:val="22"/>
        </w:rPr>
        <w:t xml:space="preserve"> Reflecting Brookfield’s Four Lenses of Reflection (2015), Waters explains early </w:t>
      </w:r>
      <w:r w:rsidRPr="0096164C">
        <w:rPr>
          <w:rFonts w:ascii="Arial" w:hAnsi="Arial" w:cs="Arial"/>
          <w:sz w:val="22"/>
          <w:szCs w:val="22"/>
        </w:rPr>
        <w:t>career</w:t>
      </w:r>
      <w:r w:rsidRPr="0068657A">
        <w:rPr>
          <w:rFonts w:ascii="Arial" w:hAnsi="Arial" w:cs="Arial"/>
          <w:sz w:val="22"/>
          <w:szCs w:val="22"/>
        </w:rPr>
        <w:t xml:space="preserve"> teachers should be informed in recent curriculum policy and educational theory and should ‘question, debate, argue and challenge’ by engaging with educational discourse and the experiences of other professionals (2020, </w:t>
      </w:r>
      <w:r w:rsidR="0061130B">
        <w:rPr>
          <w:rFonts w:ascii="Arial" w:hAnsi="Arial" w:cs="Arial"/>
          <w:sz w:val="22"/>
          <w:szCs w:val="22"/>
        </w:rPr>
        <w:t>p</w:t>
      </w:r>
      <w:r w:rsidRPr="0068657A">
        <w:rPr>
          <w:rFonts w:ascii="Arial" w:hAnsi="Arial" w:cs="Arial"/>
          <w:sz w:val="22"/>
          <w:szCs w:val="22"/>
        </w:rPr>
        <w:t xml:space="preserve">p.6-7). With the belief critical reflection enables new teachers to adopt an ‘innovative outlook’, Waters highlights the need for critical reflection in teaching practice to facilitate constant progression in the constantly evolving educational landscape </w:t>
      </w:r>
      <w:r w:rsidRPr="001D1793">
        <w:rPr>
          <w:rFonts w:ascii="Arial" w:hAnsi="Arial" w:cs="Arial"/>
          <w:sz w:val="22"/>
          <w:szCs w:val="22"/>
        </w:rPr>
        <w:t>(ibid.).</w:t>
      </w:r>
      <w:r w:rsidRPr="0068657A">
        <w:rPr>
          <w:rFonts w:ascii="Arial" w:hAnsi="Arial" w:cs="Arial"/>
          <w:sz w:val="22"/>
          <w:szCs w:val="22"/>
        </w:rPr>
        <w:t xml:space="preserve"> Curriculum for Wales 2022 similarly states the need for teaching staff and school leader to be empowered to ‘innovate using their professional skills and judgement’ and be given sufficient space for critical reflection on practice (Welsh Government, 2022). The importance of providing space for individual reflection, as well as team discussions and meetings with leaders is stressed in the new curriculum, </w:t>
      </w:r>
      <w:r w:rsidRPr="0068657A">
        <w:rPr>
          <w:rFonts w:ascii="Arial" w:hAnsi="Arial" w:cs="Arial"/>
          <w:sz w:val="22"/>
          <w:szCs w:val="22"/>
        </w:rPr>
        <w:lastRenderedPageBreak/>
        <w:t>demonstrating the government’s acknowledgement of the importance of reflection using theoretical models in practice (ibid.).</w:t>
      </w:r>
    </w:p>
    <w:p w14:paraId="14904449" w14:textId="77777777" w:rsidR="00A85A01" w:rsidRPr="0068657A" w:rsidRDefault="00A85A01" w:rsidP="0068657A">
      <w:pPr>
        <w:autoSpaceDE w:val="0"/>
        <w:autoSpaceDN w:val="0"/>
        <w:adjustRightInd w:val="0"/>
        <w:spacing w:line="360" w:lineRule="auto"/>
        <w:jc w:val="both"/>
        <w:rPr>
          <w:rFonts w:ascii="Arial" w:hAnsi="Arial" w:cs="Arial"/>
          <w:sz w:val="22"/>
          <w:szCs w:val="22"/>
        </w:rPr>
      </w:pPr>
      <w:r w:rsidRPr="0068657A">
        <w:rPr>
          <w:rFonts w:ascii="Arial" w:hAnsi="Arial" w:cs="Arial"/>
          <w:sz w:val="22"/>
          <w:szCs w:val="22"/>
        </w:rPr>
        <w:t> </w:t>
      </w:r>
    </w:p>
    <w:p w14:paraId="7D985658" w14:textId="77777777" w:rsidR="00A85A01" w:rsidRPr="00C83827" w:rsidRDefault="00A85A01" w:rsidP="0068657A">
      <w:pPr>
        <w:autoSpaceDE w:val="0"/>
        <w:autoSpaceDN w:val="0"/>
        <w:adjustRightInd w:val="0"/>
        <w:spacing w:after="40" w:line="360" w:lineRule="auto"/>
        <w:jc w:val="both"/>
        <w:rPr>
          <w:rFonts w:ascii="Arial" w:hAnsi="Arial" w:cs="Arial"/>
          <w:sz w:val="28"/>
          <w:szCs w:val="28"/>
        </w:rPr>
      </w:pPr>
      <w:r w:rsidRPr="00C83827">
        <w:rPr>
          <w:rFonts w:ascii="Arial" w:hAnsi="Arial" w:cs="Arial"/>
          <w:sz w:val="28"/>
          <w:szCs w:val="28"/>
        </w:rPr>
        <w:t>Observation</w:t>
      </w:r>
    </w:p>
    <w:p w14:paraId="58356627" w14:textId="3F565225" w:rsidR="00A85A01" w:rsidRPr="0068657A" w:rsidRDefault="00A85A01" w:rsidP="00A734E7">
      <w:pPr>
        <w:autoSpaceDE w:val="0"/>
        <w:autoSpaceDN w:val="0"/>
        <w:adjustRightInd w:val="0"/>
        <w:spacing w:line="360" w:lineRule="auto"/>
        <w:ind w:firstLine="720"/>
        <w:jc w:val="both"/>
        <w:rPr>
          <w:rFonts w:ascii="Arial" w:hAnsi="Arial" w:cs="Arial"/>
          <w:sz w:val="22"/>
          <w:szCs w:val="22"/>
        </w:rPr>
      </w:pPr>
      <w:r w:rsidRPr="0068657A">
        <w:rPr>
          <w:rFonts w:ascii="Arial" w:hAnsi="Arial" w:cs="Arial"/>
          <w:sz w:val="22"/>
          <w:szCs w:val="22"/>
        </w:rPr>
        <w:t>The following observation took place in a Year One class in an English-medium primary school in South Wales (see Appendix 2, p.12). The incident took place on a Monday morning at approximately 9:30am on September</w:t>
      </w:r>
      <w:r w:rsidR="00A734E7">
        <w:rPr>
          <w:rFonts w:ascii="Arial" w:hAnsi="Arial" w:cs="Arial"/>
          <w:sz w:val="22"/>
          <w:szCs w:val="22"/>
        </w:rPr>
        <w:t xml:space="preserve"> 26</w:t>
      </w:r>
      <w:r w:rsidR="00A734E7" w:rsidRPr="00A734E7">
        <w:rPr>
          <w:rFonts w:ascii="Arial" w:hAnsi="Arial" w:cs="Arial"/>
          <w:sz w:val="22"/>
          <w:szCs w:val="22"/>
          <w:vertAlign w:val="superscript"/>
        </w:rPr>
        <w:t>th</w:t>
      </w:r>
      <w:r w:rsidR="00A734E7">
        <w:rPr>
          <w:rFonts w:ascii="Arial" w:hAnsi="Arial" w:cs="Arial"/>
          <w:sz w:val="22"/>
          <w:szCs w:val="22"/>
        </w:rPr>
        <w:t>, 2022</w:t>
      </w:r>
      <w:r w:rsidRPr="0068657A">
        <w:rPr>
          <w:rFonts w:ascii="Arial" w:hAnsi="Arial" w:cs="Arial"/>
          <w:sz w:val="22"/>
          <w:szCs w:val="22"/>
        </w:rPr>
        <w:t>. The pupils in the class had not long returned from a Key Stage 1 assembly. They were sat in assigned positions on a carpet as the teacher was explaining a task which would form part of an activity rotation. The teacher advised the learners to work together and avoid rushing this activity as it could not be ‘won’ and would continue until morning break regardless of speed. The teacher also commented how the structure of the morning would be different to the learners’ routines in reception, referencing how last year the pupils would have had ‘free play’ until being called to complete a task in small groups. As the teacher explained the structure of the activity rotation, one learner interrupted and called out: ‘Yes! We need to finish and then we can all play.’ The teacher let the child finish their interjection and paused to ensure they were finished talking. The teacher then began to explain calmly that, while a lot of pupils may expect to be able to ‘play’ once finished with their task, the learners are</w:t>
      </w:r>
      <w:r w:rsidR="0061130B">
        <w:rPr>
          <w:rFonts w:ascii="Arial" w:hAnsi="Arial" w:cs="Arial"/>
          <w:sz w:val="22"/>
          <w:szCs w:val="22"/>
        </w:rPr>
        <w:t xml:space="preserve"> now</w:t>
      </w:r>
      <w:r w:rsidRPr="0068657A">
        <w:rPr>
          <w:rFonts w:ascii="Arial" w:hAnsi="Arial" w:cs="Arial"/>
          <w:sz w:val="22"/>
          <w:szCs w:val="22"/>
        </w:rPr>
        <w:t xml:space="preserve"> ‘big </w:t>
      </w:r>
      <w:proofErr w:type="gramStart"/>
      <w:r w:rsidRPr="0068657A">
        <w:rPr>
          <w:rFonts w:ascii="Arial" w:hAnsi="Arial" w:cs="Arial"/>
          <w:sz w:val="22"/>
          <w:szCs w:val="22"/>
        </w:rPr>
        <w:t>grown up</w:t>
      </w:r>
      <w:proofErr w:type="gramEnd"/>
      <w:r w:rsidRPr="0068657A">
        <w:rPr>
          <w:rFonts w:ascii="Arial" w:hAnsi="Arial" w:cs="Arial"/>
          <w:sz w:val="22"/>
          <w:szCs w:val="22"/>
        </w:rPr>
        <w:t xml:space="preserve"> </w:t>
      </w:r>
      <w:proofErr w:type="spellStart"/>
      <w:r w:rsidRPr="0068657A">
        <w:rPr>
          <w:rFonts w:ascii="Arial" w:hAnsi="Arial" w:cs="Arial"/>
          <w:sz w:val="22"/>
          <w:szCs w:val="22"/>
        </w:rPr>
        <w:t>boys</w:t>
      </w:r>
      <w:proofErr w:type="spellEnd"/>
      <w:r w:rsidRPr="0068657A">
        <w:rPr>
          <w:rFonts w:ascii="Arial" w:hAnsi="Arial" w:cs="Arial"/>
          <w:sz w:val="22"/>
          <w:szCs w:val="22"/>
        </w:rPr>
        <w:t xml:space="preserve"> and girls’ in Year One. She reiterated that the learners no longer have ‘play’ as allowed by reception routines, but ‘group work’, ‘activities’ and sometimes ‘free choice’ of activity, all of which would last until their break. The learner on their knees then sat down and the class continued to be quiet and focused on the teacher.</w:t>
      </w:r>
    </w:p>
    <w:p w14:paraId="139CCD7F" w14:textId="687399BC" w:rsidR="00A85A01" w:rsidRPr="0068657A" w:rsidRDefault="0088445B" w:rsidP="00A734E7">
      <w:pPr>
        <w:autoSpaceDE w:val="0"/>
        <w:autoSpaceDN w:val="0"/>
        <w:adjustRightInd w:val="0"/>
        <w:spacing w:line="360" w:lineRule="auto"/>
        <w:ind w:firstLine="720"/>
        <w:jc w:val="both"/>
        <w:rPr>
          <w:rFonts w:ascii="Arial" w:hAnsi="Arial" w:cs="Arial"/>
          <w:sz w:val="22"/>
          <w:szCs w:val="22"/>
        </w:rPr>
      </w:pPr>
      <w:r>
        <w:rPr>
          <w:rFonts w:ascii="Arial" w:hAnsi="Arial" w:cs="Arial"/>
          <w:sz w:val="22"/>
          <w:szCs w:val="22"/>
        </w:rPr>
        <w:t>The</w:t>
      </w:r>
      <w:r w:rsidR="00A85A01" w:rsidRPr="0068657A">
        <w:rPr>
          <w:rFonts w:ascii="Arial" w:hAnsi="Arial" w:cs="Arial"/>
          <w:sz w:val="22"/>
          <w:szCs w:val="22"/>
        </w:rPr>
        <w:t xml:space="preserve"> review of Welsh education </w:t>
      </w:r>
      <w:r>
        <w:rPr>
          <w:rFonts w:ascii="Arial" w:hAnsi="Arial" w:cs="Arial"/>
          <w:sz w:val="22"/>
          <w:szCs w:val="22"/>
        </w:rPr>
        <w:t>(</w:t>
      </w:r>
      <w:r w:rsidRPr="0068657A">
        <w:rPr>
          <w:rFonts w:ascii="Arial" w:hAnsi="Arial" w:cs="Arial"/>
          <w:sz w:val="22"/>
          <w:szCs w:val="22"/>
        </w:rPr>
        <w:t>Donaldson, 2015</w:t>
      </w:r>
      <w:r>
        <w:rPr>
          <w:rFonts w:ascii="Arial" w:hAnsi="Arial" w:cs="Arial"/>
          <w:sz w:val="22"/>
          <w:szCs w:val="22"/>
        </w:rPr>
        <w:t xml:space="preserve">) </w:t>
      </w:r>
      <w:r w:rsidR="00A85A01" w:rsidRPr="0068657A">
        <w:rPr>
          <w:rFonts w:ascii="Arial" w:hAnsi="Arial" w:cs="Arial"/>
          <w:sz w:val="22"/>
          <w:szCs w:val="22"/>
        </w:rPr>
        <w:t xml:space="preserve">outlined four key purposes which ‘should guide all future decisions about national and local educational priorities and underpin all teaching and learning in </w:t>
      </w:r>
      <w:proofErr w:type="spellStart"/>
      <w:r w:rsidR="00A85A01" w:rsidRPr="0068657A">
        <w:rPr>
          <w:rFonts w:ascii="Arial" w:hAnsi="Arial" w:cs="Arial"/>
          <w:sz w:val="22"/>
          <w:szCs w:val="22"/>
        </w:rPr>
        <w:t>Wales’</w:t>
      </w:r>
      <w:proofErr w:type="spellEnd"/>
      <w:r w:rsidR="00A85A01" w:rsidRPr="0068657A">
        <w:rPr>
          <w:rFonts w:ascii="Arial" w:hAnsi="Arial" w:cs="Arial"/>
          <w:sz w:val="22"/>
          <w:szCs w:val="22"/>
        </w:rPr>
        <w:t xml:space="preserve"> (p.30).  Donaldson emphasises how the curriculum should be structured to enable these purposes to be realised for all learners through teaching and learning at all stages (ibid.). These recommendations have been fully </w:t>
      </w:r>
      <w:r w:rsidRPr="0088445B">
        <w:rPr>
          <w:rFonts w:ascii="Arial" w:hAnsi="Arial" w:cs="Arial"/>
          <w:sz w:val="22"/>
          <w:szCs w:val="22"/>
        </w:rPr>
        <w:t>adopted</w:t>
      </w:r>
      <w:r w:rsidR="00A85A01" w:rsidRPr="0088445B">
        <w:rPr>
          <w:rFonts w:ascii="Arial" w:hAnsi="Arial" w:cs="Arial"/>
          <w:sz w:val="22"/>
          <w:szCs w:val="22"/>
        </w:rPr>
        <w:t xml:space="preserve"> </w:t>
      </w:r>
      <w:r w:rsidR="00A85A01" w:rsidRPr="0068657A">
        <w:rPr>
          <w:rFonts w:ascii="Arial" w:hAnsi="Arial" w:cs="Arial"/>
          <w:sz w:val="22"/>
          <w:szCs w:val="22"/>
        </w:rPr>
        <w:t xml:space="preserve">by Welsh Government and are central to Curriculum for Wales 2022 (Hwb, 2022). The teacher’s response during this event can be seen to clearly reflect the aims of four curriculum purposes proposed in Successful Futures (Donaldson, 2015, p.25) and subsequently Curriculum for Wales 2022 (Hwb, 2022). </w:t>
      </w:r>
    </w:p>
    <w:p w14:paraId="01844720" w14:textId="4FA9C615" w:rsidR="00A85A01" w:rsidRPr="0068657A" w:rsidRDefault="00A85A01" w:rsidP="00A734E7">
      <w:pPr>
        <w:autoSpaceDE w:val="0"/>
        <w:autoSpaceDN w:val="0"/>
        <w:adjustRightInd w:val="0"/>
        <w:spacing w:line="360" w:lineRule="auto"/>
        <w:ind w:firstLine="720"/>
        <w:jc w:val="both"/>
        <w:rPr>
          <w:rFonts w:ascii="Arial" w:hAnsi="Arial" w:cs="Arial"/>
          <w:sz w:val="22"/>
          <w:szCs w:val="22"/>
        </w:rPr>
      </w:pPr>
      <w:r w:rsidRPr="0068657A">
        <w:rPr>
          <w:rFonts w:ascii="Arial" w:hAnsi="Arial" w:cs="Arial"/>
          <w:sz w:val="22"/>
          <w:szCs w:val="22"/>
        </w:rPr>
        <w:t xml:space="preserve">It is important to note that, as outlined in Tripp’s critical incident methodology, the pupil’s interjection could have been interpreted in a variety of ways (2011, p.31). The teacher could have interpreted the pupil interrupting her lesson by shouting out to be an act of testing boundaries, or a signal the pupil had not been listening to her explanation. However, the teacher let the pupil continue speaking until they had finished, before calmly reinstating expectations to the whole </w:t>
      </w:r>
      <w:r w:rsidRPr="0068657A">
        <w:rPr>
          <w:rFonts w:ascii="Arial" w:hAnsi="Arial" w:cs="Arial"/>
          <w:sz w:val="22"/>
          <w:szCs w:val="22"/>
        </w:rPr>
        <w:lastRenderedPageBreak/>
        <w:t>class. This decision can be seen to be driven by the curriculum’s purpose to nurture ‘healthy, confident individuals… who are ready to lead fulfilling lives as valued members of society,’ as the action reflects the ‘key characteristics’ of this purpose (Donaldson, 2015, p.30). Firstly, giving the pupil the opportunity to voice a misunderstanding and giving a respectful response can be seen to work towards the characteristic of ‘form[</w:t>
      </w:r>
      <w:proofErr w:type="spellStart"/>
      <w:r w:rsidRPr="0068657A">
        <w:rPr>
          <w:rFonts w:ascii="Arial" w:hAnsi="Arial" w:cs="Arial"/>
          <w:sz w:val="22"/>
          <w:szCs w:val="22"/>
        </w:rPr>
        <w:t>ing</w:t>
      </w:r>
      <w:proofErr w:type="spellEnd"/>
      <w:r w:rsidRPr="0068657A">
        <w:rPr>
          <w:rFonts w:ascii="Arial" w:hAnsi="Arial" w:cs="Arial"/>
          <w:sz w:val="22"/>
          <w:szCs w:val="22"/>
        </w:rPr>
        <w:t xml:space="preserve">] positive relationships based upon trust and mutual respect’, while also ‘building their mental and emotional well-being by developing confidence, resilience and empathy’ (ibid.). If the teacher had instead decided to punish the learner for shouting out or not listening, one could argue this is not showing mutual respect, working towards building positive relationships or enabling the child to develop confidence. However, the teacher’s response </w:t>
      </w:r>
      <w:r w:rsidR="000051AB" w:rsidRPr="0068657A">
        <w:rPr>
          <w:rFonts w:ascii="Arial" w:hAnsi="Arial" w:cs="Arial"/>
          <w:sz w:val="22"/>
          <w:szCs w:val="22"/>
        </w:rPr>
        <w:t>signalled</w:t>
      </w:r>
      <w:r w:rsidRPr="0068657A">
        <w:rPr>
          <w:rFonts w:ascii="Arial" w:hAnsi="Arial" w:cs="Arial"/>
          <w:sz w:val="22"/>
          <w:szCs w:val="22"/>
        </w:rPr>
        <w:t xml:space="preserve"> to the learner and the rest of the class that the learning environment is a safe space to make mistakes while working to ‘face and overcome challenge’, empowering pupils to become confident and resilient learners (ibid.).</w:t>
      </w:r>
    </w:p>
    <w:p w14:paraId="4AA93CC3" w14:textId="32767CDF" w:rsidR="00A85A01" w:rsidRPr="0068657A" w:rsidRDefault="00A85A01" w:rsidP="00A734E7">
      <w:pPr>
        <w:autoSpaceDE w:val="0"/>
        <w:autoSpaceDN w:val="0"/>
        <w:adjustRightInd w:val="0"/>
        <w:spacing w:line="360" w:lineRule="auto"/>
        <w:ind w:firstLine="720"/>
        <w:jc w:val="both"/>
        <w:rPr>
          <w:rFonts w:ascii="Arial" w:hAnsi="Arial" w:cs="Arial"/>
          <w:sz w:val="22"/>
          <w:szCs w:val="22"/>
        </w:rPr>
      </w:pPr>
      <w:r w:rsidRPr="0068657A">
        <w:rPr>
          <w:rFonts w:ascii="Arial" w:hAnsi="Arial" w:cs="Arial"/>
          <w:sz w:val="22"/>
          <w:szCs w:val="22"/>
        </w:rPr>
        <w:t xml:space="preserve">The teacher’s decision to make comparisons to reception routines and use examples of previous activities the learners had completed when reinstating expectations for the year one class can also be seen to be underpinned by the ‘ambitious capable learners who… are ready to learn throughout their lives’ curriculum purpose (ibid., p.29). Specifically, one of the key characteristics of this purpose is that learners ‘are building up a body of knowledge and have the skills to connect and apply that knowledge in different contexts’ (ibid.). The teacher’s decision to connect past and present learning experiences when explaining activities and expectations demonstrates their identification of a need to clarify routines set out at the start of the day are not temporary measures, but long-term expectations. This identification of a need is a fundamental step in Tripp’s critical incident methodology and ‘diagnostic cycle, as he highlights the requirement of teachers to continuously identify and respond to new needs (2011, p.31). Similarly, the teacher’s decision not to punish the pupil for interrupting can be seen to be underpinned by the purpose’s characteristic of developing learners who ‘are questioning and enjoy solving problems’ (Donaldson, 2015, p.29). This purpose is also acknowledged in the Foundation Phase Profile Handbook (Welsh Government, 2017), which specifies the need for children in the Foundation stage to learn from ‘practitioners who encourage and extend conversations’, signalling the importance of allowing for free discussion in early years learning. According to Skinner’s Operant Conditioning </w:t>
      </w:r>
      <w:r w:rsidR="0068657A" w:rsidRPr="0068657A">
        <w:rPr>
          <w:rFonts w:ascii="Arial" w:hAnsi="Arial" w:cs="Arial"/>
          <w:sz w:val="22"/>
          <w:szCs w:val="22"/>
        </w:rPr>
        <w:t>theory (</w:t>
      </w:r>
      <w:r w:rsidRPr="0068657A">
        <w:rPr>
          <w:rFonts w:ascii="Arial" w:hAnsi="Arial" w:cs="Arial"/>
          <w:sz w:val="22"/>
          <w:szCs w:val="22"/>
        </w:rPr>
        <w:t xml:space="preserve">1969), punishing the pupil for interrupting would begin to condition the learner to avoid asking questions by instilling a fear of provoking a negative consequence. Therefore, the teacher’s decision to respond to the pupil’s behaviour by reinstating expectations and building on an existing body of knowledge to do so, rather than deciding to punish the pupil, </w:t>
      </w:r>
      <w:r w:rsidRPr="0068657A">
        <w:rPr>
          <w:rFonts w:ascii="Arial" w:hAnsi="Arial" w:cs="Arial"/>
          <w:sz w:val="22"/>
          <w:szCs w:val="22"/>
        </w:rPr>
        <w:lastRenderedPageBreak/>
        <w:t>demonstrates the teacher’s aim to nurture ‘ambitious capable learners who… are ready to learn throughout their lives’ (Donaldson, 2015, p.29).</w:t>
      </w:r>
    </w:p>
    <w:p w14:paraId="0EE55838" w14:textId="1DE4053D" w:rsidR="00A85A01" w:rsidRPr="00C83827" w:rsidRDefault="00A85A01" w:rsidP="00C83827">
      <w:pPr>
        <w:autoSpaceDE w:val="0"/>
        <w:autoSpaceDN w:val="0"/>
        <w:adjustRightInd w:val="0"/>
        <w:spacing w:line="360" w:lineRule="auto"/>
        <w:jc w:val="both"/>
        <w:rPr>
          <w:rFonts w:ascii="Arial" w:hAnsi="Arial" w:cs="Arial"/>
          <w:sz w:val="22"/>
          <w:szCs w:val="22"/>
        </w:rPr>
      </w:pPr>
      <w:r w:rsidRPr="0068657A">
        <w:rPr>
          <w:rFonts w:ascii="Arial" w:hAnsi="Arial" w:cs="Arial"/>
          <w:sz w:val="22"/>
          <w:szCs w:val="22"/>
        </w:rPr>
        <w:t> </w:t>
      </w:r>
    </w:p>
    <w:p w14:paraId="0F76063B" w14:textId="77777777" w:rsidR="00A85A01" w:rsidRPr="00C83827" w:rsidRDefault="00A85A01" w:rsidP="0068657A">
      <w:pPr>
        <w:autoSpaceDE w:val="0"/>
        <w:autoSpaceDN w:val="0"/>
        <w:adjustRightInd w:val="0"/>
        <w:spacing w:after="40" w:line="360" w:lineRule="auto"/>
        <w:jc w:val="both"/>
        <w:rPr>
          <w:rFonts w:ascii="Arial" w:hAnsi="Arial" w:cs="Arial"/>
          <w:sz w:val="28"/>
          <w:szCs w:val="28"/>
        </w:rPr>
      </w:pPr>
      <w:r w:rsidRPr="00C83827">
        <w:rPr>
          <w:rFonts w:ascii="Arial" w:hAnsi="Arial" w:cs="Arial"/>
          <w:sz w:val="28"/>
          <w:szCs w:val="28"/>
        </w:rPr>
        <w:t>Literature review</w:t>
      </w:r>
    </w:p>
    <w:p w14:paraId="3DD9CD84" w14:textId="30932585" w:rsidR="00A85A01" w:rsidRPr="0068657A" w:rsidRDefault="00A85A01" w:rsidP="00A734E7">
      <w:pPr>
        <w:autoSpaceDE w:val="0"/>
        <w:autoSpaceDN w:val="0"/>
        <w:adjustRightInd w:val="0"/>
        <w:spacing w:line="360" w:lineRule="auto"/>
        <w:ind w:firstLine="720"/>
        <w:jc w:val="both"/>
        <w:rPr>
          <w:rFonts w:ascii="Arial" w:hAnsi="Arial" w:cs="Arial"/>
          <w:sz w:val="22"/>
          <w:szCs w:val="22"/>
        </w:rPr>
      </w:pPr>
      <w:r w:rsidRPr="0068657A">
        <w:rPr>
          <w:rFonts w:ascii="Arial" w:hAnsi="Arial" w:cs="Arial"/>
          <w:sz w:val="22"/>
          <w:szCs w:val="22"/>
        </w:rPr>
        <w:t>The teacher’s decision to reference pupils’ past experiences of learning when repeating classroom expectations can be seen to be an application of constructivist theory. The central idea to the constructivist school of thought is that all learning is built upon a foundation of pre-existing knowledge (Dewey, 1960; Piaget, 1968; Vygotsky, 1978). New knowledge which is not connected to pre-existing learning cannot be seen to be understood, according to this school of thought (Regents of the University of California, 2016). Pupil participation, questioning and structured activities give learners vital opportunities to form associations with pre-existing knowledge, which is the fundamental concept behind the constructivist approach to learning (</w:t>
      </w:r>
      <w:r w:rsidR="0068657A" w:rsidRPr="0068657A">
        <w:rPr>
          <w:rFonts w:ascii="Arial" w:hAnsi="Arial" w:cs="Arial"/>
          <w:sz w:val="22"/>
          <w:szCs w:val="22"/>
        </w:rPr>
        <w:t>Dewey, 1960</w:t>
      </w:r>
      <w:r w:rsidRPr="0068657A">
        <w:rPr>
          <w:rFonts w:ascii="Arial" w:hAnsi="Arial" w:cs="Arial"/>
          <w:sz w:val="22"/>
          <w:szCs w:val="22"/>
        </w:rPr>
        <w:t xml:space="preserve">, p.168; Piaget, 1968; Vygotsky, 1978). </w:t>
      </w:r>
      <w:proofErr w:type="spellStart"/>
      <w:r w:rsidRPr="0068657A">
        <w:rPr>
          <w:rFonts w:ascii="Arial" w:hAnsi="Arial" w:cs="Arial"/>
          <w:sz w:val="22"/>
          <w:szCs w:val="22"/>
        </w:rPr>
        <w:t>Confrey</w:t>
      </w:r>
      <w:proofErr w:type="spellEnd"/>
      <w:r w:rsidRPr="0068657A">
        <w:rPr>
          <w:rFonts w:ascii="Arial" w:hAnsi="Arial" w:cs="Arial"/>
          <w:sz w:val="22"/>
          <w:szCs w:val="22"/>
        </w:rPr>
        <w:t xml:space="preserve"> (1990, p.109) and Piaget (1968) highlight that the constructivist teacher should aim to form a model of the students’ view of learning, before endeavouring to restructure pre-existing knowledge and introduce new ideas. By using the interruption of a pupil as an opportunity to clarify expectations for all learners in relation to their previous classroom experiences, the teacher can be seen to have employed a constructivist approach to solving this problem. Within the constructivist school of thought, there are </w:t>
      </w:r>
      <w:r w:rsidR="0068657A">
        <w:rPr>
          <w:rFonts w:ascii="Arial" w:hAnsi="Arial" w:cs="Arial"/>
          <w:sz w:val="22"/>
          <w:szCs w:val="22"/>
        </w:rPr>
        <w:t>many</w:t>
      </w:r>
      <w:r w:rsidRPr="0068657A">
        <w:rPr>
          <w:rFonts w:ascii="Arial" w:hAnsi="Arial" w:cs="Arial"/>
          <w:sz w:val="22"/>
          <w:szCs w:val="22"/>
        </w:rPr>
        <w:t xml:space="preserve"> authors and theorists </w:t>
      </w:r>
      <w:r w:rsidR="0068657A">
        <w:rPr>
          <w:rFonts w:ascii="Arial" w:hAnsi="Arial" w:cs="Arial"/>
          <w:sz w:val="22"/>
          <w:szCs w:val="22"/>
        </w:rPr>
        <w:t xml:space="preserve">which </w:t>
      </w:r>
      <w:r w:rsidRPr="0068657A">
        <w:rPr>
          <w:rFonts w:ascii="Arial" w:hAnsi="Arial" w:cs="Arial"/>
          <w:sz w:val="22"/>
          <w:szCs w:val="22"/>
        </w:rPr>
        <w:t xml:space="preserve">span a large </w:t>
      </w:r>
      <w:r w:rsidR="0068657A" w:rsidRPr="0068657A">
        <w:rPr>
          <w:rFonts w:ascii="Arial" w:hAnsi="Arial" w:cs="Arial"/>
          <w:sz w:val="22"/>
          <w:szCs w:val="22"/>
        </w:rPr>
        <w:t>ideological</w:t>
      </w:r>
      <w:r w:rsidRPr="0068657A">
        <w:rPr>
          <w:rFonts w:ascii="Arial" w:hAnsi="Arial" w:cs="Arial"/>
          <w:sz w:val="22"/>
          <w:szCs w:val="22"/>
        </w:rPr>
        <w:t xml:space="preserve"> spectrum with the primary sub-division lying between the social and cognitive </w:t>
      </w:r>
      <w:r w:rsidR="000051AB" w:rsidRPr="0068657A">
        <w:rPr>
          <w:rFonts w:ascii="Arial" w:hAnsi="Arial" w:cs="Arial"/>
          <w:sz w:val="22"/>
          <w:szCs w:val="22"/>
        </w:rPr>
        <w:t>ideologies</w:t>
      </w:r>
      <w:r w:rsidRPr="0068657A">
        <w:rPr>
          <w:rFonts w:ascii="Arial" w:hAnsi="Arial" w:cs="Arial"/>
          <w:sz w:val="22"/>
          <w:szCs w:val="22"/>
        </w:rPr>
        <w:t xml:space="preserve"> </w:t>
      </w:r>
      <w:r w:rsidR="0068657A" w:rsidRPr="0068657A">
        <w:rPr>
          <w:rFonts w:ascii="Arial" w:hAnsi="Arial" w:cs="Arial"/>
          <w:sz w:val="22"/>
          <w:szCs w:val="22"/>
        </w:rPr>
        <w:t>(Phillips, 1995, p.6)</w:t>
      </w:r>
      <w:r w:rsidR="0068657A">
        <w:rPr>
          <w:rFonts w:ascii="Arial" w:hAnsi="Arial" w:cs="Arial"/>
          <w:sz w:val="22"/>
          <w:szCs w:val="22"/>
        </w:rPr>
        <w:t>.</w:t>
      </w:r>
    </w:p>
    <w:p w14:paraId="67AE10C0" w14:textId="67809176" w:rsidR="00A85A01" w:rsidRPr="0068657A" w:rsidRDefault="00A85A01" w:rsidP="00A734E7">
      <w:pPr>
        <w:autoSpaceDE w:val="0"/>
        <w:autoSpaceDN w:val="0"/>
        <w:adjustRightInd w:val="0"/>
        <w:spacing w:line="360" w:lineRule="auto"/>
        <w:ind w:firstLine="720"/>
        <w:jc w:val="both"/>
        <w:rPr>
          <w:rFonts w:ascii="Arial" w:hAnsi="Arial" w:cs="Arial"/>
          <w:sz w:val="22"/>
          <w:szCs w:val="22"/>
        </w:rPr>
      </w:pPr>
      <w:r w:rsidRPr="0068657A">
        <w:rPr>
          <w:rFonts w:ascii="Arial" w:hAnsi="Arial" w:cs="Arial"/>
          <w:sz w:val="22"/>
          <w:szCs w:val="22"/>
        </w:rPr>
        <w:t xml:space="preserve">Cognitive constructivists adopt the view that learning is a process of active independent discovery for each student, meaning the role of the teacher is to facilitate discovery by guiding the learning journey (Regents of the University of California, 2016, p.5). It is therefore the teacher’s responsibility to </w:t>
      </w:r>
      <w:r w:rsidR="0068657A">
        <w:rPr>
          <w:rFonts w:ascii="Arial" w:hAnsi="Arial" w:cs="Arial"/>
          <w:sz w:val="22"/>
          <w:szCs w:val="22"/>
        </w:rPr>
        <w:t>consider</w:t>
      </w:r>
      <w:r w:rsidRPr="0068657A">
        <w:rPr>
          <w:rFonts w:ascii="Arial" w:hAnsi="Arial" w:cs="Arial"/>
          <w:sz w:val="22"/>
          <w:szCs w:val="22"/>
        </w:rPr>
        <w:t xml:space="preserve"> previous experiences in the learner’s journey and the extent of knowledge they have already accumulated (Regents of the University of California, 2016, p.5). The teacher in the observed case study reflected this theory in practice when repeating class expectations in comparison with pupils’ previous routines. Piaget (2006, p.99) rejects the notion that learning is a passive experience, instead proposing that learning is a dynamic journey which takes place over four key stages of development. At each stage, learners construct knowledge by creating and testing their own theories about the world (Piaget, 2006, p.99). Piaget proposes that from age two to seven, children’s learning is at a ‘preoperational stage’ (2006, p.104). This means that children in this age bracket, including pupils in the year one class observed in the case study, would not have reached a level of cognitive development to use operations or logical reasoning, but instead will gather information based on how things appear to them (Piaget, </w:t>
      </w:r>
      <w:r w:rsidR="0068657A" w:rsidRPr="0068657A">
        <w:rPr>
          <w:rFonts w:ascii="Arial" w:hAnsi="Arial" w:cs="Arial"/>
          <w:sz w:val="22"/>
          <w:szCs w:val="22"/>
        </w:rPr>
        <w:t xml:space="preserve">2006, </w:t>
      </w:r>
      <w:r w:rsidR="0068657A" w:rsidRPr="0068657A">
        <w:rPr>
          <w:rFonts w:ascii="Arial" w:hAnsi="Arial" w:cs="Arial"/>
          <w:sz w:val="22"/>
          <w:szCs w:val="22"/>
        </w:rPr>
        <w:lastRenderedPageBreak/>
        <w:t>p.104</w:t>
      </w:r>
      <w:r w:rsidRPr="0068657A">
        <w:rPr>
          <w:rFonts w:ascii="Arial" w:hAnsi="Arial" w:cs="Arial"/>
          <w:sz w:val="22"/>
          <w:szCs w:val="22"/>
        </w:rPr>
        <w:t>).  Therefore, it is the teacher’s responsibility to model stimuli in the environment to ensure learners can assimilate knowledge based on their own exploration. This corresponds with the aims and outcomes of the Foundation Phase behavioural regulation framework, which highlights ‘respond[</w:t>
      </w:r>
      <w:proofErr w:type="spellStart"/>
      <w:r w:rsidRPr="0068657A">
        <w:rPr>
          <w:rFonts w:ascii="Arial" w:hAnsi="Arial" w:cs="Arial"/>
          <w:sz w:val="22"/>
          <w:szCs w:val="22"/>
        </w:rPr>
        <w:t>ing</w:t>
      </w:r>
      <w:proofErr w:type="spellEnd"/>
      <w:r w:rsidRPr="0068657A">
        <w:rPr>
          <w:rFonts w:ascii="Arial" w:hAnsi="Arial" w:cs="Arial"/>
          <w:sz w:val="22"/>
          <w:szCs w:val="22"/>
        </w:rPr>
        <w:t>] to rules or requests if the reasons are explained’ and ‘begin[</w:t>
      </w:r>
      <w:proofErr w:type="spellStart"/>
      <w:r w:rsidRPr="0068657A">
        <w:rPr>
          <w:rFonts w:ascii="Arial" w:hAnsi="Arial" w:cs="Arial"/>
          <w:sz w:val="22"/>
          <w:szCs w:val="22"/>
        </w:rPr>
        <w:t>ning</w:t>
      </w:r>
      <w:proofErr w:type="spellEnd"/>
      <w:r w:rsidRPr="0068657A">
        <w:rPr>
          <w:rFonts w:ascii="Arial" w:hAnsi="Arial" w:cs="Arial"/>
          <w:sz w:val="22"/>
          <w:szCs w:val="22"/>
        </w:rPr>
        <w:t xml:space="preserve">] to recognise appropriate behaviour, often modelled on the standards of adults close to them’ are expectations for pupils at Outcome Level 3, which pupils in year one would be expected to be working at (Welsh Government, 2017). The framework’s specification for ‘modelled’ behaviour and explanation of rules relates to Piaget’s theory that children of this age accumulate knowledge based on observation and guidance from adults, rather than independent problem solving. The teacher’s explanation of the </w:t>
      </w:r>
      <w:r w:rsidR="0068657A" w:rsidRPr="0068657A">
        <w:rPr>
          <w:rFonts w:ascii="Arial" w:hAnsi="Arial" w:cs="Arial"/>
          <w:sz w:val="22"/>
          <w:szCs w:val="22"/>
        </w:rPr>
        <w:t>reasoning</w:t>
      </w:r>
      <w:r w:rsidRPr="0068657A">
        <w:rPr>
          <w:rFonts w:ascii="Arial" w:hAnsi="Arial" w:cs="Arial"/>
          <w:sz w:val="22"/>
          <w:szCs w:val="22"/>
        </w:rPr>
        <w:t xml:space="preserve"> behind the new learning routines in year one, before prompting them to engage with the structure of the day without needing to be reminded demonstrates cognitive constructivism in practice.</w:t>
      </w:r>
    </w:p>
    <w:p w14:paraId="1BC580C0" w14:textId="1CC430F2" w:rsidR="00A85A01" w:rsidRPr="0068657A" w:rsidRDefault="00A85A01" w:rsidP="00A734E7">
      <w:pPr>
        <w:autoSpaceDE w:val="0"/>
        <w:autoSpaceDN w:val="0"/>
        <w:adjustRightInd w:val="0"/>
        <w:spacing w:line="360" w:lineRule="auto"/>
        <w:ind w:firstLine="720"/>
        <w:jc w:val="both"/>
        <w:rPr>
          <w:rFonts w:ascii="Arial" w:hAnsi="Arial" w:cs="Arial"/>
          <w:sz w:val="22"/>
          <w:szCs w:val="22"/>
        </w:rPr>
      </w:pPr>
      <w:r w:rsidRPr="0068657A">
        <w:rPr>
          <w:rFonts w:ascii="Arial" w:hAnsi="Arial" w:cs="Arial"/>
          <w:sz w:val="22"/>
          <w:szCs w:val="22"/>
        </w:rPr>
        <w:t xml:space="preserve">While the core principle of social constructivism is also the assimilation of knowledge in connection with pre-existing knowledge, the social </w:t>
      </w:r>
      <w:r w:rsidR="0068657A" w:rsidRPr="0068657A">
        <w:rPr>
          <w:rFonts w:ascii="Arial" w:hAnsi="Arial" w:cs="Arial"/>
          <w:sz w:val="22"/>
          <w:szCs w:val="22"/>
        </w:rPr>
        <w:t>ideology</w:t>
      </w:r>
      <w:r w:rsidRPr="0068657A">
        <w:rPr>
          <w:rFonts w:ascii="Arial" w:hAnsi="Arial" w:cs="Arial"/>
          <w:sz w:val="22"/>
          <w:szCs w:val="22"/>
        </w:rPr>
        <w:t xml:space="preserve"> differs in its view of learning and knowledge (Regents of the University of California, 2016, p.9). Rather than proposing learners assimilate knowledge independently through their own exploration of environmental stimuli, Vygotsky (1978, p.86) stressed that learning is a collaborative process</w:t>
      </w:r>
      <w:r w:rsidR="00A734E7">
        <w:rPr>
          <w:rFonts w:ascii="Arial" w:hAnsi="Arial" w:cs="Arial"/>
          <w:sz w:val="22"/>
          <w:szCs w:val="22"/>
        </w:rPr>
        <w:t>, desc</w:t>
      </w:r>
      <w:r w:rsidR="00A92676">
        <w:rPr>
          <w:rFonts w:ascii="Arial" w:hAnsi="Arial" w:cs="Arial"/>
          <w:sz w:val="22"/>
          <w:szCs w:val="22"/>
        </w:rPr>
        <w:t xml:space="preserve">ribing how </w:t>
      </w:r>
      <w:r w:rsidRPr="0068657A">
        <w:rPr>
          <w:rFonts w:ascii="Arial" w:hAnsi="Arial" w:cs="Arial"/>
          <w:sz w:val="22"/>
          <w:szCs w:val="22"/>
        </w:rPr>
        <w:t xml:space="preserve">language, interaction and culture </w:t>
      </w:r>
      <w:r w:rsidR="00A92676">
        <w:rPr>
          <w:rFonts w:ascii="Arial" w:hAnsi="Arial" w:cs="Arial"/>
          <w:sz w:val="22"/>
          <w:szCs w:val="22"/>
        </w:rPr>
        <w:t>play a</w:t>
      </w:r>
      <w:r w:rsidRPr="0068657A">
        <w:rPr>
          <w:rFonts w:ascii="Arial" w:hAnsi="Arial" w:cs="Arial"/>
          <w:sz w:val="22"/>
          <w:szCs w:val="22"/>
        </w:rPr>
        <w:t xml:space="preserve"> vital </w:t>
      </w:r>
      <w:r w:rsidR="00A92676">
        <w:rPr>
          <w:rFonts w:ascii="Arial" w:hAnsi="Arial" w:cs="Arial"/>
          <w:sz w:val="22"/>
          <w:szCs w:val="22"/>
        </w:rPr>
        <w:t>role in the assimilation of knowledge and reality.</w:t>
      </w:r>
      <w:r w:rsidRPr="0068657A">
        <w:rPr>
          <w:rFonts w:ascii="Arial" w:hAnsi="Arial" w:cs="Arial"/>
          <w:sz w:val="22"/>
          <w:szCs w:val="22"/>
        </w:rPr>
        <w:t xml:space="preserve"> Therefore, </w:t>
      </w:r>
      <w:r w:rsidR="000D2B1A">
        <w:rPr>
          <w:rFonts w:ascii="Arial" w:hAnsi="Arial" w:cs="Arial"/>
          <w:sz w:val="22"/>
          <w:szCs w:val="22"/>
        </w:rPr>
        <w:t xml:space="preserve">according to a Vygotskian school of thought, </w:t>
      </w:r>
      <w:r w:rsidRPr="0068657A">
        <w:rPr>
          <w:rFonts w:ascii="Arial" w:hAnsi="Arial" w:cs="Arial"/>
          <w:sz w:val="22"/>
          <w:szCs w:val="22"/>
        </w:rPr>
        <w:t xml:space="preserve">knowledge is not constructed independently but co-constructed through interactions with others. While Piaget states the importance of learners assimilating knowledge according to their developmental stage (2006, p.99), Vygotsky proposes all learners have two developmental levels (1978, p.85). What Vygotsky terms the ‘actual developmental level’ corresponds to Piaget’s framework of developmental stages, meaning the knowledge a child can assimilate independently at a given stage of development (ibid.). However, Vygotsky also proposes there exists a ‘zone of proximal development’, in which learners </w:t>
      </w:r>
      <w:r w:rsidR="000D2B1A" w:rsidRPr="0068657A">
        <w:rPr>
          <w:rFonts w:ascii="Arial" w:hAnsi="Arial" w:cs="Arial"/>
          <w:sz w:val="22"/>
          <w:szCs w:val="22"/>
        </w:rPr>
        <w:t>can</w:t>
      </w:r>
      <w:r w:rsidRPr="0068657A">
        <w:rPr>
          <w:rFonts w:ascii="Arial" w:hAnsi="Arial" w:cs="Arial"/>
          <w:sz w:val="22"/>
          <w:szCs w:val="22"/>
        </w:rPr>
        <w:t xml:space="preserve"> assimilate knowledge when guided by a teacher, given </w:t>
      </w:r>
      <w:proofErr w:type="gramStart"/>
      <w:r w:rsidRPr="0068657A">
        <w:rPr>
          <w:rFonts w:ascii="Arial" w:hAnsi="Arial" w:cs="Arial"/>
          <w:sz w:val="22"/>
          <w:szCs w:val="22"/>
        </w:rPr>
        <w:t>instructions</w:t>
      </w:r>
      <w:proofErr w:type="gramEnd"/>
      <w:r w:rsidRPr="0068657A">
        <w:rPr>
          <w:rFonts w:ascii="Arial" w:hAnsi="Arial" w:cs="Arial"/>
          <w:sz w:val="22"/>
          <w:szCs w:val="22"/>
        </w:rPr>
        <w:t xml:space="preserve"> or working in collaboration with other learners (ibid.). Stressing the importance of the ‘zone of proximal development’, Vygotsky highlights ‘what children can do with the assistance of others might be in some sense more indicative of their mental development than what they can do alone’ (ibid.). </w:t>
      </w:r>
    </w:p>
    <w:p w14:paraId="02E907EA" w14:textId="1D2CE9E8" w:rsidR="00A85A01" w:rsidRPr="0068657A" w:rsidRDefault="00A85A01" w:rsidP="000D2B1A">
      <w:pPr>
        <w:autoSpaceDE w:val="0"/>
        <w:autoSpaceDN w:val="0"/>
        <w:adjustRightInd w:val="0"/>
        <w:spacing w:line="360" w:lineRule="auto"/>
        <w:ind w:firstLine="720"/>
        <w:jc w:val="both"/>
        <w:rPr>
          <w:rFonts w:ascii="Arial" w:hAnsi="Arial" w:cs="Arial"/>
          <w:sz w:val="22"/>
          <w:szCs w:val="22"/>
        </w:rPr>
      </w:pPr>
      <w:r w:rsidRPr="0068657A">
        <w:rPr>
          <w:rFonts w:ascii="Arial" w:hAnsi="Arial" w:cs="Arial"/>
          <w:sz w:val="22"/>
          <w:szCs w:val="22"/>
        </w:rPr>
        <w:t>Many contemporary educational theories have the foundations of Vygotskian and Piagetian constructivism at their heart. One example is Geoff Petty’s outlining of ‘students’ needs’ in the classroom to facilitate successful learning (2016). Using the acronym EDUCARE, Petty highlights students need access to the following learning opportunities to successfully assimilate knowledge: ‘explanation’, ‘</w:t>
      </w:r>
      <w:proofErr w:type="gramStart"/>
      <w:r w:rsidRPr="0068657A">
        <w:rPr>
          <w:rFonts w:ascii="Arial" w:hAnsi="Arial" w:cs="Arial"/>
          <w:sz w:val="22"/>
          <w:szCs w:val="22"/>
        </w:rPr>
        <w:t>doing-detail</w:t>
      </w:r>
      <w:proofErr w:type="gramEnd"/>
      <w:r w:rsidRPr="0068657A">
        <w:rPr>
          <w:rFonts w:ascii="Arial" w:hAnsi="Arial" w:cs="Arial"/>
          <w:sz w:val="22"/>
          <w:szCs w:val="22"/>
        </w:rPr>
        <w:t xml:space="preserve">’, ‘use’ and ‘check and correct’ (ibid., p.40). Petty </w:t>
      </w:r>
      <w:r w:rsidRPr="0068657A">
        <w:rPr>
          <w:rFonts w:ascii="Arial" w:hAnsi="Arial" w:cs="Arial"/>
          <w:sz w:val="22"/>
          <w:szCs w:val="22"/>
        </w:rPr>
        <w:lastRenderedPageBreak/>
        <w:t xml:space="preserve">additionally offers reasoning reflecting a constructivist school of thought for each of these needs. He states ‘explanation’ is vital for learners ‘to understand the events they are learning about’ (ibid.). ‘Doing-detail’ is necessary for learners to clarify ‘what they are expected to do’, ‘how they can best do it’ and learning to identify ‘when they have used the skill or ability correctly’ (ibid., p.36). The ‘use’ stage is invaluable to retaining information. Petty highlights that reading or writing knowledge repeatedly does not lead to understanding. Learners must be given opportunities to explore knowledge stimuli through ‘quizzes, tests, </w:t>
      </w:r>
      <w:proofErr w:type="gramStart"/>
      <w:r w:rsidR="00FC273C" w:rsidRPr="0068657A">
        <w:rPr>
          <w:rFonts w:ascii="Arial" w:hAnsi="Arial" w:cs="Arial"/>
          <w:sz w:val="22"/>
          <w:szCs w:val="22"/>
        </w:rPr>
        <w:t>games</w:t>
      </w:r>
      <w:r w:rsidR="00C83827">
        <w:rPr>
          <w:rFonts w:ascii="Arial" w:hAnsi="Arial" w:cs="Arial"/>
          <w:sz w:val="22"/>
          <w:szCs w:val="22"/>
        </w:rPr>
        <w:t>’</w:t>
      </w:r>
      <w:proofErr w:type="gramEnd"/>
      <w:r w:rsidRPr="0068657A">
        <w:rPr>
          <w:rFonts w:ascii="Arial" w:hAnsi="Arial" w:cs="Arial"/>
          <w:sz w:val="22"/>
          <w:szCs w:val="22"/>
        </w:rPr>
        <w:t xml:space="preserve"> and other practical exercises (ibid., p.40). Finally, ‘check and correct’ gives students the opportunity to be given feedback to allow for development and improvement (ibid., p.40). This reflects the Vygotskian notion of the ‘zone of proximal development’, by which learners have a zone of knowledge they can access only through interactions with peers or a more knowledgeable adult (ibid., p.85). Petty additionally highlights that ‘meaning is personal and unique, and is built upon personal prior learning and experience, which differs from student to student’ (2022, p.2), meaning learners should be given opportunities within the learning environment through a range of activities, </w:t>
      </w:r>
      <w:r w:rsidR="00FC273C" w:rsidRPr="0068657A">
        <w:rPr>
          <w:rFonts w:ascii="Arial" w:hAnsi="Arial" w:cs="Arial"/>
          <w:sz w:val="22"/>
          <w:szCs w:val="22"/>
        </w:rPr>
        <w:t>interactions,</w:t>
      </w:r>
      <w:r w:rsidRPr="0068657A">
        <w:rPr>
          <w:rFonts w:ascii="Arial" w:hAnsi="Arial" w:cs="Arial"/>
          <w:sz w:val="22"/>
          <w:szCs w:val="22"/>
        </w:rPr>
        <w:t xml:space="preserve"> and stimuli.</w:t>
      </w:r>
    </w:p>
    <w:p w14:paraId="40E15E65" w14:textId="5211CB2A" w:rsidR="00A85A01" w:rsidRPr="0068657A" w:rsidRDefault="00A85A01" w:rsidP="000D2B1A">
      <w:pPr>
        <w:autoSpaceDE w:val="0"/>
        <w:autoSpaceDN w:val="0"/>
        <w:adjustRightInd w:val="0"/>
        <w:spacing w:line="360" w:lineRule="auto"/>
        <w:ind w:firstLine="720"/>
        <w:jc w:val="both"/>
        <w:rPr>
          <w:rFonts w:ascii="Arial" w:hAnsi="Arial" w:cs="Arial"/>
          <w:sz w:val="22"/>
          <w:szCs w:val="22"/>
        </w:rPr>
      </w:pPr>
      <w:r w:rsidRPr="0068657A">
        <w:rPr>
          <w:rFonts w:ascii="Arial" w:hAnsi="Arial" w:cs="Arial"/>
          <w:sz w:val="22"/>
          <w:szCs w:val="22"/>
        </w:rPr>
        <w:t xml:space="preserve">Contrastingly, theorists aligning with the behaviourist school of thought would argue that learning is only evidenced by an observed change in behaviour, bypassing mental processes, </w:t>
      </w:r>
      <w:r w:rsidR="00FC273C" w:rsidRPr="0068657A">
        <w:rPr>
          <w:rFonts w:ascii="Arial" w:hAnsi="Arial" w:cs="Arial"/>
          <w:sz w:val="22"/>
          <w:szCs w:val="22"/>
        </w:rPr>
        <w:t>thoughts,</w:t>
      </w:r>
      <w:r w:rsidRPr="0068657A">
        <w:rPr>
          <w:rFonts w:ascii="Arial" w:hAnsi="Arial" w:cs="Arial"/>
          <w:sz w:val="22"/>
          <w:szCs w:val="22"/>
        </w:rPr>
        <w:t xml:space="preserve"> and feelings (Skinner, 1976; Watson, 1997). According to behaviourists such as Watson (1997) and Skinner (1976), knowledge is simply a </w:t>
      </w:r>
      <w:r w:rsidR="00FC273C" w:rsidRPr="0068657A">
        <w:rPr>
          <w:rFonts w:ascii="Arial" w:hAnsi="Arial" w:cs="Arial"/>
          <w:sz w:val="22"/>
          <w:szCs w:val="22"/>
        </w:rPr>
        <w:t>repertoire</w:t>
      </w:r>
      <w:r w:rsidRPr="0068657A">
        <w:rPr>
          <w:rFonts w:ascii="Arial" w:hAnsi="Arial" w:cs="Arial"/>
          <w:sz w:val="22"/>
          <w:szCs w:val="22"/>
        </w:rPr>
        <w:t xml:space="preserve"> of behaviours. They present the view that learners do not use pre-existing knowledge to guide their actions and behaviours, as knowledge and behaviour are synonymous (Skinner, 1976, p.152). </w:t>
      </w:r>
      <w:r w:rsidR="00FC273C" w:rsidRPr="0068657A">
        <w:rPr>
          <w:rFonts w:ascii="Arial" w:hAnsi="Arial" w:cs="Arial"/>
          <w:sz w:val="22"/>
          <w:szCs w:val="22"/>
        </w:rPr>
        <w:t>With this</w:t>
      </w:r>
      <w:r w:rsidRPr="0068657A">
        <w:rPr>
          <w:rFonts w:ascii="Arial" w:hAnsi="Arial" w:cs="Arial"/>
          <w:sz w:val="22"/>
          <w:szCs w:val="22"/>
        </w:rPr>
        <w:t xml:space="preserve"> in mind, behaviourists believe that the transmission of knowledge from teacher to student is essentially the conditioning of a response to a </w:t>
      </w:r>
      <w:proofErr w:type="gramStart"/>
      <w:r w:rsidRPr="0068657A">
        <w:rPr>
          <w:rFonts w:ascii="Arial" w:hAnsi="Arial" w:cs="Arial"/>
          <w:sz w:val="22"/>
          <w:szCs w:val="22"/>
        </w:rPr>
        <w:t>specific stimuli</w:t>
      </w:r>
      <w:proofErr w:type="gramEnd"/>
      <w:r w:rsidRPr="0068657A">
        <w:rPr>
          <w:rFonts w:ascii="Arial" w:hAnsi="Arial" w:cs="Arial"/>
          <w:sz w:val="22"/>
          <w:szCs w:val="22"/>
        </w:rPr>
        <w:t xml:space="preserve"> (Skinner, 1969; 1976; Watson, 1997). </w:t>
      </w:r>
    </w:p>
    <w:p w14:paraId="20EF1FFD" w14:textId="77777777" w:rsidR="00A85A01" w:rsidRPr="0068657A" w:rsidRDefault="00A85A01" w:rsidP="0068657A">
      <w:pPr>
        <w:autoSpaceDE w:val="0"/>
        <w:autoSpaceDN w:val="0"/>
        <w:adjustRightInd w:val="0"/>
        <w:spacing w:line="360" w:lineRule="auto"/>
        <w:jc w:val="both"/>
        <w:rPr>
          <w:rFonts w:ascii="Arial" w:hAnsi="Arial" w:cs="Arial"/>
          <w:sz w:val="22"/>
          <w:szCs w:val="22"/>
        </w:rPr>
      </w:pPr>
      <w:r w:rsidRPr="0068657A">
        <w:rPr>
          <w:rFonts w:ascii="Arial" w:hAnsi="Arial" w:cs="Arial"/>
          <w:sz w:val="22"/>
          <w:szCs w:val="22"/>
        </w:rPr>
        <w:t xml:space="preserve">Skinner highlights the aim of education is to condition a set of responses and to reinforce them through an effective punishment and reward system (1976, p.161). The outcome of this reinforcement should then mean the learner behaves and responds to stimulus in a certain way without being prompted to do so. In relation to the observed case study, a behaviourist would argue that the most effective teaching method to ensure the learner remembers classroom expectations is repetition and reward to strengthen behaviour (Watson 1926; Skinner 1969). Watson also highlights the importance of repetition and reinforcement for learning (1997). Watson proposes learners retain information on a ‘frequency and recency basis’, meaning behaviour and knowledge which are not reinforced at frequent intervals are likely to ‘die away’ (ibid., p.165). After each instance of reinforcement, the learner takes longer to remember the desired behavioural response to a given stimulus (ibid.). While the teacher did repeat the instruction, the learner did not receive any reward for listening and adhering to advice. Some behaviourists would argue that </w:t>
      </w:r>
      <w:r w:rsidRPr="0068657A">
        <w:rPr>
          <w:rFonts w:ascii="Arial" w:hAnsi="Arial" w:cs="Arial"/>
          <w:sz w:val="22"/>
          <w:szCs w:val="22"/>
        </w:rPr>
        <w:lastRenderedPageBreak/>
        <w:t>any undesirable behaviour should also be reinforced to weaken the displayed behaviour. (Regents of the University of California, 2016, p.4). This means to condition the learner not to act in a certain way through punishment (Skinner, 1969). This theory is referred to as Operant Conditioning in psychology and is built on the foundation of Thorndike’s Law of Effect and Pavlov’s Classical Conditioning theory (The Editors of Encyclopaedia Britannica, 2020). Skinner drew upon these theories in 1948, when using hungry animals to test how rewards and punishment impact behaviour. He found that animals quickly learn behaviours that prompt them to be fed when they are hungry, such as pulling a lever, but quickly cease to engage with these behaviours after being punished for actioning them (Skinner, 1948).</w:t>
      </w:r>
    </w:p>
    <w:p w14:paraId="10AAE87B" w14:textId="77777777" w:rsidR="00A85A01" w:rsidRPr="0068657A" w:rsidRDefault="00A85A01" w:rsidP="0068657A">
      <w:pPr>
        <w:autoSpaceDE w:val="0"/>
        <w:autoSpaceDN w:val="0"/>
        <w:adjustRightInd w:val="0"/>
        <w:spacing w:line="360" w:lineRule="auto"/>
        <w:jc w:val="both"/>
        <w:rPr>
          <w:rFonts w:ascii="Arial" w:hAnsi="Arial" w:cs="Arial"/>
          <w:sz w:val="22"/>
          <w:szCs w:val="22"/>
        </w:rPr>
      </w:pPr>
      <w:r w:rsidRPr="0068657A">
        <w:rPr>
          <w:rFonts w:ascii="Arial" w:hAnsi="Arial" w:cs="Arial"/>
          <w:sz w:val="22"/>
          <w:szCs w:val="22"/>
        </w:rPr>
        <w:t> </w:t>
      </w:r>
    </w:p>
    <w:p w14:paraId="07A579AC" w14:textId="77777777" w:rsidR="00A85A01" w:rsidRPr="00FC273C" w:rsidRDefault="00A85A01" w:rsidP="0068657A">
      <w:pPr>
        <w:autoSpaceDE w:val="0"/>
        <w:autoSpaceDN w:val="0"/>
        <w:adjustRightInd w:val="0"/>
        <w:spacing w:after="40" w:line="360" w:lineRule="auto"/>
        <w:jc w:val="both"/>
        <w:rPr>
          <w:rFonts w:ascii="Arial" w:hAnsi="Arial" w:cs="Arial"/>
          <w:sz w:val="28"/>
          <w:szCs w:val="28"/>
        </w:rPr>
      </w:pPr>
      <w:r w:rsidRPr="00FC273C">
        <w:rPr>
          <w:rFonts w:ascii="Arial" w:hAnsi="Arial" w:cs="Arial"/>
          <w:sz w:val="28"/>
          <w:szCs w:val="28"/>
        </w:rPr>
        <w:t>Next steps</w:t>
      </w:r>
    </w:p>
    <w:p w14:paraId="72397DCB" w14:textId="4DEB5FC6" w:rsidR="00A85A01" w:rsidRPr="0068657A" w:rsidRDefault="00A85A01" w:rsidP="000D2B1A">
      <w:pPr>
        <w:autoSpaceDE w:val="0"/>
        <w:autoSpaceDN w:val="0"/>
        <w:adjustRightInd w:val="0"/>
        <w:spacing w:line="360" w:lineRule="auto"/>
        <w:ind w:firstLine="720"/>
        <w:jc w:val="both"/>
        <w:rPr>
          <w:rFonts w:ascii="Arial" w:hAnsi="Arial" w:cs="Arial"/>
          <w:sz w:val="22"/>
          <w:szCs w:val="22"/>
        </w:rPr>
      </w:pPr>
      <w:r w:rsidRPr="0068657A">
        <w:rPr>
          <w:rFonts w:ascii="Arial" w:hAnsi="Arial" w:cs="Arial"/>
          <w:sz w:val="22"/>
          <w:szCs w:val="22"/>
        </w:rPr>
        <w:t xml:space="preserve">According to Tripp’s critical incident methodology (2011), there is a process for next steps following the observation of a classroom event a practitioner wishes to reflect on as part of the ‘diagnostic teaching cycle’ (2011, p. 32). Following the practitioner recording ‘a concrete description of an event, or idea’, Tripp proposes they should </w:t>
      </w:r>
      <w:r w:rsidR="00FC273C" w:rsidRPr="0068657A">
        <w:rPr>
          <w:rFonts w:ascii="Arial" w:hAnsi="Arial" w:cs="Arial"/>
          <w:sz w:val="22"/>
          <w:szCs w:val="22"/>
        </w:rPr>
        <w:t>proceed</w:t>
      </w:r>
      <w:r w:rsidRPr="0068657A">
        <w:rPr>
          <w:rFonts w:ascii="Arial" w:hAnsi="Arial" w:cs="Arial"/>
          <w:sz w:val="22"/>
          <w:szCs w:val="22"/>
        </w:rPr>
        <w:t xml:space="preserve"> to ‘create critical incidents’ (ibid.). The first step in forming a critical incident is to describe the key incident in the recorded and suggest an explanation for it in the immediate context (ibid., p.26). In the case of the observed case study detailed above, a pupil interrupted the teacher’s instructions to express their understanding of classroom expectations. The pupil understood the classroom expectations incorrectly, despite the teacher explaining the </w:t>
      </w:r>
      <w:r w:rsidR="000A0537" w:rsidRPr="0068657A">
        <w:rPr>
          <w:rFonts w:ascii="Arial" w:hAnsi="Arial" w:cs="Arial"/>
          <w:sz w:val="22"/>
          <w:szCs w:val="22"/>
        </w:rPr>
        <w:t>structure</w:t>
      </w:r>
      <w:r w:rsidRPr="0068657A">
        <w:rPr>
          <w:rFonts w:ascii="Arial" w:hAnsi="Arial" w:cs="Arial"/>
          <w:sz w:val="22"/>
          <w:szCs w:val="22"/>
        </w:rPr>
        <w:t xml:space="preserve"> of the activity minutes before. Therefore, this shows the pupil had failed to assimilate the information communicated by the teacher. </w:t>
      </w:r>
    </w:p>
    <w:p w14:paraId="229BCB6F" w14:textId="14420818" w:rsidR="00A85A01" w:rsidRPr="0068657A" w:rsidRDefault="00A85A01" w:rsidP="000D2B1A">
      <w:pPr>
        <w:autoSpaceDE w:val="0"/>
        <w:autoSpaceDN w:val="0"/>
        <w:adjustRightInd w:val="0"/>
        <w:spacing w:line="360" w:lineRule="auto"/>
        <w:ind w:firstLine="720"/>
        <w:jc w:val="both"/>
        <w:rPr>
          <w:rFonts w:ascii="Arial" w:hAnsi="Arial" w:cs="Arial"/>
          <w:sz w:val="22"/>
          <w:szCs w:val="22"/>
        </w:rPr>
      </w:pPr>
      <w:r w:rsidRPr="0068657A">
        <w:rPr>
          <w:rFonts w:ascii="Arial" w:hAnsi="Arial" w:cs="Arial"/>
          <w:sz w:val="22"/>
          <w:szCs w:val="22"/>
        </w:rPr>
        <w:t xml:space="preserve">The next step in the creation of critical incidents is to identify a broader meaning for the incident taking place and to address its significance (ibid., p.26). The teacher may have different interpretations of a broader meaning if this incident occurs frequently. However, the incident could indicate the pupil struggles to process verbal </w:t>
      </w:r>
      <w:r w:rsidR="000A0537" w:rsidRPr="0068657A">
        <w:rPr>
          <w:rFonts w:ascii="Arial" w:hAnsi="Arial" w:cs="Arial"/>
          <w:sz w:val="22"/>
          <w:szCs w:val="22"/>
        </w:rPr>
        <w:t>instructions</w:t>
      </w:r>
      <w:r w:rsidRPr="0068657A">
        <w:rPr>
          <w:rFonts w:ascii="Arial" w:hAnsi="Arial" w:cs="Arial"/>
          <w:sz w:val="22"/>
          <w:szCs w:val="22"/>
        </w:rPr>
        <w:t xml:space="preserve"> in the classroom, or perhaps the routines the year one class had engaged with during the first two weeks of term had not yet been recognised as long term expectations. This is significant as it demonstrates the pupil may be struggling to adapt to a change in the classroom environment and the teaching strategy, meaning they are failing to adjust to new expectations and routines.</w:t>
      </w:r>
    </w:p>
    <w:p w14:paraId="4DD83060" w14:textId="370A9454" w:rsidR="00A85A01" w:rsidRPr="0068657A" w:rsidRDefault="00A85A01" w:rsidP="000D2B1A">
      <w:pPr>
        <w:autoSpaceDE w:val="0"/>
        <w:autoSpaceDN w:val="0"/>
        <w:adjustRightInd w:val="0"/>
        <w:spacing w:line="360" w:lineRule="auto"/>
        <w:ind w:firstLine="720"/>
        <w:jc w:val="both"/>
        <w:rPr>
          <w:rFonts w:ascii="Arial" w:hAnsi="Arial" w:cs="Arial"/>
          <w:sz w:val="22"/>
          <w:szCs w:val="22"/>
        </w:rPr>
      </w:pPr>
      <w:r w:rsidRPr="0068657A">
        <w:rPr>
          <w:rFonts w:ascii="Arial" w:hAnsi="Arial" w:cs="Arial"/>
          <w:sz w:val="22"/>
          <w:szCs w:val="22"/>
        </w:rPr>
        <w:t xml:space="preserve">Tripp then </w:t>
      </w:r>
      <w:r w:rsidR="000D2B1A">
        <w:rPr>
          <w:rFonts w:ascii="Arial" w:hAnsi="Arial" w:cs="Arial"/>
          <w:sz w:val="22"/>
          <w:szCs w:val="22"/>
        </w:rPr>
        <w:t xml:space="preserve">stresses the need </w:t>
      </w:r>
      <w:r w:rsidRPr="0068657A">
        <w:rPr>
          <w:rFonts w:ascii="Arial" w:hAnsi="Arial" w:cs="Arial"/>
          <w:sz w:val="22"/>
          <w:szCs w:val="22"/>
        </w:rPr>
        <w:t xml:space="preserve">to ‘choose a meaning from among several possible meanings’, </w:t>
      </w:r>
      <w:r w:rsidR="008008FD">
        <w:rPr>
          <w:rFonts w:ascii="Arial" w:hAnsi="Arial" w:cs="Arial"/>
          <w:sz w:val="22"/>
          <w:szCs w:val="22"/>
        </w:rPr>
        <w:t>before</w:t>
      </w:r>
      <w:r w:rsidRPr="0068657A">
        <w:rPr>
          <w:rFonts w:ascii="Arial" w:hAnsi="Arial" w:cs="Arial"/>
          <w:sz w:val="22"/>
          <w:szCs w:val="22"/>
        </w:rPr>
        <w:t xml:space="preserve"> plan</w:t>
      </w:r>
      <w:r w:rsidR="008008FD">
        <w:rPr>
          <w:rFonts w:ascii="Arial" w:hAnsi="Arial" w:cs="Arial"/>
          <w:sz w:val="22"/>
          <w:szCs w:val="22"/>
        </w:rPr>
        <w:t>ning</w:t>
      </w:r>
      <w:r w:rsidRPr="0068657A">
        <w:rPr>
          <w:rFonts w:ascii="Arial" w:hAnsi="Arial" w:cs="Arial"/>
          <w:sz w:val="22"/>
          <w:szCs w:val="22"/>
        </w:rPr>
        <w:t xml:space="preserve"> and implement</w:t>
      </w:r>
      <w:r w:rsidR="008008FD">
        <w:rPr>
          <w:rFonts w:ascii="Arial" w:hAnsi="Arial" w:cs="Arial"/>
          <w:sz w:val="22"/>
          <w:szCs w:val="22"/>
        </w:rPr>
        <w:t>ing</w:t>
      </w:r>
      <w:r w:rsidRPr="0068657A">
        <w:rPr>
          <w:rFonts w:ascii="Arial" w:hAnsi="Arial" w:cs="Arial"/>
          <w:sz w:val="22"/>
          <w:szCs w:val="22"/>
        </w:rPr>
        <w:t xml:space="preserve"> a response based on </w:t>
      </w:r>
      <w:r w:rsidR="008008FD">
        <w:rPr>
          <w:rFonts w:ascii="Arial" w:hAnsi="Arial" w:cs="Arial"/>
          <w:sz w:val="22"/>
          <w:szCs w:val="22"/>
        </w:rPr>
        <w:t xml:space="preserve">a single </w:t>
      </w:r>
      <w:r w:rsidRPr="0068657A">
        <w:rPr>
          <w:rFonts w:ascii="Arial" w:hAnsi="Arial" w:cs="Arial"/>
          <w:sz w:val="22"/>
          <w:szCs w:val="22"/>
        </w:rPr>
        <w:t xml:space="preserve">interpretation (ibid., p.30-32). </w:t>
      </w:r>
      <w:r w:rsidR="00993436">
        <w:rPr>
          <w:rFonts w:ascii="Arial" w:hAnsi="Arial" w:cs="Arial"/>
          <w:sz w:val="22"/>
          <w:szCs w:val="22"/>
        </w:rPr>
        <w:t>After implementing a response,</w:t>
      </w:r>
      <w:r w:rsidRPr="0068657A">
        <w:rPr>
          <w:rFonts w:ascii="Arial" w:hAnsi="Arial" w:cs="Arial"/>
          <w:sz w:val="22"/>
          <w:szCs w:val="22"/>
        </w:rPr>
        <w:t xml:space="preserve"> Tripp </w:t>
      </w:r>
      <w:r w:rsidR="00993436">
        <w:rPr>
          <w:rFonts w:ascii="Arial" w:hAnsi="Arial" w:cs="Arial"/>
          <w:sz w:val="22"/>
          <w:szCs w:val="22"/>
        </w:rPr>
        <w:t>expresses the importance of</w:t>
      </w:r>
      <w:r w:rsidRPr="0068657A">
        <w:rPr>
          <w:rFonts w:ascii="Arial" w:hAnsi="Arial" w:cs="Arial"/>
          <w:sz w:val="22"/>
          <w:szCs w:val="22"/>
        </w:rPr>
        <w:t xml:space="preserve"> continually reflect</w:t>
      </w:r>
      <w:r w:rsidR="00993436">
        <w:rPr>
          <w:rFonts w:ascii="Arial" w:hAnsi="Arial" w:cs="Arial"/>
          <w:sz w:val="22"/>
          <w:szCs w:val="22"/>
        </w:rPr>
        <w:t>ing</w:t>
      </w:r>
      <w:r w:rsidRPr="0068657A">
        <w:rPr>
          <w:rFonts w:ascii="Arial" w:hAnsi="Arial" w:cs="Arial"/>
          <w:sz w:val="22"/>
          <w:szCs w:val="22"/>
        </w:rPr>
        <w:t xml:space="preserve"> on and revis</w:t>
      </w:r>
      <w:r w:rsidR="00711F37">
        <w:rPr>
          <w:rFonts w:ascii="Arial" w:hAnsi="Arial" w:cs="Arial"/>
          <w:sz w:val="22"/>
          <w:szCs w:val="22"/>
        </w:rPr>
        <w:t>ing</w:t>
      </w:r>
      <w:r w:rsidRPr="0068657A">
        <w:rPr>
          <w:rFonts w:ascii="Arial" w:hAnsi="Arial" w:cs="Arial"/>
          <w:sz w:val="22"/>
          <w:szCs w:val="22"/>
        </w:rPr>
        <w:t xml:space="preserve"> classroom strategies to ensure effective practice (ibid., p.33). </w:t>
      </w:r>
    </w:p>
    <w:p w14:paraId="79C49E8D" w14:textId="1F397197" w:rsidR="00A85A01" w:rsidRPr="0068657A" w:rsidRDefault="00CD197E" w:rsidP="008008FD">
      <w:pPr>
        <w:autoSpaceDE w:val="0"/>
        <w:autoSpaceDN w:val="0"/>
        <w:adjustRightInd w:val="0"/>
        <w:spacing w:line="360" w:lineRule="auto"/>
        <w:ind w:firstLine="720"/>
        <w:jc w:val="both"/>
        <w:rPr>
          <w:rFonts w:ascii="Arial" w:hAnsi="Arial" w:cs="Arial"/>
          <w:sz w:val="22"/>
          <w:szCs w:val="22"/>
        </w:rPr>
      </w:pPr>
      <w:r>
        <w:rPr>
          <w:rFonts w:ascii="Arial" w:hAnsi="Arial" w:cs="Arial"/>
          <w:sz w:val="22"/>
          <w:szCs w:val="22"/>
        </w:rPr>
        <w:lastRenderedPageBreak/>
        <w:t xml:space="preserve">In relation to the observed critical incident, there are a range of potential interpretations and responses the class teacher may wish to explore. </w:t>
      </w:r>
      <w:r w:rsidR="00A85A01" w:rsidRPr="0068657A">
        <w:rPr>
          <w:rFonts w:ascii="Arial" w:hAnsi="Arial" w:cs="Arial"/>
          <w:sz w:val="22"/>
          <w:szCs w:val="22"/>
        </w:rPr>
        <w:t xml:space="preserve">Firstly, the teacher could plan to use some of the strategies detailed in Petty’s EDUCARE framework for addressing pupils’ needs when assimilating information (2016, p.40). </w:t>
      </w:r>
      <w:r>
        <w:rPr>
          <w:rFonts w:ascii="Arial" w:hAnsi="Arial" w:cs="Arial"/>
          <w:sz w:val="22"/>
          <w:szCs w:val="22"/>
        </w:rPr>
        <w:t>During the event</w:t>
      </w:r>
      <w:r w:rsidR="00A85A01" w:rsidRPr="0068657A">
        <w:rPr>
          <w:rFonts w:ascii="Arial" w:hAnsi="Arial" w:cs="Arial"/>
          <w:sz w:val="22"/>
          <w:szCs w:val="22"/>
        </w:rPr>
        <w:t>, the teacher explained the classroom expectations</w:t>
      </w:r>
      <w:r w:rsidR="00AE1749">
        <w:rPr>
          <w:rFonts w:ascii="Arial" w:hAnsi="Arial" w:cs="Arial"/>
          <w:sz w:val="22"/>
          <w:szCs w:val="22"/>
        </w:rPr>
        <w:t xml:space="preserve"> at the same time as</w:t>
      </w:r>
      <w:r w:rsidR="00A85A01" w:rsidRPr="0068657A">
        <w:rPr>
          <w:rFonts w:ascii="Arial" w:hAnsi="Arial" w:cs="Arial"/>
          <w:sz w:val="22"/>
          <w:szCs w:val="22"/>
        </w:rPr>
        <w:t xml:space="preserve"> instructions for </w:t>
      </w:r>
      <w:r w:rsidR="00AE1749">
        <w:rPr>
          <w:rFonts w:ascii="Arial" w:hAnsi="Arial" w:cs="Arial"/>
          <w:sz w:val="22"/>
          <w:szCs w:val="22"/>
        </w:rPr>
        <w:t xml:space="preserve">each task in the </w:t>
      </w:r>
      <w:r w:rsidR="00A85A01" w:rsidRPr="0068657A">
        <w:rPr>
          <w:rFonts w:ascii="Arial" w:hAnsi="Arial" w:cs="Arial"/>
          <w:sz w:val="22"/>
          <w:szCs w:val="22"/>
        </w:rPr>
        <w:t xml:space="preserve">activity carousel. The teacher may reflect that this the </w:t>
      </w:r>
      <w:r w:rsidR="00AE1749">
        <w:rPr>
          <w:rFonts w:ascii="Arial" w:hAnsi="Arial" w:cs="Arial"/>
          <w:sz w:val="22"/>
          <w:szCs w:val="22"/>
        </w:rPr>
        <w:t xml:space="preserve">breadth </w:t>
      </w:r>
      <w:r w:rsidR="00A85A01" w:rsidRPr="0068657A">
        <w:rPr>
          <w:rFonts w:ascii="Arial" w:hAnsi="Arial" w:cs="Arial"/>
          <w:sz w:val="22"/>
          <w:szCs w:val="22"/>
        </w:rPr>
        <w:t xml:space="preserve">of this information may mean pupils need an ‘aide-memoir’ to </w:t>
      </w:r>
      <w:r w:rsidR="00AE1749">
        <w:rPr>
          <w:rFonts w:ascii="Arial" w:hAnsi="Arial" w:cs="Arial"/>
          <w:sz w:val="22"/>
          <w:szCs w:val="22"/>
        </w:rPr>
        <w:t xml:space="preserve">process </w:t>
      </w:r>
      <w:r w:rsidR="00FD6773">
        <w:rPr>
          <w:rFonts w:ascii="Arial" w:hAnsi="Arial" w:cs="Arial"/>
          <w:sz w:val="22"/>
          <w:szCs w:val="22"/>
        </w:rPr>
        <w:t xml:space="preserve">all the information and therefore </w:t>
      </w:r>
      <w:r w:rsidR="00A85A01" w:rsidRPr="0068657A">
        <w:rPr>
          <w:rFonts w:ascii="Arial" w:hAnsi="Arial" w:cs="Arial"/>
          <w:sz w:val="22"/>
          <w:szCs w:val="22"/>
        </w:rPr>
        <w:t xml:space="preserve">facilitate the ‘doing-detail’ stage of knowledge assimilation (ibid.). This aide-memoir could be a series of pictures or words on the board to remind pupils of classroom expectations and the sequence of activities for the morning. It is additionally important to ensure the pupil is fully engaging with classroom routines and expectations in the ‘use’ stage (ibid.). If the pupil is </w:t>
      </w:r>
      <w:proofErr w:type="gramStart"/>
      <w:r w:rsidR="00A85A01" w:rsidRPr="0068657A">
        <w:rPr>
          <w:rFonts w:ascii="Arial" w:hAnsi="Arial" w:cs="Arial"/>
          <w:sz w:val="22"/>
          <w:szCs w:val="22"/>
        </w:rPr>
        <w:t>off-task</w:t>
      </w:r>
      <w:proofErr w:type="gramEnd"/>
      <w:r w:rsidR="00A85A01" w:rsidRPr="0068657A">
        <w:rPr>
          <w:rFonts w:ascii="Arial" w:hAnsi="Arial" w:cs="Arial"/>
          <w:sz w:val="22"/>
          <w:szCs w:val="22"/>
        </w:rPr>
        <w:t xml:space="preserve">, expresses confusion, or uses their initiative to play as they would have done in reception, the ‘check and correct’ stage is vital to ensure the pupil can understand and adhere to instructions (ibid.). Likewise, if the pupil is behaving correctly according to classroom expectations, the teacher could praise them for following instructions, so the pupil is aware of what the correct behaviour looks like. The inclusion of frequent positive reinforcement in the teacher’s response also reflects the principles of behaviourist theory (Skinner, 1969; 1976; Watson, 1997). Reflecting on this theory further, the teacher may wish to construct a schedule for checking and reinforcing the pupil’s behaviour until they are consistently adhering to instructions. </w:t>
      </w:r>
    </w:p>
    <w:p w14:paraId="07037299" w14:textId="00B2CDAF" w:rsidR="00A85A01" w:rsidRPr="0068657A" w:rsidRDefault="00A85A01" w:rsidP="00FD6773">
      <w:pPr>
        <w:autoSpaceDE w:val="0"/>
        <w:autoSpaceDN w:val="0"/>
        <w:adjustRightInd w:val="0"/>
        <w:spacing w:line="360" w:lineRule="auto"/>
        <w:ind w:firstLine="720"/>
        <w:jc w:val="both"/>
        <w:rPr>
          <w:rFonts w:ascii="Arial" w:hAnsi="Arial" w:cs="Arial"/>
          <w:sz w:val="22"/>
          <w:szCs w:val="22"/>
        </w:rPr>
      </w:pPr>
      <w:r w:rsidRPr="0068657A">
        <w:rPr>
          <w:rFonts w:ascii="Arial" w:hAnsi="Arial" w:cs="Arial"/>
          <w:sz w:val="22"/>
          <w:szCs w:val="22"/>
        </w:rPr>
        <w:t xml:space="preserve">The teacher could also plan to implement responses which draw from social constructivist theory. Following the Vygotskian idea of the ‘zone of proximal development’, the teacher could ask other pupils to explain and model classroom expectations for those in the class who do not understand (1979, p.85). While the teacher has already demonstrated their role as the more </w:t>
      </w:r>
      <w:r w:rsidR="00FD6773" w:rsidRPr="0068657A">
        <w:rPr>
          <w:rFonts w:ascii="Arial" w:hAnsi="Arial" w:cs="Arial"/>
          <w:sz w:val="22"/>
          <w:szCs w:val="22"/>
        </w:rPr>
        <w:t>knowledgeable</w:t>
      </w:r>
      <w:r w:rsidRPr="0068657A">
        <w:rPr>
          <w:rFonts w:ascii="Arial" w:hAnsi="Arial" w:cs="Arial"/>
          <w:sz w:val="22"/>
          <w:szCs w:val="22"/>
        </w:rPr>
        <w:t xml:space="preserve"> adult in the classroom, Vygotsky highlights the </w:t>
      </w:r>
      <w:r w:rsidR="00FD6773" w:rsidRPr="0068657A">
        <w:rPr>
          <w:rFonts w:ascii="Arial" w:hAnsi="Arial" w:cs="Arial"/>
          <w:sz w:val="22"/>
          <w:szCs w:val="22"/>
        </w:rPr>
        <w:t>importance</w:t>
      </w:r>
      <w:r w:rsidRPr="0068657A">
        <w:rPr>
          <w:rFonts w:ascii="Arial" w:hAnsi="Arial" w:cs="Arial"/>
          <w:sz w:val="22"/>
          <w:szCs w:val="22"/>
        </w:rPr>
        <w:t xml:space="preserve"> of working in ‘collaboration’ with other learners to assimilate knowledge (ibid.). Similarly, Petty notes that explanation and repetition </w:t>
      </w:r>
      <w:r w:rsidR="000A0537" w:rsidRPr="0068657A">
        <w:rPr>
          <w:rFonts w:ascii="Arial" w:hAnsi="Arial" w:cs="Arial"/>
          <w:sz w:val="22"/>
          <w:szCs w:val="22"/>
        </w:rPr>
        <w:t>lead</w:t>
      </w:r>
      <w:r w:rsidRPr="0068657A">
        <w:rPr>
          <w:rFonts w:ascii="Arial" w:hAnsi="Arial" w:cs="Arial"/>
          <w:sz w:val="22"/>
          <w:szCs w:val="22"/>
        </w:rPr>
        <w:t xml:space="preserve"> solely to ‘surface learning’, not understanding (2022, p.1). As he highlights the importance of group discussion and forming connections through interactions and asking questions, the teacher could also check for </w:t>
      </w:r>
      <w:r w:rsidR="000A0537" w:rsidRPr="0068657A">
        <w:rPr>
          <w:rFonts w:ascii="Arial" w:hAnsi="Arial" w:cs="Arial"/>
          <w:sz w:val="22"/>
          <w:szCs w:val="22"/>
        </w:rPr>
        <w:t>understanding</w:t>
      </w:r>
      <w:r w:rsidRPr="0068657A">
        <w:rPr>
          <w:rFonts w:ascii="Arial" w:hAnsi="Arial" w:cs="Arial"/>
          <w:sz w:val="22"/>
          <w:szCs w:val="22"/>
        </w:rPr>
        <w:t xml:space="preserve"> by prompting peer discussion with a question such as, ‘what might we have to do now?’ (ibid., p.3). </w:t>
      </w:r>
    </w:p>
    <w:p w14:paraId="2A50164C" w14:textId="15F298C3" w:rsidR="00A85A01" w:rsidRPr="0068657A" w:rsidRDefault="00A85A01" w:rsidP="00FD6773">
      <w:pPr>
        <w:autoSpaceDE w:val="0"/>
        <w:autoSpaceDN w:val="0"/>
        <w:adjustRightInd w:val="0"/>
        <w:spacing w:line="360" w:lineRule="auto"/>
        <w:ind w:firstLine="720"/>
        <w:jc w:val="both"/>
        <w:rPr>
          <w:rFonts w:ascii="Arial" w:hAnsi="Arial" w:cs="Arial"/>
          <w:sz w:val="22"/>
          <w:szCs w:val="22"/>
        </w:rPr>
      </w:pPr>
      <w:r w:rsidRPr="0068657A">
        <w:rPr>
          <w:rFonts w:ascii="Arial" w:hAnsi="Arial" w:cs="Arial"/>
          <w:sz w:val="22"/>
          <w:szCs w:val="22"/>
        </w:rPr>
        <w:t xml:space="preserve">Finally, Tripp proposes the teacher should then select a response to implement and observe its impact (2011, p.32). Though observing the effect of the planned response, the teacher should then focus on the new needs of learners that present themselves (ibid.). These new developments will form further critical </w:t>
      </w:r>
      <w:r w:rsidR="000A0537" w:rsidRPr="0068657A">
        <w:rPr>
          <w:rFonts w:ascii="Arial" w:hAnsi="Arial" w:cs="Arial"/>
          <w:sz w:val="22"/>
          <w:szCs w:val="22"/>
        </w:rPr>
        <w:t>incidents, which</w:t>
      </w:r>
      <w:r w:rsidRPr="0068657A">
        <w:rPr>
          <w:rFonts w:ascii="Arial" w:hAnsi="Arial" w:cs="Arial"/>
          <w:sz w:val="22"/>
          <w:szCs w:val="22"/>
        </w:rPr>
        <w:t xml:space="preserve"> the teacher should continually reflect on to continue to improve and refine practice. (ibid.).</w:t>
      </w:r>
    </w:p>
    <w:p w14:paraId="0C2E980A" w14:textId="77777777" w:rsidR="00AE6A95" w:rsidRDefault="00AE6A95" w:rsidP="0068657A">
      <w:pPr>
        <w:autoSpaceDE w:val="0"/>
        <w:autoSpaceDN w:val="0"/>
        <w:adjustRightInd w:val="0"/>
        <w:spacing w:after="40" w:line="360" w:lineRule="auto"/>
        <w:jc w:val="both"/>
        <w:rPr>
          <w:rFonts w:ascii="Arial" w:hAnsi="Arial" w:cs="Arial"/>
          <w:sz w:val="28"/>
          <w:szCs w:val="28"/>
        </w:rPr>
      </w:pPr>
    </w:p>
    <w:p w14:paraId="5D743CB9" w14:textId="1EBE78D7" w:rsidR="00A85A01" w:rsidRPr="00FD6773" w:rsidRDefault="00A85A01" w:rsidP="0068657A">
      <w:pPr>
        <w:autoSpaceDE w:val="0"/>
        <w:autoSpaceDN w:val="0"/>
        <w:adjustRightInd w:val="0"/>
        <w:spacing w:after="40" w:line="360" w:lineRule="auto"/>
        <w:jc w:val="both"/>
        <w:rPr>
          <w:rFonts w:ascii="Arial" w:hAnsi="Arial" w:cs="Arial"/>
          <w:sz w:val="28"/>
          <w:szCs w:val="28"/>
        </w:rPr>
      </w:pPr>
      <w:r w:rsidRPr="00FD6773">
        <w:rPr>
          <w:rFonts w:ascii="Arial" w:hAnsi="Arial" w:cs="Arial"/>
          <w:sz w:val="28"/>
          <w:szCs w:val="28"/>
        </w:rPr>
        <w:lastRenderedPageBreak/>
        <w:t>Conclusion</w:t>
      </w:r>
    </w:p>
    <w:p w14:paraId="4F4A5A40" w14:textId="453694B8" w:rsidR="00A85A01" w:rsidRPr="0068657A" w:rsidRDefault="003E606D" w:rsidP="00BF7CDF">
      <w:pPr>
        <w:autoSpaceDE w:val="0"/>
        <w:autoSpaceDN w:val="0"/>
        <w:adjustRightInd w:val="0"/>
        <w:spacing w:line="360" w:lineRule="auto"/>
        <w:ind w:firstLine="720"/>
        <w:jc w:val="both"/>
        <w:rPr>
          <w:rFonts w:ascii="Arial" w:hAnsi="Arial" w:cs="Arial"/>
          <w:sz w:val="22"/>
          <w:szCs w:val="22"/>
        </w:rPr>
      </w:pPr>
      <w:r>
        <w:rPr>
          <w:rFonts w:ascii="Arial" w:hAnsi="Arial" w:cs="Arial"/>
          <w:sz w:val="22"/>
          <w:szCs w:val="22"/>
        </w:rPr>
        <w:t xml:space="preserve"> </w:t>
      </w:r>
      <w:r w:rsidR="00A85A01" w:rsidRPr="0068657A">
        <w:rPr>
          <w:rFonts w:ascii="Arial" w:hAnsi="Arial" w:cs="Arial"/>
          <w:sz w:val="22"/>
          <w:szCs w:val="22"/>
        </w:rPr>
        <w:t xml:space="preserve">In conclusion, I have aimed to use Tripp’s critical incident methodology (2011) to reflect on a classroom incident from the perspective of a non-participant observer. In evaluation of this method, Tripp’s methodology is a valuable outline for teachers to ensure the effectiveness of reflective practice and implementation of responses in the classroom. However, it must be noted that it is difficult for a non-participant observer who has only witnessed a single lesson in isolation to suggest an effective response. Nonetheless, the application of this method by a classroom teacher, who can consider patterns in events, pupil backgrounds and further contextual information, is likely to be highly successful. The </w:t>
      </w:r>
      <w:r w:rsidR="0088445B" w:rsidRPr="0068657A">
        <w:rPr>
          <w:rFonts w:ascii="Arial" w:hAnsi="Arial" w:cs="Arial"/>
          <w:sz w:val="22"/>
          <w:szCs w:val="22"/>
        </w:rPr>
        <w:t xml:space="preserve">Welsh Government </w:t>
      </w:r>
      <w:r w:rsidR="00A85A01" w:rsidRPr="0068657A">
        <w:rPr>
          <w:rFonts w:ascii="Arial" w:hAnsi="Arial" w:cs="Arial"/>
          <w:sz w:val="22"/>
          <w:szCs w:val="22"/>
        </w:rPr>
        <w:t>Professional Standards for Teaching and Leadership highlight the importance of pedagogy as ‘progressively refining teaching, influencing learners and advancing learning’ (2020, p.22). The standards additionally state the importance of innovation, ‘developing new techniques’ and ‘evaluating changes in practice’ (Welsh Government, 2020, p.52). Tripp’s methodology enables teachers to critically reflect on teaching and learning, which in turn facilitates the refinement of pedagogy and classroom innovation. These aspects are imperative, not only to meet the new standards for teachers in Wales, but to enable successful teaching and learning in the classroom.</w:t>
      </w:r>
    </w:p>
    <w:p w14:paraId="7275294E" w14:textId="77777777" w:rsidR="00A85A01" w:rsidRPr="0068657A" w:rsidRDefault="00A85A01" w:rsidP="0068657A">
      <w:pPr>
        <w:autoSpaceDE w:val="0"/>
        <w:autoSpaceDN w:val="0"/>
        <w:adjustRightInd w:val="0"/>
        <w:spacing w:line="360" w:lineRule="auto"/>
        <w:jc w:val="both"/>
        <w:rPr>
          <w:rFonts w:ascii="Arial" w:hAnsi="Arial" w:cs="Arial"/>
          <w:sz w:val="22"/>
          <w:szCs w:val="22"/>
        </w:rPr>
      </w:pPr>
      <w:r w:rsidRPr="0068657A">
        <w:rPr>
          <w:rFonts w:ascii="Arial" w:hAnsi="Arial" w:cs="Arial"/>
          <w:sz w:val="22"/>
          <w:szCs w:val="22"/>
        </w:rPr>
        <w:t> </w:t>
      </w:r>
    </w:p>
    <w:p w14:paraId="13BE904C" w14:textId="77777777" w:rsidR="00A85A01" w:rsidRPr="0068657A" w:rsidRDefault="00A85A01" w:rsidP="0068657A">
      <w:pPr>
        <w:autoSpaceDE w:val="0"/>
        <w:autoSpaceDN w:val="0"/>
        <w:adjustRightInd w:val="0"/>
        <w:spacing w:line="360" w:lineRule="auto"/>
        <w:jc w:val="both"/>
        <w:rPr>
          <w:rFonts w:ascii="Arial" w:hAnsi="Arial" w:cs="Arial"/>
          <w:sz w:val="22"/>
          <w:szCs w:val="22"/>
        </w:rPr>
      </w:pPr>
      <w:r w:rsidRPr="0068657A">
        <w:rPr>
          <w:rFonts w:ascii="Arial" w:hAnsi="Arial" w:cs="Arial"/>
          <w:sz w:val="22"/>
          <w:szCs w:val="22"/>
        </w:rPr>
        <w:t> </w:t>
      </w:r>
    </w:p>
    <w:p w14:paraId="10B269F0" w14:textId="47843C11" w:rsidR="00FD6773" w:rsidRDefault="00A85A01" w:rsidP="0068657A">
      <w:pPr>
        <w:autoSpaceDE w:val="0"/>
        <w:autoSpaceDN w:val="0"/>
        <w:adjustRightInd w:val="0"/>
        <w:spacing w:line="360" w:lineRule="auto"/>
        <w:jc w:val="both"/>
        <w:rPr>
          <w:rFonts w:ascii="Arial" w:hAnsi="Arial" w:cs="Arial"/>
          <w:sz w:val="22"/>
          <w:szCs w:val="22"/>
        </w:rPr>
      </w:pPr>
      <w:r w:rsidRPr="0068657A">
        <w:rPr>
          <w:rFonts w:ascii="Arial" w:hAnsi="Arial" w:cs="Arial"/>
          <w:sz w:val="22"/>
          <w:szCs w:val="22"/>
        </w:rPr>
        <w:t> </w:t>
      </w:r>
    </w:p>
    <w:p w14:paraId="15A5CF78" w14:textId="77777777" w:rsidR="00207761" w:rsidRDefault="00207761">
      <w:pPr>
        <w:rPr>
          <w:rFonts w:ascii="Arial" w:hAnsi="Arial" w:cs="Arial"/>
          <w:sz w:val="22"/>
          <w:szCs w:val="22"/>
        </w:rPr>
      </w:pPr>
      <w:r>
        <w:rPr>
          <w:rFonts w:ascii="Arial" w:hAnsi="Arial" w:cs="Arial"/>
          <w:sz w:val="22"/>
          <w:szCs w:val="22"/>
        </w:rPr>
        <w:br w:type="page"/>
      </w:r>
    </w:p>
    <w:p w14:paraId="5DE072FE" w14:textId="2BD1408B" w:rsidR="00A85A01" w:rsidRPr="0068657A" w:rsidRDefault="00A85A01" w:rsidP="00207761">
      <w:pPr>
        <w:rPr>
          <w:rFonts w:ascii="Arial" w:hAnsi="Arial" w:cs="Arial"/>
          <w:sz w:val="22"/>
          <w:szCs w:val="22"/>
        </w:rPr>
      </w:pPr>
      <w:r w:rsidRPr="0068657A">
        <w:rPr>
          <w:rFonts w:ascii="Arial" w:hAnsi="Arial" w:cs="Arial"/>
          <w:sz w:val="22"/>
          <w:szCs w:val="22"/>
        </w:rPr>
        <w:lastRenderedPageBreak/>
        <w:t> </w:t>
      </w:r>
    </w:p>
    <w:p w14:paraId="031449AF" w14:textId="77777777" w:rsidR="00A85A01" w:rsidRPr="00FD6773" w:rsidRDefault="00A85A01" w:rsidP="0068657A">
      <w:pPr>
        <w:autoSpaceDE w:val="0"/>
        <w:autoSpaceDN w:val="0"/>
        <w:adjustRightInd w:val="0"/>
        <w:spacing w:after="40" w:line="360" w:lineRule="auto"/>
        <w:rPr>
          <w:rFonts w:ascii="Arial" w:hAnsi="Arial" w:cs="Arial"/>
          <w:sz w:val="28"/>
          <w:szCs w:val="28"/>
        </w:rPr>
      </w:pPr>
      <w:r w:rsidRPr="00FD6773">
        <w:rPr>
          <w:rFonts w:ascii="Arial" w:hAnsi="Arial" w:cs="Arial"/>
          <w:sz w:val="28"/>
          <w:szCs w:val="28"/>
        </w:rPr>
        <w:t>Bibliography</w:t>
      </w:r>
    </w:p>
    <w:p w14:paraId="58483E1D" w14:textId="77777777" w:rsidR="00FF4874" w:rsidRPr="00207761" w:rsidRDefault="00A85A01" w:rsidP="00FF4874">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t xml:space="preserve">Brookfield, S. D. (2017). </w:t>
      </w:r>
      <w:r w:rsidRPr="00207761">
        <w:rPr>
          <w:rFonts w:ascii="Arial" w:hAnsi="Arial" w:cs="Arial"/>
          <w:i/>
          <w:iCs/>
          <w:color w:val="000000" w:themeColor="text1"/>
          <w:sz w:val="22"/>
          <w:szCs w:val="22"/>
        </w:rPr>
        <w:t xml:space="preserve">Becoming a Critically Reflective Teacher. </w:t>
      </w:r>
      <w:r w:rsidRPr="00207761">
        <w:rPr>
          <w:rFonts w:ascii="Arial" w:hAnsi="Arial" w:cs="Arial"/>
          <w:color w:val="000000" w:themeColor="text1"/>
          <w:sz w:val="22"/>
          <w:szCs w:val="22"/>
        </w:rPr>
        <w:t>2nd ed. New York:</w:t>
      </w:r>
      <w:r w:rsidR="00FF4874" w:rsidRPr="00207761">
        <w:rPr>
          <w:rFonts w:ascii="Arial" w:hAnsi="Arial" w:cs="Arial"/>
          <w:color w:val="000000" w:themeColor="text1"/>
          <w:sz w:val="22"/>
          <w:szCs w:val="22"/>
        </w:rPr>
        <w:t xml:space="preserve"> </w:t>
      </w:r>
      <w:r w:rsidR="00FF4874" w:rsidRPr="00207761">
        <w:rPr>
          <w:rFonts w:ascii="Arial" w:hAnsi="Arial" w:cs="Arial"/>
          <w:color w:val="000000" w:themeColor="text1"/>
          <w:sz w:val="22"/>
          <w:szCs w:val="22"/>
        </w:rPr>
        <w:tab/>
      </w:r>
      <w:proofErr w:type="gramStart"/>
      <w:r w:rsidRPr="00207761">
        <w:rPr>
          <w:rFonts w:ascii="Arial" w:hAnsi="Arial" w:cs="Arial"/>
          <w:color w:val="000000" w:themeColor="text1"/>
          <w:sz w:val="22"/>
          <w:szCs w:val="22"/>
        </w:rPr>
        <w:t>John  Wiley</w:t>
      </w:r>
      <w:proofErr w:type="gramEnd"/>
      <w:r w:rsidRPr="00207761">
        <w:rPr>
          <w:rFonts w:ascii="Arial" w:hAnsi="Arial" w:cs="Arial"/>
          <w:color w:val="000000" w:themeColor="text1"/>
          <w:sz w:val="22"/>
          <w:szCs w:val="22"/>
        </w:rPr>
        <w:t xml:space="preserve"> &amp; Sons. Available at: </w:t>
      </w:r>
    </w:p>
    <w:p w14:paraId="1C837F45" w14:textId="6683B394" w:rsidR="00A85A01" w:rsidRPr="00207761" w:rsidRDefault="00A85A01" w:rsidP="00FF4874">
      <w:pPr>
        <w:autoSpaceDE w:val="0"/>
        <w:autoSpaceDN w:val="0"/>
        <w:adjustRightInd w:val="0"/>
        <w:spacing w:line="360" w:lineRule="auto"/>
        <w:ind w:left="720"/>
        <w:rPr>
          <w:rFonts w:ascii="Arial" w:hAnsi="Arial" w:cs="Arial"/>
          <w:color w:val="000000" w:themeColor="text1"/>
          <w:sz w:val="22"/>
          <w:szCs w:val="22"/>
        </w:rPr>
      </w:pPr>
      <w:r w:rsidRPr="00207761">
        <w:rPr>
          <w:rFonts w:ascii="Arial" w:hAnsi="Arial" w:cs="Arial"/>
          <w:color w:val="000000" w:themeColor="text1"/>
          <w:sz w:val="22"/>
          <w:szCs w:val="22"/>
        </w:rPr>
        <w:t xml:space="preserve">https://ebookcentral.proquest.com/lib/trinity/detail.action?docID=4790372. [Accessed </w:t>
      </w:r>
      <w:proofErr w:type="gramStart"/>
      <w:r w:rsidRPr="00207761">
        <w:rPr>
          <w:rFonts w:ascii="Arial" w:hAnsi="Arial" w:cs="Arial"/>
          <w:color w:val="000000" w:themeColor="text1"/>
          <w:sz w:val="22"/>
          <w:szCs w:val="22"/>
        </w:rPr>
        <w:t xml:space="preserve">3 </w:t>
      </w:r>
      <w:r w:rsidR="00FF4874" w:rsidRPr="00207761">
        <w:rPr>
          <w:rFonts w:ascii="Arial" w:hAnsi="Arial" w:cs="Arial"/>
          <w:color w:val="000000" w:themeColor="text1"/>
          <w:sz w:val="22"/>
          <w:szCs w:val="22"/>
        </w:rPr>
        <w:t xml:space="preserve"> </w:t>
      </w:r>
      <w:r w:rsidRPr="00207761">
        <w:rPr>
          <w:rFonts w:ascii="Arial" w:hAnsi="Arial" w:cs="Arial"/>
          <w:color w:val="000000" w:themeColor="text1"/>
          <w:sz w:val="22"/>
          <w:szCs w:val="22"/>
        </w:rPr>
        <w:t>November</w:t>
      </w:r>
      <w:proofErr w:type="gramEnd"/>
      <w:r w:rsidRPr="00207761">
        <w:rPr>
          <w:rFonts w:ascii="Arial" w:hAnsi="Arial" w:cs="Arial"/>
          <w:color w:val="000000" w:themeColor="text1"/>
          <w:sz w:val="22"/>
          <w:szCs w:val="22"/>
        </w:rPr>
        <w:t xml:space="preserve"> 2022]</w:t>
      </w:r>
    </w:p>
    <w:p w14:paraId="7BB62E4A" w14:textId="62D6C87F" w:rsidR="00A85A01" w:rsidRPr="00207761" w:rsidRDefault="00A85A01" w:rsidP="0068657A">
      <w:pPr>
        <w:autoSpaceDE w:val="0"/>
        <w:autoSpaceDN w:val="0"/>
        <w:adjustRightInd w:val="0"/>
        <w:spacing w:line="360" w:lineRule="auto"/>
        <w:rPr>
          <w:rFonts w:ascii="Arial" w:hAnsi="Arial" w:cs="Arial"/>
          <w:color w:val="000000" w:themeColor="text1"/>
          <w:sz w:val="22"/>
          <w:szCs w:val="22"/>
        </w:rPr>
      </w:pPr>
      <w:proofErr w:type="spellStart"/>
      <w:r w:rsidRPr="00207761">
        <w:rPr>
          <w:rFonts w:ascii="Arial" w:hAnsi="Arial" w:cs="Arial"/>
          <w:color w:val="000000" w:themeColor="text1"/>
          <w:sz w:val="22"/>
          <w:szCs w:val="22"/>
        </w:rPr>
        <w:t>Confrey</w:t>
      </w:r>
      <w:proofErr w:type="spellEnd"/>
      <w:r w:rsidRPr="00207761">
        <w:rPr>
          <w:rFonts w:ascii="Arial" w:hAnsi="Arial" w:cs="Arial"/>
          <w:color w:val="000000" w:themeColor="text1"/>
          <w:sz w:val="22"/>
          <w:szCs w:val="22"/>
        </w:rPr>
        <w:t xml:space="preserve">, J. (1990). What constructivism implies for teaching. </w:t>
      </w:r>
      <w:r w:rsidRPr="00207761">
        <w:rPr>
          <w:rFonts w:ascii="Arial" w:hAnsi="Arial" w:cs="Arial"/>
          <w:i/>
          <w:iCs/>
          <w:color w:val="000000" w:themeColor="text1"/>
          <w:sz w:val="22"/>
          <w:szCs w:val="22"/>
        </w:rPr>
        <w:t>Constructivist Views on the</w:t>
      </w:r>
      <w:r w:rsidR="00FF4874" w:rsidRPr="00207761">
        <w:rPr>
          <w:rFonts w:ascii="Arial" w:hAnsi="Arial" w:cs="Arial"/>
          <w:i/>
          <w:iCs/>
          <w:color w:val="000000" w:themeColor="text1"/>
          <w:sz w:val="22"/>
          <w:szCs w:val="22"/>
        </w:rPr>
        <w:t xml:space="preserve"> </w:t>
      </w:r>
    </w:p>
    <w:p w14:paraId="171ABDE1" w14:textId="2031B2C6" w:rsidR="00A85A01" w:rsidRPr="00207761" w:rsidRDefault="00A85A01" w:rsidP="00FF4874">
      <w:pPr>
        <w:autoSpaceDE w:val="0"/>
        <w:autoSpaceDN w:val="0"/>
        <w:adjustRightInd w:val="0"/>
        <w:spacing w:line="360" w:lineRule="auto"/>
        <w:ind w:left="720"/>
        <w:rPr>
          <w:rFonts w:ascii="Arial" w:hAnsi="Arial" w:cs="Arial"/>
          <w:color w:val="000000" w:themeColor="text1"/>
          <w:sz w:val="22"/>
          <w:szCs w:val="22"/>
        </w:rPr>
      </w:pPr>
      <w:r w:rsidRPr="00207761">
        <w:rPr>
          <w:rFonts w:ascii="Arial" w:hAnsi="Arial" w:cs="Arial"/>
          <w:i/>
          <w:iCs/>
          <w:color w:val="000000" w:themeColor="text1"/>
          <w:sz w:val="22"/>
          <w:szCs w:val="22"/>
        </w:rPr>
        <w:t xml:space="preserve">Teaching and Learning of Mathematics (1990), </w:t>
      </w:r>
      <w:r w:rsidRPr="00207761">
        <w:rPr>
          <w:rFonts w:ascii="Arial" w:hAnsi="Arial" w:cs="Arial"/>
          <w:color w:val="000000" w:themeColor="text1"/>
          <w:sz w:val="22"/>
          <w:szCs w:val="22"/>
        </w:rPr>
        <w:t xml:space="preserve">4, pp. 107-122. Available at: </w:t>
      </w:r>
      <w:r w:rsidR="00FF4874" w:rsidRPr="00207761">
        <w:rPr>
          <w:rFonts w:ascii="Arial" w:hAnsi="Arial" w:cs="Arial"/>
          <w:color w:val="000000" w:themeColor="text1"/>
          <w:sz w:val="22"/>
          <w:szCs w:val="22"/>
        </w:rPr>
        <w:t xml:space="preserve"> https://www.jstor.org/stable/749916</w:t>
      </w:r>
      <w:r w:rsidRPr="00207761">
        <w:rPr>
          <w:rFonts w:ascii="Arial" w:hAnsi="Arial" w:cs="Arial"/>
          <w:color w:val="000000" w:themeColor="text1"/>
          <w:sz w:val="22"/>
          <w:szCs w:val="22"/>
        </w:rPr>
        <w:t>. [Accessed 3 November 2022].</w:t>
      </w:r>
    </w:p>
    <w:p w14:paraId="77F310EA" w14:textId="1CE0E321" w:rsidR="00A85A01" w:rsidRPr="00207761" w:rsidRDefault="00A85A01" w:rsidP="0068657A">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t xml:space="preserve">Dewey, J. (1960). </w:t>
      </w:r>
      <w:r w:rsidRPr="00207761">
        <w:rPr>
          <w:rFonts w:ascii="Arial" w:hAnsi="Arial" w:cs="Arial"/>
          <w:i/>
          <w:iCs/>
          <w:color w:val="000000" w:themeColor="text1"/>
          <w:sz w:val="22"/>
          <w:szCs w:val="22"/>
        </w:rPr>
        <w:t>The quest for certainty: A study of the relation of knowledge and action:</w:t>
      </w:r>
      <w:r w:rsidR="00FF4874" w:rsidRPr="00207761">
        <w:rPr>
          <w:rFonts w:ascii="Arial" w:hAnsi="Arial" w:cs="Arial"/>
          <w:i/>
          <w:iCs/>
          <w:color w:val="000000" w:themeColor="text1"/>
          <w:sz w:val="22"/>
          <w:szCs w:val="22"/>
        </w:rPr>
        <w:t xml:space="preserve"> </w:t>
      </w:r>
      <w:r w:rsidR="00FF4874" w:rsidRPr="00207761">
        <w:rPr>
          <w:rFonts w:ascii="Arial" w:hAnsi="Arial" w:cs="Arial"/>
          <w:i/>
          <w:iCs/>
          <w:color w:val="000000" w:themeColor="text1"/>
          <w:sz w:val="22"/>
          <w:szCs w:val="22"/>
        </w:rPr>
        <w:tab/>
      </w:r>
    </w:p>
    <w:p w14:paraId="42DCD958" w14:textId="77777777" w:rsidR="00A85A01" w:rsidRPr="00207761" w:rsidRDefault="00A85A01" w:rsidP="002F3804">
      <w:pPr>
        <w:autoSpaceDE w:val="0"/>
        <w:autoSpaceDN w:val="0"/>
        <w:adjustRightInd w:val="0"/>
        <w:spacing w:line="360" w:lineRule="auto"/>
        <w:ind w:firstLine="720"/>
        <w:rPr>
          <w:rFonts w:ascii="Arial" w:hAnsi="Arial" w:cs="Arial"/>
          <w:color w:val="000000" w:themeColor="text1"/>
          <w:sz w:val="22"/>
          <w:szCs w:val="22"/>
        </w:rPr>
      </w:pPr>
      <w:r w:rsidRPr="00207761">
        <w:rPr>
          <w:rFonts w:ascii="Arial" w:hAnsi="Arial" w:cs="Arial"/>
          <w:i/>
          <w:iCs/>
          <w:color w:val="000000" w:themeColor="text1"/>
          <w:sz w:val="22"/>
          <w:szCs w:val="22"/>
        </w:rPr>
        <w:t xml:space="preserve"> Gifford Lectures 1929. </w:t>
      </w:r>
      <w:r w:rsidRPr="00207761">
        <w:rPr>
          <w:rFonts w:ascii="Arial" w:hAnsi="Arial" w:cs="Arial"/>
          <w:color w:val="000000" w:themeColor="text1"/>
          <w:sz w:val="22"/>
          <w:szCs w:val="22"/>
        </w:rPr>
        <w:t>New York: Putnam.</w:t>
      </w:r>
    </w:p>
    <w:p w14:paraId="2D8AD405" w14:textId="6E1C905B" w:rsidR="00A85A01" w:rsidRPr="00207761" w:rsidRDefault="00A85A01" w:rsidP="002F3804">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t xml:space="preserve">Donaldson, P. G. (2015). </w:t>
      </w:r>
      <w:r w:rsidRPr="00207761">
        <w:rPr>
          <w:rFonts w:ascii="Arial" w:hAnsi="Arial" w:cs="Arial"/>
          <w:i/>
          <w:iCs/>
          <w:color w:val="000000" w:themeColor="text1"/>
          <w:sz w:val="22"/>
          <w:szCs w:val="22"/>
        </w:rPr>
        <w:t xml:space="preserve">Successful Futures, </w:t>
      </w:r>
      <w:r w:rsidRPr="00207761">
        <w:rPr>
          <w:rFonts w:ascii="Arial" w:hAnsi="Arial" w:cs="Arial"/>
          <w:color w:val="000000" w:themeColor="text1"/>
          <w:sz w:val="22"/>
          <w:szCs w:val="22"/>
        </w:rPr>
        <w:t>Cardiff: Welsh Government. Available</w:t>
      </w:r>
      <w:r w:rsidR="002F3804" w:rsidRPr="00207761">
        <w:rPr>
          <w:rFonts w:ascii="Arial" w:hAnsi="Arial" w:cs="Arial"/>
          <w:color w:val="000000" w:themeColor="text1"/>
          <w:sz w:val="22"/>
          <w:szCs w:val="22"/>
        </w:rPr>
        <w:tab/>
      </w:r>
      <w:r w:rsidRPr="00207761">
        <w:rPr>
          <w:rFonts w:ascii="Arial" w:hAnsi="Arial" w:cs="Arial"/>
          <w:color w:val="000000" w:themeColor="text1"/>
          <w:sz w:val="22"/>
          <w:szCs w:val="22"/>
        </w:rPr>
        <w:t>at:   https://gov.wales/sites/default/files/publications/2018-03/successful-futures.pdf</w:t>
      </w:r>
      <w:r w:rsidR="002F3804" w:rsidRPr="00207761">
        <w:rPr>
          <w:rFonts w:ascii="Arial" w:hAnsi="Arial" w:cs="Arial"/>
          <w:color w:val="000000" w:themeColor="text1"/>
          <w:sz w:val="22"/>
          <w:szCs w:val="22"/>
        </w:rPr>
        <w:t>.</w:t>
      </w:r>
      <w:r w:rsidRPr="00207761">
        <w:rPr>
          <w:rFonts w:ascii="Arial" w:hAnsi="Arial" w:cs="Arial"/>
          <w:color w:val="000000" w:themeColor="text1"/>
          <w:sz w:val="22"/>
          <w:szCs w:val="22"/>
        </w:rPr>
        <w:t xml:space="preserve"> </w:t>
      </w:r>
      <w:r w:rsidR="002F3804" w:rsidRPr="00207761">
        <w:rPr>
          <w:rFonts w:ascii="Arial" w:hAnsi="Arial" w:cs="Arial"/>
          <w:color w:val="000000" w:themeColor="text1"/>
          <w:sz w:val="22"/>
          <w:szCs w:val="22"/>
        </w:rPr>
        <w:tab/>
      </w:r>
      <w:r w:rsidRPr="00207761">
        <w:rPr>
          <w:rFonts w:ascii="Arial" w:hAnsi="Arial" w:cs="Arial"/>
          <w:color w:val="000000" w:themeColor="text1"/>
          <w:sz w:val="22"/>
          <w:szCs w:val="22"/>
        </w:rPr>
        <w:t>[Accessed 3 November 2022].</w:t>
      </w:r>
    </w:p>
    <w:p w14:paraId="41F48F7F" w14:textId="179BE951" w:rsidR="00A85A01" w:rsidRPr="00207761" w:rsidRDefault="00A85A01" w:rsidP="0068657A">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t xml:space="preserve">Petty, G. (2016). </w:t>
      </w:r>
      <w:r w:rsidRPr="00207761">
        <w:rPr>
          <w:rFonts w:ascii="Arial" w:hAnsi="Arial" w:cs="Arial"/>
          <w:i/>
          <w:iCs/>
          <w:color w:val="000000" w:themeColor="text1"/>
          <w:sz w:val="22"/>
          <w:szCs w:val="22"/>
        </w:rPr>
        <w:t xml:space="preserve">Teaching Today: A Practical Guide. </w:t>
      </w:r>
      <w:r w:rsidRPr="00207761">
        <w:rPr>
          <w:rFonts w:ascii="Arial" w:hAnsi="Arial" w:cs="Arial"/>
          <w:color w:val="000000" w:themeColor="text1"/>
          <w:sz w:val="22"/>
          <w:szCs w:val="22"/>
        </w:rPr>
        <w:t>5th ed. Oxford: Oxford University</w:t>
      </w:r>
      <w:r w:rsidR="005B2A15" w:rsidRPr="00207761">
        <w:rPr>
          <w:rFonts w:ascii="Arial" w:hAnsi="Arial" w:cs="Arial"/>
          <w:color w:val="000000" w:themeColor="text1"/>
          <w:sz w:val="22"/>
          <w:szCs w:val="22"/>
        </w:rPr>
        <w:t xml:space="preserve"> </w:t>
      </w:r>
      <w:r w:rsidRPr="00207761">
        <w:rPr>
          <w:rFonts w:ascii="Arial" w:hAnsi="Arial" w:cs="Arial"/>
          <w:color w:val="000000" w:themeColor="text1"/>
          <w:sz w:val="22"/>
          <w:szCs w:val="22"/>
        </w:rPr>
        <w:t xml:space="preserve">Press. </w:t>
      </w:r>
      <w:r w:rsidR="005B2A15" w:rsidRPr="00207761">
        <w:rPr>
          <w:rFonts w:ascii="Arial" w:hAnsi="Arial" w:cs="Arial"/>
          <w:color w:val="000000" w:themeColor="text1"/>
          <w:sz w:val="22"/>
          <w:szCs w:val="22"/>
        </w:rPr>
        <w:tab/>
      </w:r>
      <w:r w:rsidRPr="00207761">
        <w:rPr>
          <w:rFonts w:ascii="Arial" w:hAnsi="Arial" w:cs="Arial"/>
          <w:color w:val="000000" w:themeColor="text1"/>
          <w:sz w:val="22"/>
          <w:szCs w:val="22"/>
        </w:rPr>
        <w:t>Available</w:t>
      </w:r>
      <w:r w:rsidR="005B2A15" w:rsidRPr="00207761">
        <w:rPr>
          <w:rFonts w:ascii="Arial" w:hAnsi="Arial" w:cs="Arial"/>
          <w:color w:val="000000" w:themeColor="text1"/>
          <w:sz w:val="22"/>
          <w:szCs w:val="22"/>
        </w:rPr>
        <w:t xml:space="preserve"> </w:t>
      </w:r>
      <w:r w:rsidRPr="00207761">
        <w:rPr>
          <w:rFonts w:ascii="Arial" w:hAnsi="Arial" w:cs="Arial"/>
          <w:color w:val="000000" w:themeColor="text1"/>
          <w:sz w:val="22"/>
          <w:szCs w:val="22"/>
        </w:rPr>
        <w:t>at:</w:t>
      </w:r>
      <w:r w:rsidR="005B2A15" w:rsidRPr="00207761">
        <w:rPr>
          <w:rFonts w:ascii="Arial" w:hAnsi="Arial" w:cs="Arial"/>
          <w:color w:val="000000" w:themeColor="text1"/>
          <w:sz w:val="22"/>
          <w:szCs w:val="22"/>
        </w:rPr>
        <w:t xml:space="preserve"> </w:t>
      </w:r>
      <w:r w:rsidR="005B2A15" w:rsidRPr="00207761">
        <w:rPr>
          <w:rFonts w:ascii="Arial" w:hAnsi="Arial" w:cs="Arial"/>
          <w:color w:val="000000" w:themeColor="text1"/>
          <w:sz w:val="22"/>
          <w:szCs w:val="22"/>
        </w:rPr>
        <w:tab/>
      </w:r>
      <w:r w:rsidRPr="00207761">
        <w:rPr>
          <w:rFonts w:ascii="Arial" w:hAnsi="Arial" w:cs="Arial"/>
          <w:color w:val="000000" w:themeColor="text1"/>
          <w:sz w:val="22"/>
          <w:szCs w:val="22"/>
        </w:rPr>
        <w:t xml:space="preserve">https://books.google.co.uk/books?id=mYIiEAAAQBAJ&amp;printsec=frontcover&amp;source=            </w:t>
      </w:r>
      <w:r w:rsidR="005B2A15" w:rsidRPr="00207761">
        <w:rPr>
          <w:rFonts w:ascii="Arial" w:hAnsi="Arial" w:cs="Arial"/>
          <w:color w:val="000000" w:themeColor="text1"/>
          <w:sz w:val="22"/>
          <w:szCs w:val="22"/>
        </w:rPr>
        <w:tab/>
      </w:r>
      <w:proofErr w:type="spellStart"/>
      <w:r w:rsidRPr="00207761">
        <w:rPr>
          <w:rFonts w:ascii="Arial" w:hAnsi="Arial" w:cs="Arial"/>
          <w:color w:val="000000" w:themeColor="text1"/>
          <w:sz w:val="22"/>
          <w:szCs w:val="22"/>
        </w:rPr>
        <w:t>gbs_ge_summary_r&amp;cad</w:t>
      </w:r>
      <w:proofErr w:type="spellEnd"/>
      <w:r w:rsidRPr="00207761">
        <w:rPr>
          <w:rFonts w:ascii="Arial" w:hAnsi="Arial" w:cs="Arial"/>
          <w:color w:val="000000" w:themeColor="text1"/>
          <w:sz w:val="22"/>
          <w:szCs w:val="22"/>
        </w:rPr>
        <w:t>=0#v=</w:t>
      </w:r>
      <w:proofErr w:type="spellStart"/>
      <w:r w:rsidRPr="00207761">
        <w:rPr>
          <w:rFonts w:ascii="Arial" w:hAnsi="Arial" w:cs="Arial"/>
          <w:color w:val="000000" w:themeColor="text1"/>
          <w:sz w:val="22"/>
          <w:szCs w:val="22"/>
        </w:rPr>
        <w:t>onepage&amp;q&amp;f</w:t>
      </w:r>
      <w:proofErr w:type="spellEnd"/>
      <w:r w:rsidRPr="00207761">
        <w:rPr>
          <w:rFonts w:ascii="Arial" w:hAnsi="Arial" w:cs="Arial"/>
          <w:color w:val="000000" w:themeColor="text1"/>
          <w:sz w:val="22"/>
          <w:szCs w:val="22"/>
        </w:rPr>
        <w:t>=false. [Accessed 3 November 2022].</w:t>
      </w:r>
    </w:p>
    <w:p w14:paraId="35A53072" w14:textId="051FF2F8" w:rsidR="00A85A01" w:rsidRPr="00207761" w:rsidRDefault="00A85A01" w:rsidP="005B2A15">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t xml:space="preserve">Petty, G. (2022). </w:t>
      </w:r>
      <w:r w:rsidRPr="00207761">
        <w:rPr>
          <w:rFonts w:ascii="Arial" w:hAnsi="Arial" w:cs="Arial"/>
          <w:i/>
          <w:iCs/>
          <w:color w:val="000000" w:themeColor="text1"/>
          <w:sz w:val="22"/>
          <w:szCs w:val="22"/>
        </w:rPr>
        <w:t>Constructivist Teaching.</w:t>
      </w:r>
      <w:r w:rsidR="005B2A15" w:rsidRPr="00207761">
        <w:rPr>
          <w:rFonts w:ascii="Arial" w:hAnsi="Arial" w:cs="Arial"/>
          <w:color w:val="000000" w:themeColor="text1"/>
          <w:sz w:val="22"/>
          <w:szCs w:val="22"/>
        </w:rPr>
        <w:t xml:space="preserve"> </w:t>
      </w:r>
      <w:r w:rsidRPr="00207761">
        <w:rPr>
          <w:rFonts w:ascii="Arial" w:hAnsi="Arial" w:cs="Arial"/>
          <w:color w:val="000000" w:themeColor="text1"/>
          <w:sz w:val="22"/>
          <w:szCs w:val="22"/>
        </w:rPr>
        <w:t>Available at:</w:t>
      </w:r>
      <w:r w:rsidR="005B2A15" w:rsidRPr="00207761">
        <w:rPr>
          <w:rFonts w:ascii="Arial" w:hAnsi="Arial" w:cs="Arial"/>
          <w:color w:val="000000" w:themeColor="text1"/>
          <w:sz w:val="22"/>
          <w:szCs w:val="22"/>
        </w:rPr>
        <w:tab/>
      </w:r>
      <w:r w:rsidRPr="00207761">
        <w:rPr>
          <w:rFonts w:ascii="Arial" w:hAnsi="Arial" w:cs="Arial"/>
          <w:color w:val="000000" w:themeColor="text1"/>
          <w:sz w:val="22"/>
          <w:szCs w:val="22"/>
        </w:rPr>
        <w:t>https://geoffpetty.com/downloads/WORD/constructivism3.doc [Accessed 1 November</w:t>
      </w:r>
      <w:r w:rsidR="005B2A15" w:rsidRPr="00207761">
        <w:rPr>
          <w:rFonts w:ascii="Arial" w:hAnsi="Arial" w:cs="Arial"/>
          <w:color w:val="000000" w:themeColor="text1"/>
          <w:sz w:val="22"/>
          <w:szCs w:val="22"/>
        </w:rPr>
        <w:tab/>
      </w:r>
      <w:r w:rsidRPr="00207761">
        <w:rPr>
          <w:rFonts w:ascii="Arial" w:hAnsi="Arial" w:cs="Arial"/>
          <w:color w:val="000000" w:themeColor="text1"/>
          <w:sz w:val="22"/>
          <w:szCs w:val="22"/>
        </w:rPr>
        <w:t>2022].</w:t>
      </w:r>
    </w:p>
    <w:p w14:paraId="48B89C1D" w14:textId="37BB4906" w:rsidR="00A85A01" w:rsidRPr="00207761" w:rsidRDefault="00A85A01" w:rsidP="0068657A">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t>Phillips, D. (1995). The Good, the Bad, and the Ugly: The Many Faces of Constructivism.</w:t>
      </w:r>
      <w:r w:rsidR="005B2A15" w:rsidRPr="00207761">
        <w:rPr>
          <w:rFonts w:ascii="Arial" w:hAnsi="Arial" w:cs="Arial"/>
          <w:color w:val="000000" w:themeColor="text1"/>
          <w:sz w:val="22"/>
          <w:szCs w:val="22"/>
        </w:rPr>
        <w:tab/>
      </w:r>
      <w:r w:rsidRPr="00207761">
        <w:rPr>
          <w:rFonts w:ascii="Arial" w:hAnsi="Arial" w:cs="Arial"/>
          <w:i/>
          <w:iCs/>
          <w:color w:val="000000" w:themeColor="text1"/>
          <w:sz w:val="22"/>
          <w:szCs w:val="22"/>
        </w:rPr>
        <w:t xml:space="preserve">Educational Researcher, </w:t>
      </w:r>
      <w:r w:rsidRPr="00207761">
        <w:rPr>
          <w:rFonts w:ascii="Arial" w:hAnsi="Arial" w:cs="Arial"/>
          <w:color w:val="000000" w:themeColor="text1"/>
          <w:sz w:val="22"/>
          <w:szCs w:val="22"/>
        </w:rPr>
        <w:t xml:space="preserve">24(7), pp. 5-12. Available at: </w:t>
      </w:r>
      <w:r w:rsidR="005B2A15" w:rsidRPr="00207761">
        <w:rPr>
          <w:rFonts w:ascii="Arial" w:hAnsi="Arial" w:cs="Arial"/>
          <w:color w:val="000000" w:themeColor="text1"/>
          <w:sz w:val="22"/>
          <w:szCs w:val="22"/>
        </w:rPr>
        <w:t>https://doi.org/10.2307/1177059</w:t>
      </w:r>
      <w:r w:rsidRPr="00207761">
        <w:rPr>
          <w:rFonts w:ascii="Arial" w:hAnsi="Arial" w:cs="Arial"/>
          <w:color w:val="000000" w:themeColor="text1"/>
          <w:sz w:val="22"/>
          <w:szCs w:val="22"/>
        </w:rPr>
        <w:t>.</w:t>
      </w:r>
      <w:r w:rsidR="005B2A15" w:rsidRPr="00207761">
        <w:rPr>
          <w:rFonts w:ascii="Arial" w:hAnsi="Arial" w:cs="Arial"/>
          <w:color w:val="000000" w:themeColor="text1"/>
          <w:sz w:val="22"/>
          <w:szCs w:val="22"/>
        </w:rPr>
        <w:tab/>
      </w:r>
      <w:r w:rsidRPr="00207761">
        <w:rPr>
          <w:rFonts w:ascii="Arial" w:hAnsi="Arial" w:cs="Arial"/>
          <w:color w:val="000000" w:themeColor="text1"/>
          <w:sz w:val="22"/>
          <w:szCs w:val="22"/>
        </w:rPr>
        <w:t>[Accessed 3 November 2022].</w:t>
      </w:r>
    </w:p>
    <w:p w14:paraId="6D49E437" w14:textId="77777777" w:rsidR="00A85A01" w:rsidRPr="00207761" w:rsidRDefault="00A85A01" w:rsidP="0068657A">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t xml:space="preserve">Piaget, J. (1968). </w:t>
      </w:r>
      <w:r w:rsidRPr="00207761">
        <w:rPr>
          <w:rFonts w:ascii="Arial" w:hAnsi="Arial" w:cs="Arial"/>
          <w:i/>
          <w:iCs/>
          <w:color w:val="000000" w:themeColor="text1"/>
          <w:sz w:val="22"/>
          <w:szCs w:val="22"/>
        </w:rPr>
        <w:t xml:space="preserve">Six Psychological Studies. </w:t>
      </w:r>
      <w:r w:rsidRPr="00207761">
        <w:rPr>
          <w:rFonts w:ascii="Arial" w:hAnsi="Arial" w:cs="Arial"/>
          <w:color w:val="000000" w:themeColor="text1"/>
          <w:sz w:val="22"/>
          <w:szCs w:val="22"/>
        </w:rPr>
        <w:t>New York: Vintage Books.</w:t>
      </w:r>
    </w:p>
    <w:p w14:paraId="46C51076" w14:textId="4EEBC415" w:rsidR="00A85A01" w:rsidRPr="00207761" w:rsidRDefault="00A85A01" w:rsidP="0068657A">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t>Piaget, J. (2006). The Stages of the Intellectual Development of a Child in B. Marlowe,</w:t>
      </w:r>
      <w:r w:rsidR="00A74B67" w:rsidRPr="00207761">
        <w:rPr>
          <w:rFonts w:ascii="Arial" w:hAnsi="Arial" w:cs="Arial"/>
          <w:color w:val="000000" w:themeColor="text1"/>
          <w:sz w:val="22"/>
          <w:szCs w:val="22"/>
        </w:rPr>
        <w:t xml:space="preserve"> </w:t>
      </w:r>
      <w:proofErr w:type="gramStart"/>
      <w:r w:rsidRPr="00207761">
        <w:rPr>
          <w:rFonts w:ascii="Arial" w:hAnsi="Arial" w:cs="Arial"/>
          <w:color w:val="000000" w:themeColor="text1"/>
          <w:sz w:val="22"/>
          <w:szCs w:val="22"/>
        </w:rPr>
        <w:t>&amp;</w:t>
      </w:r>
      <w:r w:rsidR="00A74B67" w:rsidRPr="00207761">
        <w:rPr>
          <w:rFonts w:ascii="Arial" w:hAnsi="Arial" w:cs="Arial"/>
          <w:color w:val="000000" w:themeColor="text1"/>
          <w:sz w:val="22"/>
          <w:szCs w:val="22"/>
        </w:rPr>
        <w:t xml:space="preserve"> </w:t>
      </w:r>
      <w:r w:rsidRPr="00207761">
        <w:rPr>
          <w:rFonts w:ascii="Arial" w:hAnsi="Arial" w:cs="Arial"/>
          <w:color w:val="000000" w:themeColor="text1"/>
          <w:sz w:val="22"/>
          <w:szCs w:val="22"/>
        </w:rPr>
        <w:t xml:space="preserve"> A.</w:t>
      </w:r>
      <w:proofErr w:type="gramEnd"/>
      <w:r w:rsidRPr="00207761">
        <w:rPr>
          <w:rFonts w:ascii="Arial" w:hAnsi="Arial" w:cs="Arial"/>
          <w:color w:val="000000" w:themeColor="text1"/>
          <w:sz w:val="22"/>
          <w:szCs w:val="22"/>
        </w:rPr>
        <w:t xml:space="preserve"> </w:t>
      </w:r>
      <w:r w:rsidR="00A74B67" w:rsidRPr="00207761">
        <w:rPr>
          <w:rFonts w:ascii="Arial" w:hAnsi="Arial" w:cs="Arial"/>
          <w:color w:val="000000" w:themeColor="text1"/>
          <w:sz w:val="22"/>
          <w:szCs w:val="22"/>
        </w:rPr>
        <w:tab/>
      </w:r>
      <w:proofErr w:type="spellStart"/>
      <w:r w:rsidRPr="00207761">
        <w:rPr>
          <w:rFonts w:ascii="Arial" w:hAnsi="Arial" w:cs="Arial"/>
          <w:color w:val="000000" w:themeColor="text1"/>
          <w:sz w:val="22"/>
          <w:szCs w:val="22"/>
        </w:rPr>
        <w:t>Canestrari</w:t>
      </w:r>
      <w:proofErr w:type="spellEnd"/>
      <w:r w:rsidRPr="00207761">
        <w:rPr>
          <w:rFonts w:ascii="Arial" w:hAnsi="Arial" w:cs="Arial"/>
          <w:color w:val="000000" w:themeColor="text1"/>
          <w:sz w:val="22"/>
          <w:szCs w:val="22"/>
        </w:rPr>
        <w:t xml:space="preserve"> (eds.), </w:t>
      </w:r>
      <w:r w:rsidRPr="00207761">
        <w:rPr>
          <w:rFonts w:ascii="Arial" w:hAnsi="Arial" w:cs="Arial"/>
          <w:i/>
          <w:iCs/>
          <w:color w:val="000000" w:themeColor="text1"/>
          <w:sz w:val="22"/>
          <w:szCs w:val="22"/>
        </w:rPr>
        <w:t>Educational Psychology in Context: Readings for Future</w:t>
      </w:r>
      <w:r w:rsidR="00A74B67" w:rsidRPr="00207761">
        <w:rPr>
          <w:rFonts w:ascii="Arial" w:hAnsi="Arial" w:cs="Arial"/>
          <w:i/>
          <w:iCs/>
          <w:color w:val="000000" w:themeColor="text1"/>
          <w:sz w:val="22"/>
          <w:szCs w:val="22"/>
        </w:rPr>
        <w:tab/>
      </w:r>
      <w:r w:rsidRPr="00207761">
        <w:rPr>
          <w:rFonts w:ascii="Arial" w:hAnsi="Arial" w:cs="Arial"/>
          <w:i/>
          <w:iCs/>
          <w:color w:val="000000" w:themeColor="text1"/>
          <w:sz w:val="22"/>
          <w:szCs w:val="22"/>
        </w:rPr>
        <w:t>Teachers.  </w:t>
      </w:r>
      <w:r w:rsidRPr="00207761">
        <w:rPr>
          <w:rFonts w:ascii="Arial" w:hAnsi="Arial" w:cs="Arial"/>
          <w:color w:val="000000" w:themeColor="text1"/>
          <w:sz w:val="22"/>
          <w:szCs w:val="22"/>
        </w:rPr>
        <w:t>London: SAGE, pp. 97-107.</w:t>
      </w:r>
    </w:p>
    <w:p w14:paraId="111549B9" w14:textId="0C733063" w:rsidR="00A85A01" w:rsidRPr="00207761" w:rsidRDefault="00A85A01" w:rsidP="0068657A">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t xml:space="preserve">Regents of the University of California (2016). </w:t>
      </w:r>
      <w:r w:rsidRPr="00207761">
        <w:rPr>
          <w:rFonts w:ascii="Arial" w:hAnsi="Arial" w:cs="Arial"/>
          <w:i/>
          <w:iCs/>
          <w:color w:val="000000" w:themeColor="text1"/>
          <w:sz w:val="22"/>
          <w:szCs w:val="22"/>
        </w:rPr>
        <w:t>Learning: Theory and Research.</w:t>
      </w:r>
      <w:r w:rsidR="00A74B67" w:rsidRPr="00207761">
        <w:rPr>
          <w:rFonts w:ascii="Arial" w:hAnsi="Arial" w:cs="Arial"/>
          <w:color w:val="000000" w:themeColor="text1"/>
          <w:sz w:val="22"/>
          <w:szCs w:val="22"/>
        </w:rPr>
        <w:t xml:space="preserve"> </w:t>
      </w:r>
      <w:r w:rsidRPr="00207761">
        <w:rPr>
          <w:rFonts w:ascii="Arial" w:hAnsi="Arial" w:cs="Arial"/>
          <w:color w:val="000000" w:themeColor="text1"/>
          <w:sz w:val="22"/>
          <w:szCs w:val="22"/>
        </w:rPr>
        <w:t>Available at:</w:t>
      </w:r>
      <w:r w:rsidR="00A74B67" w:rsidRPr="00207761">
        <w:rPr>
          <w:rFonts w:ascii="Arial" w:hAnsi="Arial" w:cs="Arial"/>
          <w:color w:val="000000" w:themeColor="text1"/>
          <w:sz w:val="22"/>
          <w:szCs w:val="22"/>
        </w:rPr>
        <w:tab/>
      </w:r>
      <w:r w:rsidRPr="00207761">
        <w:rPr>
          <w:rFonts w:ascii="Arial" w:hAnsi="Arial" w:cs="Arial"/>
          <w:color w:val="000000" w:themeColor="text1"/>
          <w:sz w:val="22"/>
          <w:szCs w:val="22"/>
        </w:rPr>
        <w:t>http://gsi.berkeley.edu/media/Learning.pdf</w:t>
      </w:r>
      <w:r w:rsidRPr="00207761">
        <w:rPr>
          <w:rFonts w:ascii="Arial" w:hAnsi="Arial" w:cs="Arial"/>
          <w:color w:val="000000" w:themeColor="text1"/>
          <w:sz w:val="22"/>
          <w:szCs w:val="22"/>
        </w:rPr>
        <w:t>. [Accessed 3 November</w:t>
      </w:r>
      <w:r w:rsidR="00A74B67" w:rsidRPr="00207761">
        <w:rPr>
          <w:rFonts w:ascii="Arial" w:hAnsi="Arial" w:cs="Arial"/>
          <w:color w:val="000000" w:themeColor="text1"/>
          <w:sz w:val="22"/>
          <w:szCs w:val="22"/>
        </w:rPr>
        <w:t xml:space="preserve"> </w:t>
      </w:r>
      <w:r w:rsidRPr="00207761">
        <w:rPr>
          <w:rFonts w:ascii="Arial" w:hAnsi="Arial" w:cs="Arial"/>
          <w:color w:val="000000" w:themeColor="text1"/>
          <w:sz w:val="22"/>
          <w:szCs w:val="22"/>
        </w:rPr>
        <w:t>2022]</w:t>
      </w:r>
    </w:p>
    <w:p w14:paraId="78BA034A" w14:textId="5B26B42F" w:rsidR="00A85A01" w:rsidRPr="00207761" w:rsidRDefault="00A85A01" w:rsidP="0068657A">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t xml:space="preserve">Skinner, B. (1969). Operant </w:t>
      </w:r>
      <w:proofErr w:type="spellStart"/>
      <w:r w:rsidRPr="00207761">
        <w:rPr>
          <w:rFonts w:ascii="Arial" w:hAnsi="Arial" w:cs="Arial"/>
          <w:color w:val="000000" w:themeColor="text1"/>
          <w:sz w:val="22"/>
          <w:szCs w:val="22"/>
        </w:rPr>
        <w:t>behavior</w:t>
      </w:r>
      <w:proofErr w:type="spellEnd"/>
      <w:r w:rsidRPr="00207761">
        <w:rPr>
          <w:rFonts w:ascii="Arial" w:hAnsi="Arial" w:cs="Arial"/>
          <w:color w:val="000000" w:themeColor="text1"/>
          <w:sz w:val="22"/>
          <w:szCs w:val="22"/>
        </w:rPr>
        <w:t xml:space="preserve">. </w:t>
      </w:r>
      <w:r w:rsidRPr="00207761">
        <w:rPr>
          <w:rFonts w:ascii="Arial" w:hAnsi="Arial" w:cs="Arial"/>
          <w:i/>
          <w:iCs/>
          <w:color w:val="000000" w:themeColor="text1"/>
          <w:sz w:val="22"/>
          <w:szCs w:val="22"/>
        </w:rPr>
        <w:t xml:space="preserve">American Psychologist, </w:t>
      </w:r>
      <w:r w:rsidRPr="00207761">
        <w:rPr>
          <w:rFonts w:ascii="Arial" w:hAnsi="Arial" w:cs="Arial"/>
          <w:color w:val="000000" w:themeColor="text1"/>
          <w:sz w:val="22"/>
          <w:szCs w:val="22"/>
        </w:rPr>
        <w:t>18(8), pp. 503-515.</w:t>
      </w:r>
      <w:r w:rsidR="00954E94" w:rsidRPr="00207761">
        <w:rPr>
          <w:rFonts w:ascii="Arial" w:hAnsi="Arial" w:cs="Arial"/>
          <w:color w:val="000000" w:themeColor="text1"/>
          <w:sz w:val="22"/>
          <w:szCs w:val="22"/>
        </w:rPr>
        <w:tab/>
      </w:r>
      <w:r w:rsidRPr="00207761">
        <w:rPr>
          <w:rFonts w:ascii="Arial" w:hAnsi="Arial" w:cs="Arial"/>
          <w:color w:val="000000" w:themeColor="text1"/>
          <w:sz w:val="22"/>
          <w:szCs w:val="22"/>
        </w:rPr>
        <w:t>Available</w:t>
      </w:r>
      <w:r w:rsidR="00954E94" w:rsidRPr="00207761">
        <w:rPr>
          <w:rFonts w:ascii="Arial" w:hAnsi="Arial" w:cs="Arial"/>
          <w:color w:val="000000" w:themeColor="text1"/>
          <w:sz w:val="22"/>
          <w:szCs w:val="22"/>
        </w:rPr>
        <w:t xml:space="preserve"> </w:t>
      </w:r>
      <w:r w:rsidRPr="00207761">
        <w:rPr>
          <w:rFonts w:ascii="Arial" w:hAnsi="Arial" w:cs="Arial"/>
          <w:color w:val="000000" w:themeColor="text1"/>
          <w:sz w:val="22"/>
          <w:szCs w:val="22"/>
        </w:rPr>
        <w:t xml:space="preserve">at: </w:t>
      </w:r>
      <w:hyperlink r:id="rId6" w:history="1">
        <w:r w:rsidRPr="00207761">
          <w:rPr>
            <w:rFonts w:ascii="Arial" w:hAnsi="Arial" w:cs="Arial"/>
            <w:color w:val="000000" w:themeColor="text1"/>
            <w:sz w:val="22"/>
            <w:szCs w:val="22"/>
          </w:rPr>
          <w:t>https://psycnet.apa.org/doiLanding?doi=10.1037%2Fh0045185</w:t>
        </w:r>
      </w:hyperlink>
      <w:r w:rsidRPr="00207761">
        <w:rPr>
          <w:rFonts w:ascii="Arial" w:hAnsi="Arial" w:cs="Arial"/>
          <w:color w:val="000000" w:themeColor="text1"/>
          <w:sz w:val="22"/>
          <w:szCs w:val="22"/>
        </w:rPr>
        <w:t xml:space="preserve">. [Accessed </w:t>
      </w:r>
      <w:r w:rsidR="00954E94" w:rsidRPr="00207761">
        <w:rPr>
          <w:rFonts w:ascii="Arial" w:hAnsi="Arial" w:cs="Arial"/>
          <w:color w:val="000000" w:themeColor="text1"/>
          <w:sz w:val="22"/>
          <w:szCs w:val="22"/>
        </w:rPr>
        <w:tab/>
      </w:r>
      <w:r w:rsidRPr="00207761">
        <w:rPr>
          <w:rFonts w:ascii="Arial" w:hAnsi="Arial" w:cs="Arial"/>
          <w:color w:val="000000" w:themeColor="text1"/>
          <w:sz w:val="22"/>
          <w:szCs w:val="22"/>
        </w:rPr>
        <w:t>3 November 2022]</w:t>
      </w:r>
    </w:p>
    <w:p w14:paraId="131D19DC" w14:textId="77777777" w:rsidR="00A85A01" w:rsidRPr="00207761" w:rsidRDefault="00A85A01" w:rsidP="0068657A">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t xml:space="preserve">Skinner, B. (1976). </w:t>
      </w:r>
      <w:r w:rsidRPr="00207761">
        <w:rPr>
          <w:rFonts w:ascii="Arial" w:hAnsi="Arial" w:cs="Arial"/>
          <w:i/>
          <w:iCs/>
          <w:color w:val="000000" w:themeColor="text1"/>
          <w:sz w:val="22"/>
          <w:szCs w:val="22"/>
        </w:rPr>
        <w:t xml:space="preserve">About Behaviourism. </w:t>
      </w:r>
      <w:r w:rsidRPr="00207761">
        <w:rPr>
          <w:rFonts w:ascii="Arial" w:hAnsi="Arial" w:cs="Arial"/>
          <w:color w:val="000000" w:themeColor="text1"/>
          <w:sz w:val="22"/>
          <w:szCs w:val="22"/>
        </w:rPr>
        <w:t>New York: Vintage Books.</w:t>
      </w:r>
    </w:p>
    <w:p w14:paraId="5E75B6A8" w14:textId="0D481E63" w:rsidR="00A85A01" w:rsidRPr="00207761" w:rsidRDefault="00A85A01" w:rsidP="00954E94">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lastRenderedPageBreak/>
        <w:t>The Editors of Encyclopaedia Britannica (2020).</w:t>
      </w:r>
      <w:r w:rsidR="008A0568" w:rsidRPr="00207761">
        <w:rPr>
          <w:rFonts w:ascii="Arial" w:hAnsi="Arial" w:cs="Arial"/>
          <w:color w:val="000000" w:themeColor="text1"/>
          <w:sz w:val="22"/>
          <w:szCs w:val="22"/>
        </w:rPr>
        <w:t xml:space="preserve"> </w:t>
      </w:r>
      <w:r w:rsidRPr="00207761">
        <w:rPr>
          <w:rFonts w:ascii="Arial" w:hAnsi="Arial" w:cs="Arial"/>
          <w:i/>
          <w:iCs/>
          <w:color w:val="000000" w:themeColor="text1"/>
          <w:sz w:val="22"/>
          <w:szCs w:val="22"/>
        </w:rPr>
        <w:t>Conditioning.</w:t>
      </w:r>
      <w:r w:rsidRPr="00207761">
        <w:rPr>
          <w:rFonts w:ascii="Arial" w:hAnsi="Arial" w:cs="Arial"/>
          <w:color w:val="000000" w:themeColor="text1"/>
          <w:sz w:val="22"/>
          <w:szCs w:val="22"/>
        </w:rPr>
        <w:t> Available at:</w:t>
      </w:r>
      <w:r w:rsidR="008A0568" w:rsidRPr="00207761">
        <w:rPr>
          <w:rFonts w:ascii="Arial" w:hAnsi="Arial" w:cs="Arial"/>
          <w:color w:val="000000" w:themeColor="text1"/>
          <w:sz w:val="22"/>
          <w:szCs w:val="22"/>
        </w:rPr>
        <w:tab/>
      </w:r>
      <w:r w:rsidRPr="00207761">
        <w:rPr>
          <w:rFonts w:ascii="Arial" w:hAnsi="Arial" w:cs="Arial"/>
          <w:color w:val="000000" w:themeColor="text1"/>
          <w:sz w:val="22"/>
          <w:szCs w:val="22"/>
        </w:rPr>
        <w:t>https://www.britannica.com/science/conditioning#ref154465.  [Accessed 04 November 2022].</w:t>
      </w:r>
    </w:p>
    <w:p w14:paraId="64ED2B89" w14:textId="3DB0B37A" w:rsidR="00A85A01" w:rsidRPr="00207761" w:rsidRDefault="00A85A01" w:rsidP="0068657A">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t xml:space="preserve">Tripp, D. (2011). </w:t>
      </w:r>
      <w:r w:rsidRPr="00207761">
        <w:rPr>
          <w:rFonts w:ascii="Arial" w:hAnsi="Arial" w:cs="Arial"/>
          <w:i/>
          <w:iCs/>
          <w:color w:val="000000" w:themeColor="text1"/>
          <w:sz w:val="22"/>
          <w:szCs w:val="22"/>
        </w:rPr>
        <w:t xml:space="preserve">Critical Incidents in Teaching. </w:t>
      </w:r>
      <w:r w:rsidRPr="00207761">
        <w:rPr>
          <w:rFonts w:ascii="Arial" w:hAnsi="Arial" w:cs="Arial"/>
          <w:color w:val="000000" w:themeColor="text1"/>
          <w:sz w:val="22"/>
          <w:szCs w:val="22"/>
        </w:rPr>
        <w:t>Classic ed. London: Taylor &amp;</w:t>
      </w:r>
      <w:r w:rsidR="008A0568" w:rsidRPr="00207761">
        <w:rPr>
          <w:rFonts w:ascii="Arial" w:hAnsi="Arial" w:cs="Arial"/>
          <w:color w:val="000000" w:themeColor="text1"/>
          <w:sz w:val="22"/>
          <w:szCs w:val="22"/>
        </w:rPr>
        <w:tab/>
      </w:r>
      <w:r w:rsidRPr="00207761">
        <w:rPr>
          <w:rFonts w:ascii="Arial" w:hAnsi="Arial" w:cs="Arial"/>
          <w:color w:val="000000" w:themeColor="text1"/>
          <w:sz w:val="22"/>
          <w:szCs w:val="22"/>
        </w:rPr>
        <w:t>Francis.  Available</w:t>
      </w:r>
      <w:r w:rsidR="008A0568" w:rsidRPr="00207761">
        <w:rPr>
          <w:rFonts w:ascii="Arial" w:hAnsi="Arial" w:cs="Arial"/>
          <w:color w:val="000000" w:themeColor="text1"/>
          <w:sz w:val="22"/>
          <w:szCs w:val="22"/>
        </w:rPr>
        <w:t xml:space="preserve"> </w:t>
      </w:r>
      <w:r w:rsidRPr="00207761">
        <w:rPr>
          <w:rFonts w:ascii="Arial" w:hAnsi="Arial" w:cs="Arial"/>
          <w:color w:val="000000" w:themeColor="text1"/>
          <w:sz w:val="22"/>
          <w:szCs w:val="22"/>
        </w:rPr>
        <w:t>at:</w:t>
      </w:r>
      <w:r w:rsidR="008A0568" w:rsidRPr="00207761">
        <w:rPr>
          <w:rFonts w:ascii="Arial" w:hAnsi="Arial" w:cs="Arial"/>
          <w:color w:val="000000" w:themeColor="text1"/>
          <w:sz w:val="22"/>
          <w:szCs w:val="22"/>
        </w:rPr>
        <w:tab/>
      </w:r>
      <w:r w:rsidRPr="00207761">
        <w:rPr>
          <w:rFonts w:ascii="Arial" w:hAnsi="Arial" w:cs="Arial"/>
          <w:color w:val="000000" w:themeColor="text1"/>
          <w:sz w:val="22"/>
          <w:szCs w:val="22"/>
        </w:rPr>
        <w:t>https://www.taylorfrancis.com/books/mono/10.4324/9780203802014/critical- incidents-</w:t>
      </w:r>
      <w:r w:rsidR="008A0568" w:rsidRPr="00207761">
        <w:rPr>
          <w:rFonts w:ascii="Arial" w:hAnsi="Arial" w:cs="Arial"/>
          <w:color w:val="000000" w:themeColor="text1"/>
          <w:sz w:val="22"/>
          <w:szCs w:val="22"/>
        </w:rPr>
        <w:tab/>
      </w:r>
      <w:r w:rsidRPr="00207761">
        <w:rPr>
          <w:rFonts w:ascii="Arial" w:hAnsi="Arial" w:cs="Arial"/>
          <w:color w:val="000000" w:themeColor="text1"/>
          <w:sz w:val="22"/>
          <w:szCs w:val="22"/>
        </w:rPr>
        <w:t>teaching-classic-edition-</w:t>
      </w:r>
      <w:proofErr w:type="spellStart"/>
      <w:r w:rsidRPr="00207761">
        <w:rPr>
          <w:rFonts w:ascii="Arial" w:hAnsi="Arial" w:cs="Arial"/>
          <w:color w:val="000000" w:themeColor="text1"/>
          <w:sz w:val="22"/>
          <w:szCs w:val="22"/>
        </w:rPr>
        <w:t>david</w:t>
      </w:r>
      <w:proofErr w:type="spellEnd"/>
      <w:r w:rsidRPr="00207761">
        <w:rPr>
          <w:rFonts w:ascii="Arial" w:hAnsi="Arial" w:cs="Arial"/>
          <w:color w:val="000000" w:themeColor="text1"/>
          <w:sz w:val="22"/>
          <w:szCs w:val="22"/>
        </w:rPr>
        <w:t>-</w:t>
      </w:r>
      <w:proofErr w:type="spellStart"/>
      <w:r w:rsidRPr="00207761">
        <w:rPr>
          <w:rFonts w:ascii="Arial" w:hAnsi="Arial" w:cs="Arial"/>
          <w:color w:val="000000" w:themeColor="text1"/>
          <w:sz w:val="22"/>
          <w:szCs w:val="22"/>
        </w:rPr>
        <w:t>tripp</w:t>
      </w:r>
      <w:proofErr w:type="spellEnd"/>
      <w:r w:rsidRPr="00207761">
        <w:rPr>
          <w:rFonts w:ascii="Arial" w:hAnsi="Arial" w:cs="Arial"/>
          <w:color w:val="000000" w:themeColor="text1"/>
          <w:sz w:val="22"/>
          <w:szCs w:val="22"/>
        </w:rPr>
        <w:t>. [Accessed 1 November 2022].</w:t>
      </w:r>
    </w:p>
    <w:p w14:paraId="79AC252C" w14:textId="24B1D34B" w:rsidR="00A85A01" w:rsidRPr="00207761" w:rsidRDefault="00A85A01" w:rsidP="005E40A9">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t xml:space="preserve">Vygotsky, L. (1979). </w:t>
      </w:r>
      <w:r w:rsidRPr="00207761">
        <w:rPr>
          <w:rFonts w:ascii="Arial" w:hAnsi="Arial" w:cs="Arial"/>
          <w:i/>
          <w:iCs/>
          <w:color w:val="000000" w:themeColor="text1"/>
          <w:sz w:val="22"/>
          <w:szCs w:val="22"/>
        </w:rPr>
        <w:t xml:space="preserve">Mind in Society. </w:t>
      </w:r>
      <w:r w:rsidRPr="00207761">
        <w:rPr>
          <w:rFonts w:ascii="Arial" w:hAnsi="Arial" w:cs="Arial"/>
          <w:color w:val="000000" w:themeColor="text1"/>
          <w:sz w:val="22"/>
          <w:szCs w:val="22"/>
        </w:rPr>
        <w:t>London: Harvard Press. Available</w:t>
      </w:r>
      <w:r w:rsidR="008A0568" w:rsidRPr="00207761">
        <w:rPr>
          <w:rFonts w:ascii="Arial" w:hAnsi="Arial" w:cs="Arial"/>
          <w:color w:val="000000" w:themeColor="text1"/>
          <w:sz w:val="22"/>
          <w:szCs w:val="22"/>
        </w:rPr>
        <w:t xml:space="preserve"> </w:t>
      </w:r>
      <w:r w:rsidRPr="00207761">
        <w:rPr>
          <w:rFonts w:ascii="Arial" w:hAnsi="Arial" w:cs="Arial"/>
          <w:color w:val="000000" w:themeColor="text1"/>
          <w:sz w:val="22"/>
          <w:szCs w:val="22"/>
        </w:rPr>
        <w:t>at:</w:t>
      </w:r>
      <w:r w:rsidR="008A0568" w:rsidRPr="00207761">
        <w:rPr>
          <w:rFonts w:ascii="Arial" w:hAnsi="Arial" w:cs="Arial"/>
          <w:color w:val="000000" w:themeColor="text1"/>
          <w:sz w:val="22"/>
          <w:szCs w:val="22"/>
        </w:rPr>
        <w:tab/>
      </w:r>
      <w:r w:rsidR="005E40A9" w:rsidRPr="00207761">
        <w:rPr>
          <w:rFonts w:ascii="Arial" w:hAnsi="Arial" w:cs="Arial"/>
          <w:color w:val="000000" w:themeColor="text1"/>
          <w:sz w:val="22"/>
          <w:szCs w:val="22"/>
        </w:rPr>
        <w:t>https://ebookcentral.proquest.com/lib/trinity/detail.action?pq-</w:t>
      </w:r>
      <w:r w:rsidR="005E40A9" w:rsidRPr="00207761">
        <w:rPr>
          <w:rFonts w:ascii="Arial" w:hAnsi="Arial" w:cs="Arial"/>
          <w:color w:val="000000" w:themeColor="text1"/>
          <w:sz w:val="22"/>
          <w:szCs w:val="22"/>
        </w:rPr>
        <w:tab/>
      </w:r>
      <w:proofErr w:type="spellStart"/>
      <w:r w:rsidRPr="00207761">
        <w:rPr>
          <w:rFonts w:ascii="Arial" w:hAnsi="Arial" w:cs="Arial"/>
          <w:color w:val="000000" w:themeColor="text1"/>
          <w:sz w:val="22"/>
          <w:szCs w:val="22"/>
        </w:rPr>
        <w:t>origsite</w:t>
      </w:r>
      <w:proofErr w:type="spellEnd"/>
      <w:r w:rsidRPr="00207761">
        <w:rPr>
          <w:rFonts w:ascii="Arial" w:hAnsi="Arial" w:cs="Arial"/>
          <w:color w:val="000000" w:themeColor="text1"/>
          <w:sz w:val="22"/>
          <w:szCs w:val="22"/>
        </w:rPr>
        <w:t>=</w:t>
      </w:r>
      <w:proofErr w:type="spellStart"/>
      <w:r w:rsidRPr="00207761">
        <w:rPr>
          <w:rFonts w:ascii="Arial" w:hAnsi="Arial" w:cs="Arial"/>
          <w:color w:val="000000" w:themeColor="text1"/>
          <w:sz w:val="22"/>
          <w:szCs w:val="22"/>
        </w:rPr>
        <w:t>primo&amp;docID</w:t>
      </w:r>
      <w:proofErr w:type="spellEnd"/>
      <w:r w:rsidRPr="00207761">
        <w:rPr>
          <w:rFonts w:ascii="Arial" w:hAnsi="Arial" w:cs="Arial"/>
          <w:color w:val="000000" w:themeColor="text1"/>
          <w:sz w:val="22"/>
          <w:szCs w:val="22"/>
        </w:rPr>
        <w:t>=3301299. [Accessed 1 November 2022]</w:t>
      </w:r>
    </w:p>
    <w:p w14:paraId="10F20E28" w14:textId="334F840B" w:rsidR="00A85A01" w:rsidRPr="00207761" w:rsidRDefault="00A85A01" w:rsidP="0068657A">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t xml:space="preserve">Waters, P. M. (2020). </w:t>
      </w:r>
      <w:r w:rsidRPr="00207761">
        <w:rPr>
          <w:rFonts w:ascii="Arial" w:hAnsi="Arial" w:cs="Arial"/>
          <w:i/>
          <w:iCs/>
          <w:color w:val="000000" w:themeColor="text1"/>
          <w:sz w:val="22"/>
          <w:szCs w:val="22"/>
        </w:rPr>
        <w:t>Learning to be a teacher in Wales: the induction of teachers into the</w:t>
      </w:r>
      <w:r w:rsidR="005E40A9" w:rsidRPr="00207761">
        <w:rPr>
          <w:rFonts w:ascii="Arial" w:hAnsi="Arial" w:cs="Arial"/>
          <w:i/>
          <w:iCs/>
          <w:color w:val="000000" w:themeColor="text1"/>
          <w:sz w:val="22"/>
          <w:szCs w:val="22"/>
        </w:rPr>
        <w:tab/>
      </w:r>
      <w:r w:rsidRPr="00207761">
        <w:rPr>
          <w:rFonts w:ascii="Arial" w:hAnsi="Arial" w:cs="Arial"/>
          <w:i/>
          <w:iCs/>
          <w:color w:val="000000" w:themeColor="text1"/>
          <w:sz w:val="22"/>
          <w:szCs w:val="22"/>
        </w:rPr>
        <w:t xml:space="preserve">profession, </w:t>
      </w:r>
      <w:r w:rsidRPr="00207761">
        <w:rPr>
          <w:rFonts w:ascii="Arial" w:hAnsi="Arial" w:cs="Arial"/>
          <w:color w:val="000000" w:themeColor="text1"/>
          <w:sz w:val="22"/>
          <w:szCs w:val="22"/>
        </w:rPr>
        <w:t>Cardiff: Education Wales. Available</w:t>
      </w:r>
      <w:r w:rsidR="005E40A9" w:rsidRPr="00207761">
        <w:rPr>
          <w:rFonts w:ascii="Arial" w:hAnsi="Arial" w:cs="Arial"/>
          <w:color w:val="000000" w:themeColor="text1"/>
          <w:sz w:val="22"/>
          <w:szCs w:val="22"/>
        </w:rPr>
        <w:tab/>
      </w:r>
      <w:r w:rsidRPr="00207761">
        <w:rPr>
          <w:rFonts w:ascii="Arial" w:hAnsi="Arial" w:cs="Arial"/>
          <w:color w:val="000000" w:themeColor="text1"/>
          <w:sz w:val="22"/>
          <w:szCs w:val="22"/>
        </w:rPr>
        <w:t xml:space="preserve">at:   </w:t>
      </w:r>
      <w:r w:rsidR="005E40A9" w:rsidRPr="00207761">
        <w:rPr>
          <w:rFonts w:ascii="Arial" w:hAnsi="Arial" w:cs="Arial"/>
          <w:color w:val="000000" w:themeColor="text1"/>
          <w:sz w:val="22"/>
          <w:szCs w:val="22"/>
        </w:rPr>
        <w:t>https://gov.wales/sites/default/files/publications/2020-11/learning-to-be</w:t>
      </w:r>
      <w:r w:rsidR="005E40A9" w:rsidRPr="00207761">
        <w:rPr>
          <w:rFonts w:ascii="Arial" w:hAnsi="Arial" w:cs="Arial"/>
          <w:color w:val="000000" w:themeColor="text1"/>
          <w:sz w:val="22"/>
          <w:szCs w:val="22"/>
        </w:rPr>
        <w:tab/>
      </w:r>
      <w:r w:rsidRPr="00207761">
        <w:rPr>
          <w:rFonts w:ascii="Arial" w:hAnsi="Arial" w:cs="Arial"/>
          <w:color w:val="000000" w:themeColor="text1"/>
          <w:sz w:val="22"/>
          <w:szCs w:val="22"/>
        </w:rPr>
        <w:t>teacher-wales-induction-teachers-into-profession.pdf. [Accessed 1 November 2022].</w:t>
      </w:r>
    </w:p>
    <w:p w14:paraId="3115C157" w14:textId="0B9FCFD7" w:rsidR="00A85A01" w:rsidRPr="00207761" w:rsidRDefault="00A85A01" w:rsidP="00B709C2">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t xml:space="preserve">Watson, J. B. (1997). </w:t>
      </w:r>
      <w:r w:rsidRPr="00207761">
        <w:rPr>
          <w:rFonts w:ascii="Arial" w:hAnsi="Arial" w:cs="Arial"/>
          <w:i/>
          <w:iCs/>
          <w:color w:val="000000" w:themeColor="text1"/>
          <w:sz w:val="22"/>
          <w:szCs w:val="22"/>
        </w:rPr>
        <w:t xml:space="preserve">Behaviourism. </w:t>
      </w:r>
      <w:r w:rsidRPr="00207761">
        <w:rPr>
          <w:rFonts w:ascii="Arial" w:hAnsi="Arial" w:cs="Arial"/>
          <w:color w:val="000000" w:themeColor="text1"/>
          <w:sz w:val="22"/>
          <w:szCs w:val="22"/>
        </w:rPr>
        <w:t>New York: Routledge. Available</w:t>
      </w:r>
      <w:r w:rsidR="00B709C2" w:rsidRPr="00207761">
        <w:rPr>
          <w:rFonts w:ascii="Arial" w:hAnsi="Arial" w:cs="Arial"/>
          <w:color w:val="000000" w:themeColor="text1"/>
          <w:sz w:val="22"/>
          <w:szCs w:val="22"/>
        </w:rPr>
        <w:t xml:space="preserve"> </w:t>
      </w:r>
      <w:r w:rsidRPr="00207761">
        <w:rPr>
          <w:rFonts w:ascii="Arial" w:hAnsi="Arial" w:cs="Arial"/>
          <w:color w:val="000000" w:themeColor="text1"/>
          <w:sz w:val="22"/>
          <w:szCs w:val="22"/>
        </w:rPr>
        <w:t>at:</w:t>
      </w:r>
      <w:r w:rsidR="00B709C2" w:rsidRPr="00207761">
        <w:rPr>
          <w:rFonts w:ascii="Arial" w:hAnsi="Arial" w:cs="Arial"/>
          <w:color w:val="000000" w:themeColor="text1"/>
          <w:sz w:val="22"/>
          <w:szCs w:val="22"/>
        </w:rPr>
        <w:tab/>
        <w:t>https://books.google.co.uk/books?id=6GRQDwAAQBAJ&amp;vq=frequency&amp;source=gbs_na</w:t>
      </w:r>
      <w:r w:rsidR="00B709C2" w:rsidRPr="00207761">
        <w:rPr>
          <w:rFonts w:ascii="Arial" w:hAnsi="Arial" w:cs="Arial"/>
          <w:color w:val="000000" w:themeColor="text1"/>
          <w:sz w:val="22"/>
          <w:szCs w:val="22"/>
        </w:rPr>
        <w:tab/>
      </w:r>
      <w:proofErr w:type="spellStart"/>
      <w:r w:rsidRPr="00207761">
        <w:rPr>
          <w:rFonts w:ascii="Arial" w:hAnsi="Arial" w:cs="Arial"/>
          <w:color w:val="000000" w:themeColor="text1"/>
          <w:sz w:val="22"/>
          <w:szCs w:val="22"/>
        </w:rPr>
        <w:t>vlinks_s</w:t>
      </w:r>
      <w:proofErr w:type="spellEnd"/>
      <w:r w:rsidRPr="00207761">
        <w:rPr>
          <w:rFonts w:ascii="Arial" w:hAnsi="Arial" w:cs="Arial"/>
          <w:color w:val="000000" w:themeColor="text1"/>
          <w:sz w:val="22"/>
          <w:szCs w:val="22"/>
        </w:rPr>
        <w:t>. [Accessed 3 November 2022].</w:t>
      </w:r>
    </w:p>
    <w:p w14:paraId="2AA6F1E9" w14:textId="41D648FD" w:rsidR="00A85A01" w:rsidRPr="00207761" w:rsidRDefault="00A85A01" w:rsidP="0068657A">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t xml:space="preserve">Welsh Government (2017). </w:t>
      </w:r>
      <w:r w:rsidRPr="00207761">
        <w:rPr>
          <w:rFonts w:ascii="Arial" w:hAnsi="Arial" w:cs="Arial"/>
          <w:i/>
          <w:iCs/>
          <w:color w:val="000000" w:themeColor="text1"/>
          <w:sz w:val="22"/>
          <w:szCs w:val="22"/>
        </w:rPr>
        <w:t xml:space="preserve">Foundation Phase Profile Handbook, </w:t>
      </w:r>
      <w:r w:rsidRPr="00207761">
        <w:rPr>
          <w:rFonts w:ascii="Arial" w:hAnsi="Arial" w:cs="Arial"/>
          <w:color w:val="000000" w:themeColor="text1"/>
          <w:sz w:val="22"/>
          <w:szCs w:val="22"/>
        </w:rPr>
        <w:t>Cardiff: Welsh</w:t>
      </w:r>
      <w:r w:rsidR="00B709C2" w:rsidRPr="00207761">
        <w:rPr>
          <w:rFonts w:ascii="Arial" w:hAnsi="Arial" w:cs="Arial"/>
          <w:color w:val="000000" w:themeColor="text1"/>
          <w:sz w:val="22"/>
          <w:szCs w:val="22"/>
        </w:rPr>
        <w:t xml:space="preserve"> </w:t>
      </w:r>
      <w:r w:rsidRPr="00207761">
        <w:rPr>
          <w:rFonts w:ascii="Arial" w:hAnsi="Arial" w:cs="Arial"/>
          <w:color w:val="000000" w:themeColor="text1"/>
          <w:sz w:val="22"/>
          <w:szCs w:val="22"/>
        </w:rPr>
        <w:t>Government.</w:t>
      </w:r>
      <w:r w:rsidR="00B709C2" w:rsidRPr="00207761">
        <w:rPr>
          <w:rFonts w:ascii="Arial" w:hAnsi="Arial" w:cs="Arial"/>
          <w:color w:val="000000" w:themeColor="text1"/>
          <w:sz w:val="22"/>
          <w:szCs w:val="22"/>
        </w:rPr>
        <w:tab/>
      </w:r>
      <w:r w:rsidRPr="00207761">
        <w:rPr>
          <w:rFonts w:ascii="Arial" w:hAnsi="Arial" w:cs="Arial"/>
          <w:color w:val="000000" w:themeColor="text1"/>
          <w:sz w:val="22"/>
          <w:szCs w:val="22"/>
        </w:rPr>
        <w:t xml:space="preserve">Available at: </w:t>
      </w:r>
      <w:r w:rsidR="003824A8" w:rsidRPr="00207761">
        <w:rPr>
          <w:rFonts w:ascii="Arial" w:hAnsi="Arial" w:cs="Arial"/>
          <w:color w:val="000000" w:themeColor="text1"/>
          <w:sz w:val="22"/>
          <w:szCs w:val="22"/>
        </w:rPr>
        <w:t>https://hwb.gov.wales/storage/f9d85dba-85a4-4e87-</w:t>
      </w:r>
      <w:r w:rsidR="003824A8" w:rsidRPr="00207761">
        <w:rPr>
          <w:rFonts w:ascii="Arial" w:hAnsi="Arial" w:cs="Arial"/>
          <w:color w:val="000000" w:themeColor="text1"/>
          <w:sz w:val="22"/>
          <w:szCs w:val="22"/>
        </w:rPr>
        <w:tab/>
      </w:r>
      <w:r w:rsidRPr="00207761">
        <w:rPr>
          <w:rFonts w:ascii="Arial" w:hAnsi="Arial" w:cs="Arial"/>
          <w:color w:val="000000" w:themeColor="text1"/>
          <w:sz w:val="22"/>
          <w:szCs w:val="22"/>
        </w:rPr>
        <w:t>bb58</w:t>
      </w:r>
      <w:proofErr w:type="gramStart"/>
      <w:r w:rsidRPr="00207761">
        <w:rPr>
          <w:rFonts w:ascii="Arial" w:hAnsi="Arial" w:cs="Arial"/>
          <w:color w:val="000000" w:themeColor="text1"/>
          <w:sz w:val="22"/>
          <w:szCs w:val="22"/>
        </w:rPr>
        <w:t>-  a</w:t>
      </w:r>
      <w:proofErr w:type="gramEnd"/>
      <w:r w:rsidRPr="00207761">
        <w:rPr>
          <w:rFonts w:ascii="Arial" w:hAnsi="Arial" w:cs="Arial"/>
          <w:color w:val="000000" w:themeColor="text1"/>
          <w:sz w:val="22"/>
          <w:szCs w:val="22"/>
        </w:rPr>
        <w:t>24730ad7e57/foundation-phase-profile-handbook-revised-september-</w:t>
      </w:r>
      <w:r w:rsidR="003824A8" w:rsidRPr="00207761">
        <w:rPr>
          <w:rFonts w:ascii="Arial" w:hAnsi="Arial" w:cs="Arial"/>
          <w:color w:val="000000" w:themeColor="text1"/>
          <w:sz w:val="22"/>
          <w:szCs w:val="22"/>
        </w:rPr>
        <w:tab/>
      </w:r>
      <w:r w:rsidRPr="00207761">
        <w:rPr>
          <w:rFonts w:ascii="Arial" w:hAnsi="Arial" w:cs="Arial"/>
          <w:color w:val="000000" w:themeColor="text1"/>
          <w:sz w:val="22"/>
          <w:szCs w:val="22"/>
        </w:rPr>
        <w:t xml:space="preserve">2017.pdf. [Accessed 3 November 2022]. </w:t>
      </w:r>
    </w:p>
    <w:p w14:paraId="619B402C" w14:textId="27E51231" w:rsidR="00A85A01" w:rsidRPr="00207761" w:rsidRDefault="00A85A01" w:rsidP="0068657A">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t xml:space="preserve">Welsh Government (2022). </w:t>
      </w:r>
      <w:r w:rsidRPr="00207761">
        <w:rPr>
          <w:rFonts w:ascii="Arial" w:hAnsi="Arial" w:cs="Arial"/>
          <w:i/>
          <w:iCs/>
          <w:color w:val="000000" w:themeColor="text1"/>
          <w:sz w:val="22"/>
          <w:szCs w:val="22"/>
        </w:rPr>
        <w:t xml:space="preserve">Hwb. </w:t>
      </w:r>
      <w:r w:rsidRPr="00207761">
        <w:rPr>
          <w:rFonts w:ascii="Arial" w:hAnsi="Arial" w:cs="Arial"/>
          <w:color w:val="000000" w:themeColor="text1"/>
          <w:sz w:val="22"/>
          <w:szCs w:val="22"/>
        </w:rPr>
        <w:t xml:space="preserve">Available at: </w:t>
      </w:r>
      <w:r w:rsidR="00ED0B7D" w:rsidRPr="00207761">
        <w:rPr>
          <w:rFonts w:ascii="Arial" w:hAnsi="Arial" w:cs="Arial"/>
          <w:color w:val="000000" w:themeColor="text1"/>
          <w:sz w:val="22"/>
          <w:szCs w:val="22"/>
        </w:rPr>
        <w:t>https://hwb.gov.wales/curriculum-</w:t>
      </w:r>
    </w:p>
    <w:p w14:paraId="1BF9D198" w14:textId="77777777" w:rsidR="00A85A01" w:rsidRPr="00207761" w:rsidRDefault="00A85A01" w:rsidP="000B5545">
      <w:pPr>
        <w:autoSpaceDE w:val="0"/>
        <w:autoSpaceDN w:val="0"/>
        <w:adjustRightInd w:val="0"/>
        <w:spacing w:line="360" w:lineRule="auto"/>
        <w:ind w:firstLine="720"/>
        <w:rPr>
          <w:rFonts w:ascii="Arial" w:hAnsi="Arial" w:cs="Arial"/>
          <w:color w:val="000000" w:themeColor="text1"/>
          <w:sz w:val="22"/>
          <w:szCs w:val="22"/>
        </w:rPr>
      </w:pPr>
      <w:r w:rsidRPr="00207761">
        <w:rPr>
          <w:rFonts w:ascii="Arial" w:hAnsi="Arial" w:cs="Arial"/>
          <w:color w:val="000000" w:themeColor="text1"/>
          <w:sz w:val="22"/>
          <w:szCs w:val="22"/>
        </w:rPr>
        <w:t>for-</w:t>
      </w:r>
      <w:proofErr w:type="spellStart"/>
      <w:r w:rsidRPr="00207761">
        <w:rPr>
          <w:rFonts w:ascii="Arial" w:hAnsi="Arial" w:cs="Arial"/>
          <w:color w:val="000000" w:themeColor="text1"/>
          <w:sz w:val="22"/>
          <w:szCs w:val="22"/>
        </w:rPr>
        <w:t>wales</w:t>
      </w:r>
      <w:proofErr w:type="spellEnd"/>
      <w:r w:rsidRPr="00207761">
        <w:rPr>
          <w:rFonts w:ascii="Arial" w:hAnsi="Arial" w:cs="Arial"/>
          <w:color w:val="000000" w:themeColor="text1"/>
          <w:sz w:val="22"/>
          <w:szCs w:val="22"/>
        </w:rPr>
        <w:t>/ [Accessed 30 September 2022].</w:t>
      </w:r>
    </w:p>
    <w:p w14:paraId="59EA867D" w14:textId="77777777" w:rsidR="00A85A01" w:rsidRPr="00207761" w:rsidRDefault="00A85A01" w:rsidP="0068657A">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t xml:space="preserve">Welsh Government (2020). </w:t>
      </w:r>
      <w:r w:rsidRPr="00207761">
        <w:rPr>
          <w:rFonts w:ascii="Arial" w:hAnsi="Arial" w:cs="Arial"/>
          <w:i/>
          <w:iCs/>
          <w:color w:val="000000" w:themeColor="text1"/>
          <w:sz w:val="22"/>
          <w:szCs w:val="22"/>
        </w:rPr>
        <w:t xml:space="preserve">Professional Standards </w:t>
      </w:r>
      <w:proofErr w:type="gramStart"/>
      <w:r w:rsidRPr="00207761">
        <w:rPr>
          <w:rFonts w:ascii="Arial" w:hAnsi="Arial" w:cs="Arial"/>
          <w:i/>
          <w:iCs/>
          <w:color w:val="000000" w:themeColor="text1"/>
          <w:sz w:val="22"/>
          <w:szCs w:val="22"/>
        </w:rPr>
        <w:t>For</w:t>
      </w:r>
      <w:proofErr w:type="gramEnd"/>
      <w:r w:rsidRPr="00207761">
        <w:rPr>
          <w:rFonts w:ascii="Arial" w:hAnsi="Arial" w:cs="Arial"/>
          <w:i/>
          <w:iCs/>
          <w:color w:val="000000" w:themeColor="text1"/>
          <w:sz w:val="22"/>
          <w:szCs w:val="22"/>
        </w:rPr>
        <w:t xml:space="preserve"> Teaching and Leadership. </w:t>
      </w:r>
    </w:p>
    <w:p w14:paraId="15365430" w14:textId="01253EE2" w:rsidR="00A85A01" w:rsidRPr="00207761" w:rsidRDefault="00A85A01" w:rsidP="00207761">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t xml:space="preserve">Available at: </w:t>
      </w:r>
      <w:r w:rsidR="000B5545" w:rsidRPr="00207761">
        <w:rPr>
          <w:rFonts w:ascii="Arial" w:hAnsi="Arial" w:cs="Arial"/>
          <w:color w:val="000000" w:themeColor="text1"/>
          <w:sz w:val="22"/>
          <w:szCs w:val="22"/>
        </w:rPr>
        <w:t>https://hwb.gov.wales/api/storage/19bc948b-8a3f-41e0-944a-</w:t>
      </w:r>
      <w:r w:rsidR="000B5545" w:rsidRPr="00207761">
        <w:rPr>
          <w:rFonts w:ascii="Arial" w:hAnsi="Arial" w:cs="Arial"/>
          <w:color w:val="000000" w:themeColor="text1"/>
          <w:sz w:val="22"/>
          <w:szCs w:val="22"/>
        </w:rPr>
        <w:tab/>
      </w:r>
      <w:r w:rsidRPr="00207761">
        <w:rPr>
          <w:rFonts w:ascii="Arial" w:hAnsi="Arial" w:cs="Arial"/>
          <w:color w:val="000000" w:themeColor="text1"/>
          <w:sz w:val="22"/>
          <w:szCs w:val="22"/>
        </w:rPr>
        <w:t>7bf2cadf7d18/professional-standards-for-teaching-and-leadership-interactive-pdf-for-</w:t>
      </w:r>
      <w:r w:rsidR="00207761" w:rsidRPr="00207761">
        <w:rPr>
          <w:rFonts w:ascii="Arial" w:hAnsi="Arial" w:cs="Arial"/>
          <w:color w:val="000000" w:themeColor="text1"/>
          <w:sz w:val="22"/>
          <w:szCs w:val="22"/>
        </w:rPr>
        <w:tab/>
      </w:r>
      <w:r w:rsidRPr="00207761">
        <w:rPr>
          <w:rFonts w:ascii="Arial" w:hAnsi="Arial" w:cs="Arial"/>
          <w:color w:val="000000" w:themeColor="text1"/>
          <w:sz w:val="22"/>
          <w:szCs w:val="22"/>
        </w:rPr>
        <w:t>pc.pdf [Accessed 03 November 2022].</w:t>
      </w:r>
    </w:p>
    <w:p w14:paraId="604862B1" w14:textId="77777777" w:rsidR="00A85A01" w:rsidRPr="00207761" w:rsidRDefault="00A85A01" w:rsidP="0068657A">
      <w:pPr>
        <w:autoSpaceDE w:val="0"/>
        <w:autoSpaceDN w:val="0"/>
        <w:adjustRightInd w:val="0"/>
        <w:spacing w:line="360" w:lineRule="auto"/>
        <w:rPr>
          <w:rFonts w:ascii="Arial" w:hAnsi="Arial" w:cs="Arial"/>
          <w:color w:val="000000" w:themeColor="text1"/>
          <w:sz w:val="22"/>
          <w:szCs w:val="22"/>
        </w:rPr>
      </w:pPr>
      <w:r w:rsidRPr="00207761">
        <w:rPr>
          <w:rFonts w:ascii="Arial" w:hAnsi="Arial" w:cs="Arial"/>
          <w:color w:val="000000" w:themeColor="text1"/>
          <w:sz w:val="22"/>
          <w:szCs w:val="22"/>
        </w:rPr>
        <w:t xml:space="preserve">Winch, C., </w:t>
      </w:r>
      <w:proofErr w:type="spellStart"/>
      <w:r w:rsidRPr="00207761">
        <w:rPr>
          <w:rFonts w:ascii="Arial" w:hAnsi="Arial" w:cs="Arial"/>
          <w:color w:val="000000" w:themeColor="text1"/>
          <w:sz w:val="22"/>
          <w:szCs w:val="22"/>
        </w:rPr>
        <w:t>Oancea</w:t>
      </w:r>
      <w:proofErr w:type="spellEnd"/>
      <w:r w:rsidRPr="00207761">
        <w:rPr>
          <w:rFonts w:ascii="Arial" w:hAnsi="Arial" w:cs="Arial"/>
          <w:color w:val="000000" w:themeColor="text1"/>
          <w:sz w:val="22"/>
          <w:szCs w:val="22"/>
        </w:rPr>
        <w:t>, A. &amp;. Orchard, J. (2015). The contribution of educational research to  </w:t>
      </w:r>
    </w:p>
    <w:p w14:paraId="53FF156A" w14:textId="13B42612" w:rsidR="00A85A01" w:rsidRPr="00207761" w:rsidRDefault="00A85A01" w:rsidP="000B5545">
      <w:pPr>
        <w:autoSpaceDE w:val="0"/>
        <w:autoSpaceDN w:val="0"/>
        <w:adjustRightInd w:val="0"/>
        <w:spacing w:line="360" w:lineRule="auto"/>
        <w:ind w:left="720"/>
        <w:rPr>
          <w:rFonts w:ascii="Arial" w:hAnsi="Arial" w:cs="Arial"/>
          <w:color w:val="000000" w:themeColor="text1"/>
          <w:sz w:val="22"/>
          <w:szCs w:val="22"/>
        </w:rPr>
      </w:pPr>
      <w:r w:rsidRPr="00207761">
        <w:rPr>
          <w:rFonts w:ascii="Arial" w:hAnsi="Arial" w:cs="Arial"/>
          <w:color w:val="000000" w:themeColor="text1"/>
          <w:sz w:val="22"/>
          <w:szCs w:val="22"/>
        </w:rPr>
        <w:t xml:space="preserve">teachers’ professional learning: philosophical </w:t>
      </w:r>
      <w:r w:rsidR="00207761" w:rsidRPr="00207761">
        <w:rPr>
          <w:rFonts w:ascii="Arial" w:hAnsi="Arial" w:cs="Arial"/>
          <w:color w:val="000000" w:themeColor="text1"/>
          <w:sz w:val="22"/>
          <w:szCs w:val="22"/>
        </w:rPr>
        <w:t>understandings,</w:t>
      </w:r>
      <w:r w:rsidRPr="00207761">
        <w:rPr>
          <w:rFonts w:ascii="Arial" w:hAnsi="Arial" w:cs="Arial"/>
          <w:color w:val="000000" w:themeColor="text1"/>
          <w:sz w:val="22"/>
          <w:szCs w:val="22"/>
        </w:rPr>
        <w:t xml:space="preserve"> </w:t>
      </w:r>
      <w:r w:rsidRPr="00207761">
        <w:rPr>
          <w:rFonts w:ascii="Arial" w:hAnsi="Arial" w:cs="Arial"/>
          <w:i/>
          <w:iCs/>
          <w:color w:val="000000" w:themeColor="text1"/>
          <w:sz w:val="22"/>
          <w:szCs w:val="22"/>
        </w:rPr>
        <w:t xml:space="preserve">Oxford Review of Education, </w:t>
      </w:r>
      <w:r w:rsidRPr="00207761">
        <w:rPr>
          <w:rFonts w:ascii="Arial" w:hAnsi="Arial" w:cs="Arial"/>
          <w:color w:val="000000" w:themeColor="text1"/>
          <w:sz w:val="22"/>
          <w:szCs w:val="22"/>
        </w:rPr>
        <w:t>41(2), pp. 202-216. Available at: https://www.tandfonline.com/action/showCitFormats?doi=10.1080%2F03054985.2015.1017406. [Accessed 3 November 2022].</w:t>
      </w:r>
    </w:p>
    <w:p w14:paraId="7BE559AC" w14:textId="77777777" w:rsidR="00A85A01" w:rsidRPr="00207761" w:rsidRDefault="00A85A01" w:rsidP="0068657A">
      <w:pPr>
        <w:autoSpaceDE w:val="0"/>
        <w:autoSpaceDN w:val="0"/>
        <w:adjustRightInd w:val="0"/>
        <w:spacing w:line="360" w:lineRule="auto"/>
        <w:jc w:val="both"/>
        <w:rPr>
          <w:rFonts w:ascii="Arial" w:hAnsi="Arial" w:cs="Arial"/>
          <w:color w:val="000000" w:themeColor="text1"/>
          <w:sz w:val="22"/>
          <w:szCs w:val="22"/>
        </w:rPr>
      </w:pPr>
    </w:p>
    <w:p w14:paraId="15BE13B3" w14:textId="77777777" w:rsidR="0063120D" w:rsidRPr="00207761" w:rsidRDefault="0063120D" w:rsidP="0068657A">
      <w:pPr>
        <w:spacing w:line="360" w:lineRule="auto"/>
        <w:rPr>
          <w:rFonts w:ascii="Arial" w:hAnsi="Arial" w:cs="Arial"/>
          <w:color w:val="000000" w:themeColor="text1"/>
          <w:sz w:val="22"/>
          <w:szCs w:val="22"/>
        </w:rPr>
      </w:pPr>
    </w:p>
    <w:sectPr w:rsidR="0063120D" w:rsidRPr="00207761" w:rsidSect="00FE6D7A">
      <w:footerReference w:type="even" r:id="rId7"/>
      <w:footerReference w:type="default" r:id="rId8"/>
      <w:pgSz w:w="12240" w:h="15840"/>
      <w:pgMar w:top="1440" w:right="1440" w:bottom="1440" w:left="1440" w:header="720" w:footer="720" w:gutter="0"/>
      <w:pgNumType w:start="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96126" w14:textId="77777777" w:rsidR="00AE6A95" w:rsidRDefault="00AE6A95" w:rsidP="00AE6A95">
      <w:r>
        <w:separator/>
      </w:r>
    </w:p>
  </w:endnote>
  <w:endnote w:type="continuationSeparator" w:id="0">
    <w:p w14:paraId="78B4A50D" w14:textId="77777777" w:rsidR="00AE6A95" w:rsidRDefault="00AE6A95" w:rsidP="00AE6A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87350150"/>
      <w:docPartObj>
        <w:docPartGallery w:val="Page Numbers (Bottom of Page)"/>
        <w:docPartUnique/>
      </w:docPartObj>
    </w:sdtPr>
    <w:sdtContent>
      <w:p w14:paraId="7EA79F0D" w14:textId="7AE7F280" w:rsidR="00AE6A95" w:rsidRDefault="00AE6A95" w:rsidP="00B82C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F9DD33" w14:textId="77777777" w:rsidR="00AE6A95" w:rsidRDefault="00AE6A95" w:rsidP="00AE6A9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0356659"/>
      <w:docPartObj>
        <w:docPartGallery w:val="Page Numbers (Bottom of Page)"/>
        <w:docPartUnique/>
      </w:docPartObj>
    </w:sdtPr>
    <w:sdtContent>
      <w:p w14:paraId="0C354923" w14:textId="42F3D1A5" w:rsidR="00AE6A95" w:rsidRDefault="00AE6A95" w:rsidP="00B82C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FEC76C" w14:textId="77777777" w:rsidR="00AE6A95" w:rsidRDefault="00AE6A95" w:rsidP="00AE6A9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596AF" w14:textId="77777777" w:rsidR="00AE6A95" w:rsidRDefault="00AE6A95" w:rsidP="00AE6A95">
      <w:r>
        <w:separator/>
      </w:r>
    </w:p>
  </w:footnote>
  <w:footnote w:type="continuationSeparator" w:id="0">
    <w:p w14:paraId="6BAB6C70" w14:textId="77777777" w:rsidR="00AE6A95" w:rsidRDefault="00AE6A95" w:rsidP="00AE6A9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A01"/>
    <w:rsid w:val="000051AB"/>
    <w:rsid w:val="0002311F"/>
    <w:rsid w:val="000A0537"/>
    <w:rsid w:val="000B5545"/>
    <w:rsid w:val="000D2B1A"/>
    <w:rsid w:val="001459D8"/>
    <w:rsid w:val="001D1793"/>
    <w:rsid w:val="00207761"/>
    <w:rsid w:val="002F3804"/>
    <w:rsid w:val="003824A8"/>
    <w:rsid w:val="003868C1"/>
    <w:rsid w:val="003E606D"/>
    <w:rsid w:val="004F4231"/>
    <w:rsid w:val="00556203"/>
    <w:rsid w:val="005B2A15"/>
    <w:rsid w:val="005E40A9"/>
    <w:rsid w:val="0061130B"/>
    <w:rsid w:val="0063120D"/>
    <w:rsid w:val="0068657A"/>
    <w:rsid w:val="00711F37"/>
    <w:rsid w:val="00720EEB"/>
    <w:rsid w:val="008008FD"/>
    <w:rsid w:val="00850556"/>
    <w:rsid w:val="00866D18"/>
    <w:rsid w:val="0088445B"/>
    <w:rsid w:val="008A0568"/>
    <w:rsid w:val="009229B1"/>
    <w:rsid w:val="00954E94"/>
    <w:rsid w:val="0096164C"/>
    <w:rsid w:val="00993436"/>
    <w:rsid w:val="00A02EF3"/>
    <w:rsid w:val="00A734E7"/>
    <w:rsid w:val="00A74B67"/>
    <w:rsid w:val="00A85A01"/>
    <w:rsid w:val="00A92676"/>
    <w:rsid w:val="00AE1749"/>
    <w:rsid w:val="00AE6A95"/>
    <w:rsid w:val="00B709C2"/>
    <w:rsid w:val="00BF7CDF"/>
    <w:rsid w:val="00C83827"/>
    <w:rsid w:val="00CD197E"/>
    <w:rsid w:val="00CF61DF"/>
    <w:rsid w:val="00ED0B7D"/>
    <w:rsid w:val="00FB617B"/>
    <w:rsid w:val="00FC273C"/>
    <w:rsid w:val="00FD6773"/>
    <w:rsid w:val="00FE6D7A"/>
    <w:rsid w:val="00FF4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2294A"/>
  <w15:chartTrackingRefBased/>
  <w15:docId w15:val="{A5197A6A-4D27-7646-B792-1B3475496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4874"/>
    <w:rPr>
      <w:color w:val="0563C1" w:themeColor="hyperlink"/>
      <w:u w:val="single"/>
    </w:rPr>
  </w:style>
  <w:style w:type="character" w:styleId="UnresolvedMention">
    <w:name w:val="Unresolved Mention"/>
    <w:basedOn w:val="DefaultParagraphFont"/>
    <w:uiPriority w:val="99"/>
    <w:semiHidden/>
    <w:unhideWhenUsed/>
    <w:rsid w:val="00FF4874"/>
    <w:rPr>
      <w:color w:val="605E5C"/>
      <w:shd w:val="clear" w:color="auto" w:fill="E1DFDD"/>
    </w:rPr>
  </w:style>
  <w:style w:type="paragraph" w:styleId="Footer">
    <w:name w:val="footer"/>
    <w:basedOn w:val="Normal"/>
    <w:link w:val="FooterChar"/>
    <w:uiPriority w:val="99"/>
    <w:unhideWhenUsed/>
    <w:rsid w:val="00AE6A95"/>
    <w:pPr>
      <w:tabs>
        <w:tab w:val="center" w:pos="4513"/>
        <w:tab w:val="right" w:pos="9026"/>
      </w:tabs>
    </w:pPr>
  </w:style>
  <w:style w:type="character" w:customStyle="1" w:styleId="FooterChar">
    <w:name w:val="Footer Char"/>
    <w:basedOn w:val="DefaultParagraphFont"/>
    <w:link w:val="Footer"/>
    <w:uiPriority w:val="99"/>
    <w:rsid w:val="00AE6A95"/>
  </w:style>
  <w:style w:type="character" w:styleId="PageNumber">
    <w:name w:val="page number"/>
    <w:basedOn w:val="DefaultParagraphFont"/>
    <w:uiPriority w:val="99"/>
    <w:semiHidden/>
    <w:unhideWhenUsed/>
    <w:rsid w:val="00AE6A95"/>
  </w:style>
  <w:style w:type="character" w:styleId="CommentReference">
    <w:name w:val="annotation reference"/>
    <w:basedOn w:val="DefaultParagraphFont"/>
    <w:uiPriority w:val="99"/>
    <w:semiHidden/>
    <w:unhideWhenUsed/>
    <w:rsid w:val="009229B1"/>
    <w:rPr>
      <w:sz w:val="16"/>
      <w:szCs w:val="16"/>
    </w:rPr>
  </w:style>
  <w:style w:type="paragraph" w:styleId="CommentText">
    <w:name w:val="annotation text"/>
    <w:basedOn w:val="Normal"/>
    <w:link w:val="CommentTextChar"/>
    <w:uiPriority w:val="99"/>
    <w:semiHidden/>
    <w:unhideWhenUsed/>
    <w:rsid w:val="009229B1"/>
    <w:rPr>
      <w:sz w:val="20"/>
      <w:szCs w:val="20"/>
    </w:rPr>
  </w:style>
  <w:style w:type="character" w:customStyle="1" w:styleId="CommentTextChar">
    <w:name w:val="Comment Text Char"/>
    <w:basedOn w:val="DefaultParagraphFont"/>
    <w:link w:val="CommentText"/>
    <w:uiPriority w:val="99"/>
    <w:semiHidden/>
    <w:rsid w:val="009229B1"/>
    <w:rPr>
      <w:sz w:val="20"/>
      <w:szCs w:val="20"/>
    </w:rPr>
  </w:style>
  <w:style w:type="paragraph" w:styleId="CommentSubject">
    <w:name w:val="annotation subject"/>
    <w:basedOn w:val="CommentText"/>
    <w:next w:val="CommentText"/>
    <w:link w:val="CommentSubjectChar"/>
    <w:uiPriority w:val="99"/>
    <w:semiHidden/>
    <w:unhideWhenUsed/>
    <w:rsid w:val="009229B1"/>
    <w:rPr>
      <w:b/>
      <w:bCs/>
    </w:rPr>
  </w:style>
  <w:style w:type="character" w:customStyle="1" w:styleId="CommentSubjectChar">
    <w:name w:val="Comment Subject Char"/>
    <w:basedOn w:val="CommentTextChar"/>
    <w:link w:val="CommentSubject"/>
    <w:uiPriority w:val="99"/>
    <w:semiHidden/>
    <w:rsid w:val="009229B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sycnet.apa.org/doiLanding?doi=10.1037%2Fh0045185"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5014</Words>
  <Characters>28582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George</dc:creator>
  <cp:keywords/>
  <dc:description/>
  <cp:lastModifiedBy>Lauren George</cp:lastModifiedBy>
  <cp:revision>2</cp:revision>
  <dcterms:created xsi:type="dcterms:W3CDTF">2022-11-06T19:34:00Z</dcterms:created>
  <dcterms:modified xsi:type="dcterms:W3CDTF">2022-11-06T19:34:00Z</dcterms:modified>
</cp:coreProperties>
</file>