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1261915"/>
        <w:docPartObj>
          <w:docPartGallery w:val="Cover Pages"/>
          <w:docPartUnique/>
        </w:docPartObj>
      </w:sdtPr>
      <w:sdtEndPr>
        <w:rPr>
          <w:rFonts w:ascii="Arial Black" w:hAnsi="Arial Black" w:cs="Arial"/>
          <w:color w:val="45B0E1" w:themeColor="accent1" w:themeTint="99"/>
        </w:rPr>
      </w:sdtEndPr>
      <w:sdtContent>
        <w:p w14:paraId="6F741DD0" w14:textId="1B00E2F8" w:rsidR="0027523D" w:rsidRPr="0027523D" w:rsidRDefault="0027523D" w:rsidP="0027523D">
          <w:pPr>
            <w:rPr>
              <w:rFonts w:ascii="Arial Black" w:hAnsi="Arial Black"/>
              <w:color w:val="00B0F0"/>
            </w:rPr>
          </w:pPr>
          <w:r w:rsidRPr="0027523D">
            <w:rPr>
              <w:rFonts w:ascii="Arial Black" w:hAnsi="Arial Black"/>
              <w:color w:val="00B0F0"/>
            </w:rPr>
            <w:t>Student name:</w:t>
          </w:r>
          <w:r w:rsidRPr="0027523D">
            <w:rPr>
              <w:rFonts w:ascii="Arial Black" w:hAnsi="Arial Black"/>
              <w:color w:val="00B0F0"/>
            </w:rPr>
            <w:t xml:space="preserve"> Marinel Toader </w:t>
          </w:r>
          <w:r w:rsidRPr="0027523D">
            <w:rPr>
              <w:rFonts w:ascii="Arial Black" w:hAnsi="Arial Black"/>
              <w:color w:val="00B0F0"/>
            </w:rPr>
            <w:tab/>
            <w:t xml:space="preserve">     </w:t>
          </w:r>
        </w:p>
        <w:p w14:paraId="54A897B1" w14:textId="15953041" w:rsidR="0027523D" w:rsidRPr="0027523D" w:rsidRDefault="0027523D" w:rsidP="0027523D">
          <w:pPr>
            <w:rPr>
              <w:rFonts w:ascii="Arial Black" w:hAnsi="Arial Black"/>
              <w:color w:val="00B0F0"/>
            </w:rPr>
          </w:pPr>
          <w:r w:rsidRPr="0027523D">
            <w:rPr>
              <w:rFonts w:ascii="Arial Black" w:hAnsi="Arial Black"/>
              <w:color w:val="00B0F0"/>
            </w:rPr>
            <w:t>Programme:</w:t>
          </w:r>
          <w:r w:rsidRPr="0027523D">
            <w:rPr>
              <w:rFonts w:ascii="Arial Black" w:hAnsi="Arial Black"/>
              <w:color w:val="00B0F0"/>
            </w:rPr>
            <w:t xml:space="preserve"> </w:t>
          </w:r>
          <w:r w:rsidRPr="0027523D">
            <w:rPr>
              <w:rFonts w:ascii="Arial Black" w:hAnsi="Arial Black"/>
              <w:color w:val="00B0F0"/>
            </w:rPr>
            <w:t>Sustainable Enterprise/ Social Enterprise Management</w:t>
          </w:r>
        </w:p>
        <w:p w14:paraId="62D04720" w14:textId="787875C5" w:rsidR="0027523D" w:rsidRPr="0027523D" w:rsidRDefault="0027523D" w:rsidP="0027523D">
          <w:pPr>
            <w:rPr>
              <w:rFonts w:ascii="Arial Black" w:hAnsi="Arial Black"/>
              <w:color w:val="00B0F0"/>
            </w:rPr>
          </w:pPr>
          <w:r w:rsidRPr="0027523D">
            <w:rPr>
              <w:rFonts w:ascii="Arial Black" w:hAnsi="Arial Black"/>
              <w:color w:val="00B0F0"/>
            </w:rPr>
            <w:t>Module:</w:t>
          </w:r>
          <w:r w:rsidRPr="0027523D">
            <w:rPr>
              <w:rFonts w:ascii="Arial Black" w:hAnsi="Arial Black"/>
              <w:color w:val="00B0F0"/>
            </w:rPr>
            <w:t xml:space="preserve">  </w:t>
          </w:r>
          <w:r w:rsidRPr="0027523D">
            <w:rPr>
              <w:rFonts w:ascii="Arial Black" w:hAnsi="Arial Black"/>
              <w:color w:val="00B0F0"/>
            </w:rPr>
            <w:t xml:space="preserve">Sustainable Enterprise </w:t>
          </w:r>
        </w:p>
        <w:p w14:paraId="6B45910E" w14:textId="5E00F579" w:rsidR="0027523D" w:rsidRPr="0027523D" w:rsidRDefault="0027523D" w:rsidP="0027523D">
          <w:pPr>
            <w:rPr>
              <w:rFonts w:ascii="Arial Black" w:hAnsi="Arial Black"/>
              <w:color w:val="00B0F0"/>
            </w:rPr>
          </w:pPr>
          <w:r w:rsidRPr="0027523D">
            <w:rPr>
              <w:rFonts w:ascii="Arial Black" w:hAnsi="Arial Black"/>
              <w:color w:val="00B0F0"/>
            </w:rPr>
            <w:t>Module code:</w:t>
          </w:r>
          <w:r>
            <w:rPr>
              <w:rFonts w:ascii="Arial Black" w:hAnsi="Arial Black"/>
              <w:color w:val="00B0F0"/>
            </w:rPr>
            <w:t xml:space="preserve"> </w:t>
          </w:r>
          <w:r w:rsidRPr="0027523D">
            <w:rPr>
              <w:rFonts w:ascii="Arial Black" w:hAnsi="Arial Black"/>
              <w:color w:val="00B0F0"/>
            </w:rPr>
            <w:t>BMSE4010D</w:t>
          </w:r>
        </w:p>
        <w:p w14:paraId="65B1010B" w14:textId="2C9BAC06" w:rsidR="0027523D" w:rsidRPr="0027523D" w:rsidRDefault="0027523D" w:rsidP="0027523D">
          <w:pPr>
            <w:rPr>
              <w:rFonts w:ascii="Arial Black" w:hAnsi="Arial Black"/>
              <w:color w:val="00B0F0"/>
            </w:rPr>
          </w:pPr>
          <w:r w:rsidRPr="0027523D">
            <w:rPr>
              <w:rFonts w:ascii="Arial Black" w:hAnsi="Arial Black"/>
              <w:color w:val="00B0F0"/>
            </w:rPr>
            <w:t>Lecturer:</w:t>
          </w:r>
          <w:r w:rsidRPr="0027523D">
            <w:rPr>
              <w:rFonts w:ascii="Arial Black" w:hAnsi="Arial Black"/>
              <w:color w:val="00B0F0"/>
            </w:rPr>
            <w:t xml:space="preserve"> </w:t>
          </w:r>
          <w:r w:rsidRPr="0027523D">
            <w:rPr>
              <w:rFonts w:ascii="Arial Black" w:hAnsi="Arial Black"/>
              <w:color w:val="00B0F0"/>
            </w:rPr>
            <w:t>Navdeep Randhawa</w:t>
          </w:r>
        </w:p>
        <w:p w14:paraId="528200A6" w14:textId="30E0DB37" w:rsidR="0027523D" w:rsidRPr="0027523D" w:rsidRDefault="0027523D">
          <w:pPr>
            <w:rPr>
              <w:rFonts w:ascii="Arial Black" w:hAnsi="Arial Black"/>
              <w:color w:val="00B0F0"/>
            </w:rPr>
          </w:pPr>
        </w:p>
        <w:p w14:paraId="0CA6EEF3" w14:textId="4B7EB969" w:rsidR="0027523D" w:rsidRDefault="0027523D">
          <w:pPr>
            <w:rPr>
              <w:rFonts w:ascii="Arial Black" w:hAnsi="Arial Black" w:cs="Arial"/>
              <w:color w:val="45B0E1" w:themeColor="accent1" w:themeTint="99"/>
            </w:rPr>
          </w:pPr>
          <w:r>
            <w:rPr>
              <w:noProof/>
            </w:rPr>
            <mc:AlternateContent>
              <mc:Choice Requires="wps">
                <w:drawing>
                  <wp:anchor distT="0" distB="0" distL="114300" distR="114300" simplePos="0" relativeHeight="251659264" behindDoc="0" locked="0" layoutInCell="1" allowOverlap="1" wp14:anchorId="605FD198" wp14:editId="7F716997">
                    <wp:simplePos x="0" y="0"/>
                    <wp:positionH relativeFrom="page">
                      <wp:posOffset>241300</wp:posOffset>
                    </wp:positionH>
                    <wp:positionV relativeFrom="page">
                      <wp:posOffset>4635500</wp:posOffset>
                    </wp:positionV>
                    <wp:extent cx="7016750" cy="2698750"/>
                    <wp:effectExtent l="0" t="0" r="0" b="635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016750" cy="2698750"/>
                            </a:xfrm>
                            <a:prstGeom prst="rect">
                              <a:avLst/>
                            </a:prstGeom>
                            <a:solidFill>
                              <a:schemeClr val="accent1"/>
                            </a:solidFill>
                            <a:ln>
                              <a:noFill/>
                            </a:ln>
                          </wps:spPr>
                          <wps:txbx>
                            <w:txbxContent>
                              <w:sdt>
                                <w:sdtPr>
                                  <w:rPr>
                                    <w:rFonts w:ascii="Arial Black" w:hAnsi="Arial Black"/>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355B8F7" w14:textId="59E450E2" w:rsidR="0027523D" w:rsidRPr="0027523D" w:rsidRDefault="0027523D" w:rsidP="0027523D">
                                    <w:pPr>
                                      <w:pStyle w:val="Title"/>
                                      <w:jc w:val="center"/>
                                      <w:rPr>
                                        <w:rFonts w:ascii="Arial Black" w:hAnsi="Arial Black"/>
                                        <w:caps/>
                                        <w:color w:val="FFFFFF" w:themeColor="background1"/>
                                        <w:sz w:val="80"/>
                                        <w:szCs w:val="80"/>
                                      </w:rPr>
                                    </w:pPr>
                                    <w:r w:rsidRPr="0027523D">
                                      <w:rPr>
                                        <w:rFonts w:ascii="Arial Black" w:hAnsi="Arial Black"/>
                                        <w:caps/>
                                        <w:color w:val="FFFFFF" w:themeColor="background1"/>
                                        <w:sz w:val="80"/>
                                        <w:szCs w:val="80"/>
                                      </w:rPr>
                                      <w:t xml:space="preserve">Sustainable Enterprise </w:t>
                                    </w:r>
                                  </w:p>
                                </w:sdtContent>
                              </w:sdt>
                              <w:p w14:paraId="0AA5859E" w14:textId="77777777" w:rsidR="0027523D" w:rsidRDefault="0027523D">
                                <w:pPr>
                                  <w:spacing w:before="240"/>
                                  <w:ind w:left="720"/>
                                  <w:jc w:val="right"/>
                                  <w:rPr>
                                    <w:color w:val="FFFFFF" w:themeColor="background1"/>
                                  </w:rPr>
                                </w:pPr>
                              </w:p>
                              <w:p w14:paraId="0B03C67C" w14:textId="422E57EE" w:rsidR="0027523D" w:rsidRDefault="0027523D">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05FD198" id="Rectangle 16" o:spid="_x0000_s1026" style="position:absolute;margin-left:19pt;margin-top:365pt;width:552.5pt;height:21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" fillcolor="#156082 [3204]" stroked="f">
                    <v:textbox inset="21.6pt,1in,21.6pt">
                      <w:txbxContent>
                        <w:sdt>
                          <w:sdtPr>
                            <w:rPr>
                              <w:rFonts w:ascii="Arial Black" w:hAnsi="Arial Black"/>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355B8F7" w14:textId="59E450E2" w:rsidR="0027523D" w:rsidRPr="0027523D" w:rsidRDefault="0027523D" w:rsidP="0027523D">
                              <w:pPr>
                                <w:pStyle w:val="Title"/>
                                <w:jc w:val="center"/>
                                <w:rPr>
                                  <w:rFonts w:ascii="Arial Black" w:hAnsi="Arial Black"/>
                                  <w:caps/>
                                  <w:color w:val="FFFFFF" w:themeColor="background1"/>
                                  <w:sz w:val="80"/>
                                  <w:szCs w:val="80"/>
                                </w:rPr>
                              </w:pPr>
                              <w:r w:rsidRPr="0027523D">
                                <w:rPr>
                                  <w:rFonts w:ascii="Arial Black" w:hAnsi="Arial Black"/>
                                  <w:caps/>
                                  <w:color w:val="FFFFFF" w:themeColor="background1"/>
                                  <w:sz w:val="80"/>
                                  <w:szCs w:val="80"/>
                                </w:rPr>
                                <w:t xml:space="preserve">Sustainable Enterprise </w:t>
                              </w:r>
                            </w:p>
                          </w:sdtContent>
                        </w:sdt>
                        <w:p w14:paraId="0AA5859E" w14:textId="77777777" w:rsidR="0027523D" w:rsidRDefault="0027523D">
                          <w:pPr>
                            <w:spacing w:before="240"/>
                            <w:ind w:left="720"/>
                            <w:jc w:val="right"/>
                            <w:rPr>
                              <w:color w:val="FFFFFF" w:themeColor="background1"/>
                            </w:rPr>
                          </w:pPr>
                        </w:p>
                        <w:p w14:paraId="0B03C67C" w14:textId="422E57EE" w:rsidR="0027523D" w:rsidRDefault="0027523D">
                          <w:pPr>
                            <w:spacing w:before="240"/>
                            <w:ind w:left="1008"/>
                            <w:jc w:val="right"/>
                            <w:rPr>
                              <w:color w:val="FFFFFF" w:themeColor="background1"/>
                            </w:rPr>
                          </w:pPr>
                        </w:p>
                      </w:txbxContent>
                    </v:textbox>
                    <w10:wrap anchorx="page" anchory="page"/>
                  </v:rect>
                </w:pict>
              </mc:Fallback>
            </mc:AlternateContent>
          </w:r>
          <w:r>
            <w:rPr>
              <w:rFonts w:ascii="Arial Black" w:hAnsi="Arial Black" w:cs="Arial"/>
              <w:color w:val="45B0E1" w:themeColor="accent1" w:themeTint="99"/>
            </w:rPr>
            <w:br w:type="page"/>
          </w:r>
        </w:p>
      </w:sdtContent>
    </w:sdt>
    <w:p w14:paraId="0CBE5F1B" w14:textId="15B645F8"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lastRenderedPageBreak/>
        <w:t xml:space="preserve">Introduction </w:t>
      </w:r>
    </w:p>
    <w:p w14:paraId="7E534AAC" w14:textId="77777777" w:rsidR="00323E3A" w:rsidRPr="00323E3A" w:rsidRDefault="00323E3A" w:rsidP="00323E3A">
      <w:pPr>
        <w:spacing w:line="480" w:lineRule="auto"/>
        <w:jc w:val="both"/>
        <w:rPr>
          <w:rFonts w:ascii="Arial" w:hAnsi="Arial" w:cs="Arial"/>
        </w:rPr>
      </w:pPr>
      <w:r w:rsidRPr="00323E3A">
        <w:rPr>
          <w:rFonts w:ascii="Arial" w:hAnsi="Arial" w:cs="Arial"/>
        </w:rPr>
        <w:t>GreenFuture Energy is a start-up dedicated to providing inexpensive, clean, and dependable renewable energy via revolutionary solar photovoltaic (PV) and energy storage technologies. Our objective is to expedite the transition from fossil fuels to renewable energy sources, lowering greenhouse gas emissions and increasing community resilience. Our objective is to be a leading provider of renewable energy solutions in regional and national markets by using cutting-edge technology and novel financing approaches.</w:t>
      </w:r>
    </w:p>
    <w:p w14:paraId="1D68D119" w14:textId="77777777" w:rsidR="00323E3A" w:rsidRPr="00323E3A" w:rsidRDefault="00323E3A" w:rsidP="00323E3A">
      <w:pPr>
        <w:spacing w:line="480" w:lineRule="auto"/>
        <w:jc w:val="both"/>
        <w:rPr>
          <w:rFonts w:ascii="Arial" w:hAnsi="Arial" w:cs="Arial"/>
        </w:rPr>
      </w:pPr>
      <w:r w:rsidRPr="00323E3A">
        <w:rPr>
          <w:rFonts w:ascii="Arial" w:hAnsi="Arial" w:cs="Arial"/>
        </w:rPr>
        <w:t>Our main goals are as follows:</w:t>
      </w:r>
    </w:p>
    <w:p w14:paraId="4A83D867" w14:textId="77777777" w:rsidR="00323E3A" w:rsidRPr="00323E3A" w:rsidRDefault="00323E3A" w:rsidP="00323E3A">
      <w:pPr>
        <w:pStyle w:val="ListParagraph"/>
        <w:numPr>
          <w:ilvl w:val="0"/>
          <w:numId w:val="1"/>
        </w:numPr>
        <w:spacing w:line="480" w:lineRule="auto"/>
        <w:jc w:val="both"/>
        <w:rPr>
          <w:rFonts w:ascii="Arial" w:hAnsi="Arial" w:cs="Arial"/>
        </w:rPr>
      </w:pPr>
      <w:r w:rsidRPr="00323E3A">
        <w:rPr>
          <w:rFonts w:ascii="Arial" w:hAnsi="Arial" w:cs="Arial"/>
        </w:rPr>
        <w:t>Launch Operations: Secure early finance and complete the prototype solar-plus-storage project within the first year.</w:t>
      </w:r>
    </w:p>
    <w:p w14:paraId="3F11D484" w14:textId="77777777" w:rsidR="00323E3A" w:rsidRPr="00323E3A" w:rsidRDefault="00323E3A" w:rsidP="00323E3A">
      <w:pPr>
        <w:pStyle w:val="ListParagraph"/>
        <w:numPr>
          <w:ilvl w:val="0"/>
          <w:numId w:val="1"/>
        </w:numPr>
        <w:spacing w:line="480" w:lineRule="auto"/>
        <w:jc w:val="both"/>
        <w:rPr>
          <w:rFonts w:ascii="Arial" w:hAnsi="Arial" w:cs="Arial"/>
        </w:rPr>
      </w:pPr>
      <w:r w:rsidRPr="00323E3A">
        <w:rPr>
          <w:rFonts w:ascii="Arial" w:hAnsi="Arial" w:cs="Arial"/>
        </w:rPr>
        <w:t>Growth and Scale: Through strategic project development, we aim to add 10 MW of renewable energy capacity within five years.</w:t>
      </w:r>
    </w:p>
    <w:p w14:paraId="2A12916A" w14:textId="77777777" w:rsidR="00323E3A" w:rsidRPr="00323E3A" w:rsidRDefault="00323E3A" w:rsidP="00323E3A">
      <w:pPr>
        <w:pStyle w:val="ListParagraph"/>
        <w:numPr>
          <w:ilvl w:val="0"/>
          <w:numId w:val="1"/>
        </w:numPr>
        <w:spacing w:line="480" w:lineRule="auto"/>
        <w:jc w:val="both"/>
        <w:rPr>
          <w:rFonts w:ascii="Arial" w:hAnsi="Arial" w:cs="Arial"/>
        </w:rPr>
      </w:pPr>
      <w:r w:rsidRPr="00323E3A">
        <w:rPr>
          <w:rFonts w:ascii="Arial" w:hAnsi="Arial" w:cs="Arial"/>
        </w:rPr>
        <w:t>Financial Sustainability: Through long-term power purchase agreements (PPAs) and service contracts, achieve positive cash flow by the third year.</w:t>
      </w:r>
    </w:p>
    <w:p w14:paraId="25615199" w14:textId="77777777" w:rsidR="00323E3A" w:rsidRPr="00323E3A" w:rsidRDefault="00323E3A" w:rsidP="00323E3A">
      <w:pPr>
        <w:pStyle w:val="ListParagraph"/>
        <w:numPr>
          <w:ilvl w:val="0"/>
          <w:numId w:val="1"/>
        </w:numPr>
        <w:spacing w:line="480" w:lineRule="auto"/>
        <w:jc w:val="both"/>
        <w:rPr>
          <w:rFonts w:ascii="Arial" w:hAnsi="Arial" w:cs="Arial"/>
        </w:rPr>
      </w:pPr>
      <w:r w:rsidRPr="00323E3A">
        <w:rPr>
          <w:rFonts w:ascii="Arial" w:hAnsi="Arial" w:cs="Arial"/>
        </w:rPr>
        <w:t>Environmental Impact: Replace fossil fuel energy sources to offset more than 15,000 tonnes of CO2 emissions over a five-year period.</w:t>
      </w:r>
    </w:p>
    <w:p w14:paraId="21841601" w14:textId="77777777" w:rsidR="00323E3A" w:rsidRPr="00323E3A" w:rsidRDefault="00323E3A" w:rsidP="00323E3A">
      <w:pPr>
        <w:spacing w:line="480" w:lineRule="auto"/>
        <w:jc w:val="both"/>
        <w:rPr>
          <w:rFonts w:ascii="Arial" w:hAnsi="Arial" w:cs="Arial"/>
        </w:rPr>
      </w:pPr>
      <w:r w:rsidRPr="00323E3A">
        <w:rPr>
          <w:rFonts w:ascii="Arial" w:hAnsi="Arial" w:cs="Arial"/>
        </w:rPr>
        <w:t>These targets represent our simultaneous commitment to strong corporate growth and considerable environmental impact (IRENA, 2021).</w:t>
      </w:r>
    </w:p>
    <w:p w14:paraId="163D8210" w14:textId="026EB851"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t>Business Description</w:t>
      </w:r>
    </w:p>
    <w:p w14:paraId="586BE883" w14:textId="77777777" w:rsidR="00323E3A" w:rsidRDefault="00323E3A" w:rsidP="00323E3A">
      <w:pPr>
        <w:spacing w:line="480" w:lineRule="auto"/>
        <w:jc w:val="both"/>
        <w:rPr>
          <w:rFonts w:ascii="Arial" w:hAnsi="Arial" w:cs="Arial"/>
        </w:rPr>
      </w:pPr>
      <w:r w:rsidRPr="00323E3A">
        <w:rPr>
          <w:rFonts w:ascii="Arial" w:hAnsi="Arial" w:cs="Arial"/>
        </w:rPr>
        <w:t xml:space="preserve">GreenFuture Energy will design, build, and operate renewable energy projects, with a primary focus on solar PV systems and energy storage. The company's business approach is based on offering complete solutions, including site evaluation and design, </w:t>
      </w:r>
      <w:r w:rsidRPr="00323E3A">
        <w:rPr>
          <w:rFonts w:ascii="Arial" w:hAnsi="Arial" w:cs="Arial"/>
        </w:rPr>
        <w:lastRenderedPageBreak/>
        <w:t>installation, grid integration, and maintenance. We aspire to provide dependable power solutions to commercial, municipal, and community consumers, establishing ourselves as a one-stop clean energy supplier.</w:t>
      </w:r>
    </w:p>
    <w:p w14:paraId="3679B0FA" w14:textId="20041A26"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t>Renewable Energy: Technology and Operations</w:t>
      </w:r>
    </w:p>
    <w:p w14:paraId="75872814" w14:textId="77777777" w:rsidR="00323E3A" w:rsidRPr="00323E3A" w:rsidRDefault="00323E3A" w:rsidP="00323E3A">
      <w:pPr>
        <w:spacing w:line="480" w:lineRule="auto"/>
        <w:jc w:val="both"/>
        <w:rPr>
          <w:rFonts w:ascii="Arial" w:hAnsi="Arial" w:cs="Arial"/>
        </w:rPr>
      </w:pPr>
      <w:r w:rsidRPr="00323E3A">
        <w:rPr>
          <w:rFonts w:ascii="Arial" w:hAnsi="Arial" w:cs="Arial"/>
        </w:rPr>
        <w:t>We will use high-efficiency solar panels combined with lithium-ion battery storage to ensure a consistent energy supply even when sunlight is intermittent. Over the last decade, advances in PV technology have cut solar costs by about 85% (IRENA, 2021), while energy storage costs have also decreased (IEA, 2022). Our integrated systems maximise energy yield and reliability by utilising smart inverters and IoT-based monitoring. The combination of hardware and software enables dynamic performance optimisation and real-time issue solutions.</w:t>
      </w:r>
    </w:p>
    <w:p w14:paraId="38A26A94" w14:textId="77777777"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t>Sustainability and Impact</w:t>
      </w:r>
    </w:p>
    <w:p w14:paraId="49DF8422" w14:textId="77777777" w:rsidR="00323E3A" w:rsidRPr="00323E3A" w:rsidRDefault="00323E3A" w:rsidP="00323E3A">
      <w:pPr>
        <w:spacing w:line="480" w:lineRule="auto"/>
        <w:jc w:val="both"/>
        <w:rPr>
          <w:rFonts w:ascii="Arial" w:hAnsi="Arial" w:cs="Arial"/>
        </w:rPr>
      </w:pPr>
      <w:r w:rsidRPr="00323E3A">
        <w:rPr>
          <w:rFonts w:ascii="Arial" w:hAnsi="Arial" w:cs="Arial"/>
        </w:rPr>
        <w:t>Sustainability is integrated into our operational framework. We are devoted to ethical sourcing of solar panels and other supplies, working only with suppliers who follow ecologically acceptable procedures. Our artworks are designed to reduce land use conflicts by prioritising rooftops or damaged areas over perfect natural environments. Furthermore, we have created an end-of-life plan for equipment recycling and reuse. Through these measures, each project not only provides renewable energy but also represents environmentally friendly best practices (IEA, 2022).</w:t>
      </w:r>
    </w:p>
    <w:p w14:paraId="1E7FD48F" w14:textId="71C83E08"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t>Goals &amp; Objectives</w:t>
      </w:r>
    </w:p>
    <w:p w14:paraId="290A24D4" w14:textId="77777777" w:rsidR="00323E3A" w:rsidRPr="00323E3A" w:rsidRDefault="00323E3A" w:rsidP="00323E3A">
      <w:pPr>
        <w:spacing w:line="480" w:lineRule="auto"/>
        <w:jc w:val="both"/>
        <w:rPr>
          <w:rFonts w:ascii="Arial" w:hAnsi="Arial" w:cs="Arial"/>
        </w:rPr>
      </w:pPr>
      <w:r w:rsidRPr="00323E3A">
        <w:rPr>
          <w:rFonts w:ascii="Arial" w:hAnsi="Arial" w:cs="Arial"/>
        </w:rPr>
        <w:t>GreenFuture Energy has developed specific short- and long-term objectives to ensure organised growth and demonstrable environmental effect.</w:t>
      </w:r>
    </w:p>
    <w:p w14:paraId="278D1955" w14:textId="77777777" w:rsidR="00323E3A" w:rsidRPr="00323E3A" w:rsidRDefault="00323E3A" w:rsidP="00323E3A">
      <w:pPr>
        <w:spacing w:line="480" w:lineRule="auto"/>
        <w:jc w:val="both"/>
        <w:rPr>
          <w:rFonts w:ascii="Arial" w:hAnsi="Arial" w:cs="Arial"/>
        </w:rPr>
      </w:pPr>
      <w:r w:rsidRPr="00323E3A">
        <w:rPr>
          <w:rFonts w:ascii="Arial" w:hAnsi="Arial" w:cs="Arial"/>
        </w:rPr>
        <w:t>Short-Term Goals (1-2 years)</w:t>
      </w:r>
    </w:p>
    <w:p w14:paraId="6B119D1B" w14:textId="1AFDA8A5"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lastRenderedPageBreak/>
        <w:t>Establish operations</w:t>
      </w:r>
    </w:p>
    <w:p w14:paraId="29208FBD" w14:textId="77777777" w:rsidR="00323E3A" w:rsidRPr="00323E3A" w:rsidRDefault="00323E3A" w:rsidP="00323E3A">
      <w:pPr>
        <w:pStyle w:val="ListParagraph"/>
        <w:numPr>
          <w:ilvl w:val="0"/>
          <w:numId w:val="2"/>
        </w:numPr>
        <w:spacing w:line="480" w:lineRule="auto"/>
        <w:jc w:val="both"/>
        <w:rPr>
          <w:rFonts w:ascii="Arial" w:hAnsi="Arial" w:cs="Arial"/>
        </w:rPr>
      </w:pPr>
      <w:r w:rsidRPr="00323E3A">
        <w:rPr>
          <w:rFonts w:ascii="Arial" w:hAnsi="Arial" w:cs="Arial"/>
        </w:rPr>
        <w:t>Formally establish business headquarters, obtain permits, and launch the trial project.</w:t>
      </w:r>
    </w:p>
    <w:p w14:paraId="61371E86" w14:textId="77777777" w:rsidR="00323E3A" w:rsidRPr="00323E3A" w:rsidRDefault="00323E3A" w:rsidP="00323E3A">
      <w:pPr>
        <w:pStyle w:val="ListParagraph"/>
        <w:numPr>
          <w:ilvl w:val="0"/>
          <w:numId w:val="2"/>
        </w:numPr>
        <w:spacing w:line="480" w:lineRule="auto"/>
        <w:jc w:val="both"/>
        <w:rPr>
          <w:rFonts w:ascii="Arial" w:hAnsi="Arial" w:cs="Arial"/>
        </w:rPr>
      </w:pPr>
      <w:r w:rsidRPr="00323E3A">
        <w:rPr>
          <w:rFonts w:ascii="Arial" w:hAnsi="Arial" w:cs="Arial"/>
        </w:rPr>
        <w:t>Recruit a core group of engineers, technicians, and support personnel.</w:t>
      </w:r>
    </w:p>
    <w:p w14:paraId="1A9AE4DB" w14:textId="2098A4F9"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t>Secure Funding</w:t>
      </w:r>
    </w:p>
    <w:p w14:paraId="187CC678" w14:textId="77777777" w:rsidR="00323E3A" w:rsidRPr="00323E3A" w:rsidRDefault="00323E3A" w:rsidP="00323E3A">
      <w:pPr>
        <w:pStyle w:val="ListParagraph"/>
        <w:numPr>
          <w:ilvl w:val="0"/>
          <w:numId w:val="3"/>
        </w:numPr>
        <w:spacing w:line="480" w:lineRule="auto"/>
        <w:jc w:val="both"/>
        <w:rPr>
          <w:rFonts w:ascii="Arial" w:hAnsi="Arial" w:cs="Arial"/>
        </w:rPr>
      </w:pPr>
      <w:r w:rsidRPr="00323E3A">
        <w:rPr>
          <w:rFonts w:ascii="Arial" w:hAnsi="Arial" w:cs="Arial"/>
        </w:rPr>
        <w:t>Raise an initial capital of £2-3 million by combining angel investors, venture capital, and government subsidies.</w:t>
      </w:r>
    </w:p>
    <w:p w14:paraId="05D69668" w14:textId="77777777" w:rsidR="00323E3A" w:rsidRPr="00323E3A" w:rsidRDefault="00323E3A" w:rsidP="00323E3A">
      <w:pPr>
        <w:pStyle w:val="ListParagraph"/>
        <w:numPr>
          <w:ilvl w:val="0"/>
          <w:numId w:val="3"/>
        </w:numPr>
        <w:spacing w:line="480" w:lineRule="auto"/>
        <w:jc w:val="both"/>
        <w:rPr>
          <w:rFonts w:ascii="Arial" w:hAnsi="Arial" w:cs="Arial"/>
        </w:rPr>
      </w:pPr>
      <w:r w:rsidRPr="00323E3A">
        <w:rPr>
          <w:rFonts w:ascii="Arial" w:hAnsi="Arial" w:cs="Arial"/>
        </w:rPr>
        <w:t>Use available incentives and tax credits to lower net capital requirements (Climate Action Tracker, 2023).</w:t>
      </w:r>
    </w:p>
    <w:p w14:paraId="1454B8B9" w14:textId="454A4632" w:rsidR="00323E3A" w:rsidRPr="00323E3A" w:rsidRDefault="00323E3A" w:rsidP="00323E3A">
      <w:pPr>
        <w:spacing w:line="480" w:lineRule="auto"/>
        <w:jc w:val="both"/>
        <w:rPr>
          <w:rFonts w:ascii="Arial Black" w:hAnsi="Arial Black" w:cs="Arial"/>
          <w:color w:val="45B0E1" w:themeColor="accent1" w:themeTint="99"/>
        </w:rPr>
      </w:pPr>
      <w:r w:rsidRPr="00323E3A">
        <w:rPr>
          <w:rFonts w:ascii="Arial Black" w:hAnsi="Arial Black" w:cs="Arial"/>
          <w:color w:val="45B0E1" w:themeColor="accent1" w:themeTint="99"/>
        </w:rPr>
        <w:t>Launch a Pilot Project</w:t>
      </w:r>
    </w:p>
    <w:p w14:paraId="46627AE8" w14:textId="77777777" w:rsidR="00323E3A" w:rsidRPr="00323E3A" w:rsidRDefault="00323E3A" w:rsidP="00323E3A">
      <w:pPr>
        <w:pStyle w:val="ListParagraph"/>
        <w:numPr>
          <w:ilvl w:val="0"/>
          <w:numId w:val="4"/>
        </w:numPr>
        <w:spacing w:line="480" w:lineRule="auto"/>
        <w:jc w:val="both"/>
        <w:rPr>
          <w:rFonts w:ascii="Arial" w:hAnsi="Arial" w:cs="Arial"/>
        </w:rPr>
      </w:pPr>
      <w:r w:rsidRPr="00323E3A">
        <w:rPr>
          <w:rFonts w:ascii="Arial" w:hAnsi="Arial" w:cs="Arial"/>
        </w:rPr>
        <w:t>Complete implementation of a 500-kW solar-plus-storage solution for a specific community or commercial client.</w:t>
      </w:r>
    </w:p>
    <w:p w14:paraId="4B11E88D" w14:textId="77777777" w:rsidR="00323E3A" w:rsidRPr="00323E3A" w:rsidRDefault="00323E3A" w:rsidP="00323E3A">
      <w:pPr>
        <w:pStyle w:val="ListParagraph"/>
        <w:numPr>
          <w:ilvl w:val="0"/>
          <w:numId w:val="4"/>
        </w:numPr>
        <w:spacing w:line="480" w:lineRule="auto"/>
        <w:jc w:val="both"/>
        <w:rPr>
          <w:rFonts w:ascii="Arial" w:hAnsi="Arial" w:cs="Arial"/>
        </w:rPr>
      </w:pPr>
      <w:r w:rsidRPr="00323E3A">
        <w:rPr>
          <w:rFonts w:ascii="Arial" w:hAnsi="Arial" w:cs="Arial"/>
        </w:rPr>
        <w:t>Use this pilot as a showcase to entice potential customers and investors.</w:t>
      </w:r>
    </w:p>
    <w:p w14:paraId="09135400" w14:textId="5E1E9979"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Enhance Brand and Market Presence</w:t>
      </w:r>
    </w:p>
    <w:p w14:paraId="61907FB9" w14:textId="77777777" w:rsidR="00323E3A" w:rsidRPr="00CF708A" w:rsidRDefault="00323E3A" w:rsidP="00CF708A">
      <w:pPr>
        <w:pStyle w:val="ListParagraph"/>
        <w:numPr>
          <w:ilvl w:val="0"/>
          <w:numId w:val="5"/>
        </w:numPr>
        <w:spacing w:line="480" w:lineRule="auto"/>
        <w:jc w:val="both"/>
        <w:rPr>
          <w:rFonts w:ascii="Arial" w:hAnsi="Arial" w:cs="Arial"/>
        </w:rPr>
      </w:pPr>
      <w:r w:rsidRPr="00CF708A">
        <w:rPr>
          <w:rFonts w:ascii="Arial" w:hAnsi="Arial" w:cs="Arial"/>
        </w:rPr>
        <w:t>Develop a full internet presence and create marketing materials.</w:t>
      </w:r>
    </w:p>
    <w:p w14:paraId="7F80D8BC" w14:textId="77777777" w:rsidR="00323E3A" w:rsidRPr="00CF708A" w:rsidRDefault="00323E3A" w:rsidP="00CF708A">
      <w:pPr>
        <w:pStyle w:val="ListParagraph"/>
        <w:numPr>
          <w:ilvl w:val="0"/>
          <w:numId w:val="5"/>
        </w:numPr>
        <w:spacing w:line="480" w:lineRule="auto"/>
        <w:jc w:val="both"/>
        <w:rPr>
          <w:rFonts w:ascii="Arial" w:hAnsi="Arial" w:cs="Arial"/>
        </w:rPr>
      </w:pPr>
      <w:r w:rsidRPr="00CF708A">
        <w:rPr>
          <w:rFonts w:ascii="Arial" w:hAnsi="Arial" w:cs="Arial"/>
        </w:rPr>
        <w:t>Form partnerships with local communities and government agencies.</w:t>
      </w:r>
    </w:p>
    <w:p w14:paraId="0D07A028" w14:textId="77777777"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Long-Term Goals (3-5 years)</w:t>
      </w:r>
    </w:p>
    <w:p w14:paraId="7897DBBF" w14:textId="46A24EF9"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Scale Installed Capacity</w:t>
      </w:r>
    </w:p>
    <w:p w14:paraId="5453B03B" w14:textId="77777777" w:rsidR="00323E3A" w:rsidRPr="00CF708A" w:rsidRDefault="00323E3A" w:rsidP="00CF708A">
      <w:pPr>
        <w:pStyle w:val="ListParagraph"/>
        <w:numPr>
          <w:ilvl w:val="0"/>
          <w:numId w:val="6"/>
        </w:numPr>
        <w:spacing w:line="480" w:lineRule="auto"/>
        <w:jc w:val="both"/>
        <w:rPr>
          <w:rFonts w:ascii="Arial" w:hAnsi="Arial" w:cs="Arial"/>
        </w:rPr>
      </w:pPr>
      <w:r w:rsidRPr="00CF708A">
        <w:rPr>
          <w:rFonts w:ascii="Arial" w:hAnsi="Arial" w:cs="Arial"/>
        </w:rPr>
        <w:t>Expand activities to a total capacity of around 10 MW.</w:t>
      </w:r>
    </w:p>
    <w:p w14:paraId="299CA013" w14:textId="77777777" w:rsidR="00323E3A" w:rsidRPr="00CF708A" w:rsidRDefault="00323E3A" w:rsidP="00CF708A">
      <w:pPr>
        <w:pStyle w:val="ListParagraph"/>
        <w:numPr>
          <w:ilvl w:val="0"/>
          <w:numId w:val="6"/>
        </w:numPr>
        <w:spacing w:line="480" w:lineRule="auto"/>
        <w:jc w:val="both"/>
        <w:rPr>
          <w:rFonts w:ascii="Arial" w:hAnsi="Arial" w:cs="Arial"/>
        </w:rPr>
      </w:pPr>
      <w:r w:rsidRPr="00CF708A">
        <w:rPr>
          <w:rFonts w:ascii="Arial" w:hAnsi="Arial" w:cs="Arial"/>
        </w:rPr>
        <w:t>Diversify project types by entering the commercial and municipal markets.</w:t>
      </w:r>
    </w:p>
    <w:p w14:paraId="5AE55ADD" w14:textId="77777777" w:rsidR="00CF708A" w:rsidRDefault="00CF708A" w:rsidP="00323E3A">
      <w:pPr>
        <w:spacing w:line="480" w:lineRule="auto"/>
        <w:jc w:val="both"/>
        <w:rPr>
          <w:rFonts w:ascii="Arial" w:hAnsi="Arial" w:cs="Arial"/>
        </w:rPr>
      </w:pPr>
    </w:p>
    <w:p w14:paraId="78B5CE2B" w14:textId="2BDBC998"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lastRenderedPageBreak/>
        <w:t>Achieve financial sustainability</w:t>
      </w:r>
    </w:p>
    <w:p w14:paraId="04280ECD" w14:textId="77777777" w:rsidR="00323E3A" w:rsidRPr="00CF708A" w:rsidRDefault="00323E3A" w:rsidP="00CF708A">
      <w:pPr>
        <w:pStyle w:val="ListParagraph"/>
        <w:numPr>
          <w:ilvl w:val="0"/>
          <w:numId w:val="7"/>
        </w:numPr>
        <w:spacing w:line="480" w:lineRule="auto"/>
        <w:jc w:val="both"/>
        <w:rPr>
          <w:rFonts w:ascii="Arial" w:hAnsi="Arial" w:cs="Arial"/>
        </w:rPr>
      </w:pPr>
      <w:r w:rsidRPr="00CF708A">
        <w:rPr>
          <w:rFonts w:ascii="Arial" w:hAnsi="Arial" w:cs="Arial"/>
        </w:rPr>
        <w:t>Transition to positive cash flow by Year 3 through recurring revenue streams from PPAs and maintenance contracts.</w:t>
      </w:r>
    </w:p>
    <w:p w14:paraId="0FCC8CE4" w14:textId="77777777" w:rsidR="00323E3A" w:rsidRPr="00CF708A" w:rsidRDefault="00323E3A" w:rsidP="00CF708A">
      <w:pPr>
        <w:pStyle w:val="ListParagraph"/>
        <w:numPr>
          <w:ilvl w:val="0"/>
          <w:numId w:val="7"/>
        </w:numPr>
        <w:spacing w:line="480" w:lineRule="auto"/>
        <w:jc w:val="both"/>
        <w:rPr>
          <w:rFonts w:ascii="Arial" w:hAnsi="Arial" w:cs="Arial"/>
        </w:rPr>
      </w:pPr>
      <w:r w:rsidRPr="00CF708A">
        <w:rPr>
          <w:rFonts w:ascii="Arial" w:hAnsi="Arial" w:cs="Arial"/>
        </w:rPr>
        <w:t>Achieve a target ROI of 15% or better by year 5.</w:t>
      </w:r>
    </w:p>
    <w:p w14:paraId="3545C612" w14:textId="3540AE50"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Enhance technological capabilities</w:t>
      </w:r>
    </w:p>
    <w:p w14:paraId="4B805AF3" w14:textId="77777777" w:rsidR="00323E3A" w:rsidRPr="00CF708A" w:rsidRDefault="00323E3A" w:rsidP="00CF708A">
      <w:pPr>
        <w:pStyle w:val="ListParagraph"/>
        <w:numPr>
          <w:ilvl w:val="0"/>
          <w:numId w:val="8"/>
        </w:numPr>
        <w:spacing w:line="480" w:lineRule="auto"/>
        <w:jc w:val="both"/>
        <w:rPr>
          <w:rFonts w:ascii="Arial" w:hAnsi="Arial" w:cs="Arial"/>
        </w:rPr>
      </w:pPr>
      <w:r w:rsidRPr="00CF708A">
        <w:rPr>
          <w:rFonts w:ascii="Arial" w:hAnsi="Arial" w:cs="Arial"/>
        </w:rPr>
        <w:t>Integrate AI-powered energy management systems and investigate next-generation storage technologies.</w:t>
      </w:r>
    </w:p>
    <w:p w14:paraId="162DFEF6" w14:textId="77777777" w:rsidR="00323E3A" w:rsidRPr="00CF708A" w:rsidRDefault="00323E3A" w:rsidP="00CF708A">
      <w:pPr>
        <w:pStyle w:val="ListParagraph"/>
        <w:numPr>
          <w:ilvl w:val="0"/>
          <w:numId w:val="8"/>
        </w:numPr>
        <w:spacing w:line="480" w:lineRule="auto"/>
        <w:jc w:val="both"/>
        <w:rPr>
          <w:rFonts w:ascii="Arial" w:hAnsi="Arial" w:cs="Arial"/>
        </w:rPr>
      </w:pPr>
      <w:r w:rsidRPr="00CF708A">
        <w:rPr>
          <w:rFonts w:ascii="Arial" w:hAnsi="Arial" w:cs="Arial"/>
        </w:rPr>
        <w:t>Create customised energy monitoring software to improve system performance.</w:t>
      </w:r>
    </w:p>
    <w:p w14:paraId="7D9ADF4E" w14:textId="508BDD53"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Expand Market Reach</w:t>
      </w:r>
    </w:p>
    <w:p w14:paraId="7541722F" w14:textId="77777777" w:rsidR="00323E3A" w:rsidRPr="00CF708A" w:rsidRDefault="00323E3A" w:rsidP="00CF708A">
      <w:pPr>
        <w:pStyle w:val="ListParagraph"/>
        <w:numPr>
          <w:ilvl w:val="0"/>
          <w:numId w:val="9"/>
        </w:numPr>
        <w:spacing w:line="480" w:lineRule="auto"/>
        <w:jc w:val="both"/>
        <w:rPr>
          <w:rFonts w:ascii="Arial" w:hAnsi="Arial" w:cs="Arial"/>
        </w:rPr>
      </w:pPr>
      <w:r w:rsidRPr="00CF708A">
        <w:rPr>
          <w:rFonts w:ascii="Arial" w:hAnsi="Arial" w:cs="Arial"/>
        </w:rPr>
        <w:t>Enter additional regional markets when regulatory environments improve.</w:t>
      </w:r>
    </w:p>
    <w:p w14:paraId="6AC6749A" w14:textId="77777777" w:rsidR="00323E3A" w:rsidRPr="00CF708A" w:rsidRDefault="00323E3A" w:rsidP="00CF708A">
      <w:pPr>
        <w:pStyle w:val="ListParagraph"/>
        <w:numPr>
          <w:ilvl w:val="0"/>
          <w:numId w:val="9"/>
        </w:numPr>
        <w:spacing w:line="480" w:lineRule="auto"/>
        <w:jc w:val="both"/>
        <w:rPr>
          <w:rFonts w:ascii="Arial" w:hAnsi="Arial" w:cs="Arial"/>
        </w:rPr>
      </w:pPr>
      <w:r w:rsidRPr="00CF708A">
        <w:rPr>
          <w:rFonts w:ascii="Arial" w:hAnsi="Arial" w:cs="Arial"/>
        </w:rPr>
        <w:t>Develop strategic partnerships to gain access to larger-scale projects and utility contracts.</w:t>
      </w:r>
    </w:p>
    <w:p w14:paraId="5A7417C7" w14:textId="372087AA"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Maximise environmental impact</w:t>
      </w:r>
    </w:p>
    <w:p w14:paraId="3412DFD1" w14:textId="77777777" w:rsidR="00323E3A" w:rsidRPr="00CF708A" w:rsidRDefault="00323E3A" w:rsidP="00CF708A">
      <w:pPr>
        <w:pStyle w:val="ListParagraph"/>
        <w:numPr>
          <w:ilvl w:val="0"/>
          <w:numId w:val="10"/>
        </w:numPr>
        <w:spacing w:line="480" w:lineRule="auto"/>
        <w:jc w:val="both"/>
        <w:rPr>
          <w:rFonts w:ascii="Arial" w:hAnsi="Arial" w:cs="Arial"/>
        </w:rPr>
      </w:pPr>
      <w:r w:rsidRPr="00CF708A">
        <w:rPr>
          <w:rFonts w:ascii="Arial" w:hAnsi="Arial" w:cs="Arial"/>
        </w:rPr>
        <w:t>Measure and report on emissions offsets, aiming to reduce over 15,000 tonnes of CO</w:t>
      </w:r>
      <w:r w:rsidRPr="00CF708A">
        <w:rPr>
          <w:rFonts w:ascii="Cambria Math" w:hAnsi="Cambria Math" w:cs="Cambria Math"/>
        </w:rPr>
        <w:t>₂</w:t>
      </w:r>
      <w:r w:rsidRPr="00CF708A">
        <w:rPr>
          <w:rFonts w:ascii="Arial" w:hAnsi="Arial" w:cs="Arial"/>
        </w:rPr>
        <w:t xml:space="preserve"> within five years.</w:t>
      </w:r>
    </w:p>
    <w:p w14:paraId="532116A3" w14:textId="77777777" w:rsidR="00323E3A" w:rsidRPr="00CF708A" w:rsidRDefault="00323E3A" w:rsidP="00CF708A">
      <w:pPr>
        <w:pStyle w:val="ListParagraph"/>
        <w:numPr>
          <w:ilvl w:val="0"/>
          <w:numId w:val="10"/>
        </w:numPr>
        <w:spacing w:line="480" w:lineRule="auto"/>
        <w:jc w:val="both"/>
        <w:rPr>
          <w:rFonts w:ascii="Arial" w:hAnsi="Arial" w:cs="Arial"/>
        </w:rPr>
      </w:pPr>
      <w:r w:rsidRPr="00CF708A">
        <w:rPr>
          <w:rFonts w:ascii="Arial" w:hAnsi="Arial" w:cs="Arial"/>
        </w:rPr>
        <w:t>Invest in community efforts, such as local renewable energy education and training programs, to promote broader environmental benefits (IRENA, 2021; Climate Action Tracker, 2023).</w:t>
      </w:r>
    </w:p>
    <w:p w14:paraId="287C214D" w14:textId="77777777" w:rsidR="00CF708A" w:rsidRDefault="00CF708A" w:rsidP="00323E3A">
      <w:pPr>
        <w:spacing w:line="480" w:lineRule="auto"/>
        <w:jc w:val="both"/>
        <w:rPr>
          <w:rFonts w:ascii="Arial" w:hAnsi="Arial" w:cs="Arial"/>
        </w:rPr>
      </w:pPr>
    </w:p>
    <w:p w14:paraId="1C42779F" w14:textId="77777777" w:rsidR="00CF708A" w:rsidRDefault="00CF708A" w:rsidP="00323E3A">
      <w:pPr>
        <w:spacing w:line="480" w:lineRule="auto"/>
        <w:jc w:val="both"/>
        <w:rPr>
          <w:rFonts w:ascii="Arial" w:hAnsi="Arial" w:cs="Arial"/>
        </w:rPr>
      </w:pPr>
    </w:p>
    <w:p w14:paraId="376E5085" w14:textId="3D165187"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lastRenderedPageBreak/>
        <w:t>Resources Required</w:t>
      </w:r>
    </w:p>
    <w:p w14:paraId="1E13C7F9" w14:textId="77777777"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Physical Resources</w:t>
      </w:r>
    </w:p>
    <w:p w14:paraId="77EB6422" w14:textId="183B5A3E"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Land and Facility</w:t>
      </w:r>
    </w:p>
    <w:p w14:paraId="1C6D73E6" w14:textId="77777777" w:rsidR="00323E3A" w:rsidRPr="00323E3A" w:rsidRDefault="00323E3A" w:rsidP="00323E3A">
      <w:pPr>
        <w:spacing w:line="480" w:lineRule="auto"/>
        <w:jc w:val="both"/>
        <w:rPr>
          <w:rFonts w:ascii="Arial" w:hAnsi="Arial" w:cs="Arial"/>
        </w:rPr>
      </w:pPr>
      <w:r w:rsidRPr="00323E3A">
        <w:rPr>
          <w:rFonts w:ascii="Arial" w:hAnsi="Arial" w:cs="Arial"/>
        </w:rPr>
        <w:t>Secure adequate land for ground-mounted installations or rooftop locations in metropolitan areas. Initial projects may necessitate 2-3 acres of land with ample solar irradiation. Future expansions will make use of leased or purchased land in strategic places.</w:t>
      </w:r>
    </w:p>
    <w:p w14:paraId="6BCD0785" w14:textId="3244108A"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Equipment and Technology</w:t>
      </w:r>
    </w:p>
    <w:p w14:paraId="33A66823" w14:textId="77777777" w:rsidR="00323E3A" w:rsidRPr="00323E3A" w:rsidRDefault="00323E3A" w:rsidP="00323E3A">
      <w:pPr>
        <w:spacing w:line="480" w:lineRule="auto"/>
        <w:jc w:val="both"/>
        <w:rPr>
          <w:rFonts w:ascii="Arial" w:hAnsi="Arial" w:cs="Arial"/>
        </w:rPr>
      </w:pPr>
      <w:r w:rsidRPr="00323E3A">
        <w:rPr>
          <w:rFonts w:ascii="Arial" w:hAnsi="Arial" w:cs="Arial"/>
        </w:rPr>
        <w:t>Purchase high-efficiency solar panels, mounting solutions, smart inverters, and lithium-ion battery banks. A 1 MW solar project typically requires 3,000 to 4,000 panels (Coldwell Solar, 2023). Investing in modern monitoring systems and IoT devices is also necessary.</w:t>
      </w:r>
    </w:p>
    <w:p w14:paraId="1EAF108A" w14:textId="192AA097"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Office and Transportation</w:t>
      </w:r>
    </w:p>
    <w:p w14:paraId="3D1A3E0C" w14:textId="77777777" w:rsidR="00323E3A" w:rsidRPr="00323E3A" w:rsidRDefault="00323E3A" w:rsidP="00323E3A">
      <w:pPr>
        <w:spacing w:line="480" w:lineRule="auto"/>
        <w:jc w:val="both"/>
        <w:rPr>
          <w:rFonts w:ascii="Arial" w:hAnsi="Arial" w:cs="Arial"/>
        </w:rPr>
      </w:pPr>
      <w:r w:rsidRPr="00323E3A">
        <w:rPr>
          <w:rFonts w:ascii="Arial" w:hAnsi="Arial" w:cs="Arial"/>
        </w:rPr>
        <w:t>Create an office with the required IT infrastructure and keep a limited number of vehicles (vans/trucks) for installation and maintenance work.</w:t>
      </w:r>
    </w:p>
    <w:p w14:paraId="37125636" w14:textId="77777777"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Human Resources</w:t>
      </w:r>
    </w:p>
    <w:p w14:paraId="5582154E" w14:textId="11CB4BAE"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Technical Team</w:t>
      </w:r>
    </w:p>
    <w:p w14:paraId="7A783A4F" w14:textId="77777777" w:rsidR="00323E3A" w:rsidRPr="00323E3A" w:rsidRDefault="00323E3A" w:rsidP="00323E3A">
      <w:pPr>
        <w:spacing w:line="480" w:lineRule="auto"/>
        <w:jc w:val="both"/>
        <w:rPr>
          <w:rFonts w:ascii="Arial" w:hAnsi="Arial" w:cs="Arial"/>
        </w:rPr>
      </w:pPr>
      <w:r w:rsidRPr="00323E3A">
        <w:rPr>
          <w:rFonts w:ascii="Arial" w:hAnsi="Arial" w:cs="Arial"/>
        </w:rPr>
        <w:t>Hire skilled electrical and civil engineers, qualified solar technicians, and maintenance specialists. Initially, the team will consist of 2-3 engineers and 4-6 technicians.</w:t>
      </w:r>
    </w:p>
    <w:p w14:paraId="7161D4E5" w14:textId="77777777" w:rsidR="00323E3A" w:rsidRPr="00323E3A" w:rsidRDefault="00323E3A" w:rsidP="00323E3A">
      <w:pPr>
        <w:spacing w:line="480" w:lineRule="auto"/>
        <w:jc w:val="both"/>
        <w:rPr>
          <w:rFonts w:ascii="Arial" w:hAnsi="Arial" w:cs="Arial"/>
        </w:rPr>
      </w:pPr>
    </w:p>
    <w:p w14:paraId="51313A1E" w14:textId="77CD51F2"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lastRenderedPageBreak/>
        <w:t>Management Team</w:t>
      </w:r>
    </w:p>
    <w:p w14:paraId="688F8483" w14:textId="3943C445" w:rsidR="00323E3A" w:rsidRPr="00323E3A" w:rsidRDefault="00323E3A" w:rsidP="00323E3A">
      <w:pPr>
        <w:spacing w:line="480" w:lineRule="auto"/>
        <w:jc w:val="both"/>
        <w:rPr>
          <w:rFonts w:ascii="Arial" w:hAnsi="Arial" w:cs="Arial"/>
        </w:rPr>
      </w:pPr>
      <w:r w:rsidRPr="00323E3A">
        <w:rPr>
          <w:rFonts w:ascii="Arial" w:hAnsi="Arial" w:cs="Arial"/>
        </w:rPr>
        <w:t xml:space="preserve">Create a leadership team that includes positions such as CEO, CFO, Project Manager, and Operations Manager. These personnel will </w:t>
      </w:r>
      <w:r w:rsidR="00CF708A" w:rsidRPr="00323E3A">
        <w:rPr>
          <w:rFonts w:ascii="Arial" w:hAnsi="Arial" w:cs="Arial"/>
        </w:rPr>
        <w:t>oversee</w:t>
      </w:r>
      <w:r w:rsidRPr="00323E3A">
        <w:rPr>
          <w:rFonts w:ascii="Arial" w:hAnsi="Arial" w:cs="Arial"/>
        </w:rPr>
        <w:t xml:space="preserve"> making strategic decisions, managing finances, and overseeing operations.</w:t>
      </w:r>
    </w:p>
    <w:p w14:paraId="52DE2EA8" w14:textId="46F7CB77"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Sales &amp; Marketing Personnel</w:t>
      </w:r>
    </w:p>
    <w:p w14:paraId="30B0BF0B" w14:textId="77777777" w:rsidR="00323E3A" w:rsidRPr="00323E3A" w:rsidRDefault="00323E3A" w:rsidP="00323E3A">
      <w:pPr>
        <w:spacing w:line="480" w:lineRule="auto"/>
        <w:jc w:val="both"/>
        <w:rPr>
          <w:rFonts w:ascii="Arial" w:hAnsi="Arial" w:cs="Arial"/>
        </w:rPr>
      </w:pPr>
      <w:r w:rsidRPr="00323E3A">
        <w:rPr>
          <w:rFonts w:ascii="Arial" w:hAnsi="Arial" w:cs="Arial"/>
        </w:rPr>
        <w:t>Recruit 1-2 business development professionals and a marketing coordinator to help increase sales, maintain client relationships, and handle promotional campaigns.</w:t>
      </w:r>
    </w:p>
    <w:p w14:paraId="4F6479CB" w14:textId="66344F8A" w:rsidR="00323E3A" w:rsidRPr="00CF708A" w:rsidRDefault="00323E3A" w:rsidP="00323E3A">
      <w:pPr>
        <w:spacing w:line="480" w:lineRule="auto"/>
        <w:jc w:val="both"/>
        <w:rPr>
          <w:rFonts w:ascii="Arial Black" w:hAnsi="Arial Black" w:cs="Arial"/>
          <w:color w:val="45B0E1" w:themeColor="accent1" w:themeTint="99"/>
        </w:rPr>
      </w:pPr>
      <w:r w:rsidRPr="00CF708A">
        <w:rPr>
          <w:rFonts w:ascii="Arial Black" w:hAnsi="Arial Black" w:cs="Arial"/>
          <w:color w:val="45B0E1" w:themeColor="accent1" w:themeTint="99"/>
        </w:rPr>
        <w:t>Administrative Support</w:t>
      </w:r>
    </w:p>
    <w:p w14:paraId="5CA139D6" w14:textId="77777777" w:rsidR="00323E3A" w:rsidRPr="00323E3A" w:rsidRDefault="00323E3A" w:rsidP="00323E3A">
      <w:pPr>
        <w:spacing w:line="480" w:lineRule="auto"/>
        <w:jc w:val="both"/>
        <w:rPr>
          <w:rFonts w:ascii="Arial" w:hAnsi="Arial" w:cs="Arial"/>
        </w:rPr>
      </w:pPr>
      <w:r w:rsidRPr="00323E3A">
        <w:rPr>
          <w:rFonts w:ascii="Arial" w:hAnsi="Arial" w:cs="Arial"/>
        </w:rPr>
        <w:t>Employ administrative staff to handle day-to-day operations, scheduling, and logistics, with assistance from external legal and accounting advisers.</w:t>
      </w:r>
    </w:p>
    <w:p w14:paraId="6DD627BD" w14:textId="77777777" w:rsidR="00323E3A" w:rsidRPr="00595179" w:rsidRDefault="00323E3A" w:rsidP="00323E3A">
      <w:pPr>
        <w:spacing w:line="480" w:lineRule="auto"/>
        <w:jc w:val="both"/>
        <w:rPr>
          <w:rFonts w:ascii="Arial Black" w:hAnsi="Arial Black" w:cs="Arial"/>
          <w:color w:val="45B0E1" w:themeColor="accent1" w:themeTint="99"/>
        </w:rPr>
      </w:pPr>
      <w:r w:rsidRPr="00595179">
        <w:rPr>
          <w:rFonts w:ascii="Arial Black" w:hAnsi="Arial Black" w:cs="Arial"/>
          <w:color w:val="45B0E1" w:themeColor="accent1" w:themeTint="99"/>
        </w:rPr>
        <w:t>Financial Resources</w:t>
      </w:r>
    </w:p>
    <w:p w14:paraId="4BBF6E80" w14:textId="6F119145" w:rsidR="00323E3A" w:rsidRPr="00595179" w:rsidRDefault="00323E3A" w:rsidP="00323E3A">
      <w:pPr>
        <w:spacing w:line="480" w:lineRule="auto"/>
        <w:jc w:val="both"/>
        <w:rPr>
          <w:rFonts w:ascii="Arial Black" w:hAnsi="Arial Black" w:cs="Arial"/>
          <w:color w:val="45B0E1" w:themeColor="accent1" w:themeTint="99"/>
        </w:rPr>
      </w:pPr>
      <w:r w:rsidRPr="00595179">
        <w:rPr>
          <w:rFonts w:ascii="Arial Black" w:hAnsi="Arial Black" w:cs="Arial"/>
          <w:color w:val="45B0E1" w:themeColor="accent1" w:themeTint="99"/>
        </w:rPr>
        <w:t>Startup Capital</w:t>
      </w:r>
    </w:p>
    <w:p w14:paraId="09FF139F" w14:textId="77777777" w:rsidR="00323E3A" w:rsidRPr="00323E3A" w:rsidRDefault="00323E3A" w:rsidP="00323E3A">
      <w:pPr>
        <w:spacing w:line="480" w:lineRule="auto"/>
        <w:jc w:val="both"/>
        <w:rPr>
          <w:rFonts w:ascii="Arial" w:hAnsi="Arial" w:cs="Arial"/>
        </w:rPr>
      </w:pPr>
      <w:r w:rsidRPr="00323E3A">
        <w:rPr>
          <w:rFonts w:ascii="Arial" w:hAnsi="Arial" w:cs="Arial"/>
        </w:rPr>
        <w:t>The project's first development will cost between £2 and £3 million, which will cover things like equipment procurement, installation, permits, and startup fees. This funding will be raised through a mix of stock investments, debt finance, and renewable energy awards.</w:t>
      </w:r>
    </w:p>
    <w:p w14:paraId="3CD6F322" w14:textId="0FFEFC8E" w:rsidR="00323E3A" w:rsidRPr="00595179" w:rsidRDefault="00323E3A" w:rsidP="00323E3A">
      <w:pPr>
        <w:spacing w:line="480" w:lineRule="auto"/>
        <w:jc w:val="both"/>
        <w:rPr>
          <w:rFonts w:ascii="Arial Black" w:hAnsi="Arial Black" w:cs="Arial"/>
          <w:color w:val="45B0E1" w:themeColor="accent1" w:themeTint="99"/>
        </w:rPr>
      </w:pPr>
      <w:r w:rsidRPr="00595179">
        <w:rPr>
          <w:rFonts w:ascii="Arial Black" w:hAnsi="Arial Black" w:cs="Arial"/>
          <w:color w:val="45B0E1" w:themeColor="accent1" w:themeTint="99"/>
        </w:rPr>
        <w:t>Working Capital</w:t>
      </w:r>
    </w:p>
    <w:p w14:paraId="1D3A24E3" w14:textId="77777777" w:rsidR="00323E3A" w:rsidRPr="00323E3A" w:rsidRDefault="00323E3A" w:rsidP="00323E3A">
      <w:pPr>
        <w:spacing w:line="480" w:lineRule="auto"/>
        <w:jc w:val="both"/>
        <w:rPr>
          <w:rFonts w:ascii="Arial" w:hAnsi="Arial" w:cs="Arial"/>
        </w:rPr>
      </w:pPr>
      <w:r w:rsidRPr="00323E3A">
        <w:rPr>
          <w:rFonts w:ascii="Arial" w:hAnsi="Arial" w:cs="Arial"/>
        </w:rPr>
        <w:t>Sufficient working capital is required to cover operating expenses such as payroll, rent, marketing, and upkeep until the business turns cash-flow positive. We intend to establish 18-24 months of operating reserves.</w:t>
      </w:r>
    </w:p>
    <w:p w14:paraId="5AA5E185" w14:textId="77777777" w:rsidR="00323E3A" w:rsidRPr="00323E3A" w:rsidRDefault="00323E3A" w:rsidP="00323E3A">
      <w:pPr>
        <w:spacing w:line="480" w:lineRule="auto"/>
        <w:jc w:val="both"/>
        <w:rPr>
          <w:rFonts w:ascii="Arial" w:hAnsi="Arial" w:cs="Arial"/>
        </w:rPr>
      </w:pPr>
    </w:p>
    <w:p w14:paraId="28C988FA" w14:textId="796AFDC0" w:rsidR="00323E3A" w:rsidRPr="00595179" w:rsidRDefault="00323E3A" w:rsidP="00323E3A">
      <w:pPr>
        <w:spacing w:line="480" w:lineRule="auto"/>
        <w:jc w:val="both"/>
        <w:rPr>
          <w:rFonts w:ascii="Arial Black" w:hAnsi="Arial Black" w:cs="Arial"/>
          <w:color w:val="45B0E1" w:themeColor="accent1" w:themeTint="99"/>
        </w:rPr>
      </w:pPr>
      <w:r w:rsidRPr="00595179">
        <w:rPr>
          <w:rFonts w:ascii="Arial Black" w:hAnsi="Arial Black" w:cs="Arial"/>
          <w:color w:val="45B0E1" w:themeColor="accent1" w:themeTint="99"/>
        </w:rPr>
        <w:lastRenderedPageBreak/>
        <w:t>Funding and Incentives</w:t>
      </w:r>
    </w:p>
    <w:p w14:paraId="5698BA9B" w14:textId="77777777" w:rsidR="00323E3A" w:rsidRPr="00323E3A" w:rsidRDefault="00323E3A" w:rsidP="00323E3A">
      <w:pPr>
        <w:spacing w:line="480" w:lineRule="auto"/>
        <w:jc w:val="both"/>
        <w:rPr>
          <w:rFonts w:ascii="Arial" w:hAnsi="Arial" w:cs="Arial"/>
        </w:rPr>
      </w:pPr>
      <w:r w:rsidRPr="00323E3A">
        <w:rPr>
          <w:rFonts w:ascii="Arial" w:hAnsi="Arial" w:cs="Arial"/>
        </w:rPr>
        <w:t>Our raising funds strategy include angel investors, venture money, and government grants. We will also take advantage of renewable energy incentives, such as those offered in the United States. The Investment Tax Credit (ITC) and equivalent state-level incentives can help to reduce overall costs (IEA, 2022).</w:t>
      </w:r>
    </w:p>
    <w:p w14:paraId="5A500FB9" w14:textId="6F10A057" w:rsidR="00323E3A" w:rsidRPr="00595179" w:rsidRDefault="00323E3A" w:rsidP="00323E3A">
      <w:pPr>
        <w:spacing w:line="480" w:lineRule="auto"/>
        <w:jc w:val="both"/>
        <w:rPr>
          <w:rFonts w:ascii="Arial Black" w:hAnsi="Arial Black" w:cs="Arial"/>
          <w:color w:val="45B0E1" w:themeColor="accent1" w:themeTint="99"/>
        </w:rPr>
      </w:pPr>
      <w:r w:rsidRPr="00595179">
        <w:rPr>
          <w:rFonts w:ascii="Arial Black" w:hAnsi="Arial Black" w:cs="Arial"/>
          <w:color w:val="45B0E1" w:themeColor="accent1" w:themeTint="99"/>
        </w:rPr>
        <w:t>Marketing Strategy</w:t>
      </w:r>
    </w:p>
    <w:p w14:paraId="4C78042C" w14:textId="77777777" w:rsidR="00323E3A" w:rsidRPr="00595179" w:rsidRDefault="00323E3A" w:rsidP="00323E3A">
      <w:pPr>
        <w:spacing w:line="480" w:lineRule="auto"/>
        <w:jc w:val="both"/>
        <w:rPr>
          <w:rFonts w:ascii="Arial Black" w:hAnsi="Arial Black" w:cs="Arial"/>
          <w:color w:val="45B0E1" w:themeColor="accent1" w:themeTint="99"/>
        </w:rPr>
      </w:pPr>
      <w:r w:rsidRPr="00595179">
        <w:rPr>
          <w:rFonts w:ascii="Arial Black" w:hAnsi="Arial Black" w:cs="Arial"/>
          <w:color w:val="45B0E1" w:themeColor="accent1" w:themeTint="99"/>
        </w:rPr>
        <w:t>Target Market and Segmentation</w:t>
      </w:r>
    </w:p>
    <w:p w14:paraId="3344EF44" w14:textId="77777777" w:rsidR="00323E3A" w:rsidRPr="00323E3A" w:rsidRDefault="00323E3A" w:rsidP="00323E3A">
      <w:pPr>
        <w:spacing w:line="480" w:lineRule="auto"/>
        <w:jc w:val="both"/>
        <w:rPr>
          <w:rFonts w:ascii="Arial" w:hAnsi="Arial" w:cs="Arial"/>
        </w:rPr>
      </w:pPr>
      <w:r w:rsidRPr="00323E3A">
        <w:rPr>
          <w:rFonts w:ascii="Arial" w:hAnsi="Arial" w:cs="Arial"/>
        </w:rPr>
        <w:t>GreenFuture Energy will first concentrate on commercial enterprises, municipal agencies, and community projects. The key segments include:</w:t>
      </w:r>
    </w:p>
    <w:p w14:paraId="52AEE4C4" w14:textId="77777777" w:rsidR="00323E3A" w:rsidRPr="0073536B" w:rsidRDefault="00323E3A" w:rsidP="0073536B">
      <w:pPr>
        <w:pStyle w:val="ListParagraph"/>
        <w:numPr>
          <w:ilvl w:val="0"/>
          <w:numId w:val="11"/>
        </w:numPr>
        <w:spacing w:line="480" w:lineRule="auto"/>
        <w:jc w:val="both"/>
        <w:rPr>
          <w:rFonts w:ascii="Arial" w:hAnsi="Arial" w:cs="Arial"/>
        </w:rPr>
      </w:pPr>
      <w:r w:rsidRPr="0073536B">
        <w:rPr>
          <w:rFonts w:ascii="Arial" w:hAnsi="Arial" w:cs="Arial"/>
        </w:rPr>
        <w:t>Commercial Clients: Large offices, warehouses, and industrial facilities with substantial energy requirements and available rooftop or ground space.</w:t>
      </w:r>
    </w:p>
    <w:p w14:paraId="1A8B0A59" w14:textId="77777777" w:rsidR="00323E3A" w:rsidRPr="0073536B" w:rsidRDefault="00323E3A" w:rsidP="0073536B">
      <w:pPr>
        <w:pStyle w:val="ListParagraph"/>
        <w:numPr>
          <w:ilvl w:val="0"/>
          <w:numId w:val="11"/>
        </w:numPr>
        <w:spacing w:line="480" w:lineRule="auto"/>
        <w:jc w:val="both"/>
        <w:rPr>
          <w:rFonts w:ascii="Arial" w:hAnsi="Arial" w:cs="Arial"/>
        </w:rPr>
      </w:pPr>
      <w:r w:rsidRPr="0073536B">
        <w:rPr>
          <w:rFonts w:ascii="Arial" w:hAnsi="Arial" w:cs="Arial"/>
        </w:rPr>
        <w:t>Municipalities and Public Institutions: Schools, hospitals, and government facilities are under growing pressure to satisfy sustainability standards.</w:t>
      </w:r>
    </w:p>
    <w:p w14:paraId="6318B552" w14:textId="77777777" w:rsidR="00323E3A" w:rsidRPr="0073536B" w:rsidRDefault="00323E3A" w:rsidP="0073536B">
      <w:pPr>
        <w:pStyle w:val="ListParagraph"/>
        <w:numPr>
          <w:ilvl w:val="0"/>
          <w:numId w:val="11"/>
        </w:numPr>
        <w:spacing w:line="480" w:lineRule="auto"/>
        <w:jc w:val="both"/>
        <w:rPr>
          <w:rFonts w:ascii="Arial" w:hAnsi="Arial" w:cs="Arial"/>
        </w:rPr>
      </w:pPr>
      <w:r w:rsidRPr="0073536B">
        <w:rPr>
          <w:rFonts w:ascii="Arial" w:hAnsi="Arial" w:cs="Arial"/>
        </w:rPr>
        <w:t>Community Projects: Local energy cooperatives and small towns can benefit from decentralised power generation.</w:t>
      </w:r>
    </w:p>
    <w:p w14:paraId="45F10572" w14:textId="77777777" w:rsidR="00323E3A" w:rsidRPr="00323E3A" w:rsidRDefault="00323E3A" w:rsidP="00323E3A">
      <w:pPr>
        <w:spacing w:line="480" w:lineRule="auto"/>
        <w:jc w:val="both"/>
        <w:rPr>
          <w:rFonts w:ascii="Arial" w:hAnsi="Arial" w:cs="Arial"/>
        </w:rPr>
      </w:pPr>
      <w:r w:rsidRPr="00323E3A">
        <w:rPr>
          <w:rFonts w:ascii="Arial" w:hAnsi="Arial" w:cs="Arial"/>
        </w:rPr>
        <w:t>Market segmentation is based on energy consumption profiles, geography, and willingness to invest in renewable technology (Climate Action Tracker, 2023).</w:t>
      </w:r>
    </w:p>
    <w:p w14:paraId="7E5B1864" w14:textId="77777777" w:rsidR="00323E3A" w:rsidRPr="0073536B" w:rsidRDefault="00323E3A" w:rsidP="00323E3A">
      <w:pPr>
        <w:spacing w:line="480" w:lineRule="auto"/>
        <w:jc w:val="both"/>
        <w:rPr>
          <w:rFonts w:ascii="Arial Black" w:hAnsi="Arial Black" w:cs="Arial"/>
          <w:color w:val="45B0E1" w:themeColor="accent1" w:themeTint="99"/>
        </w:rPr>
      </w:pPr>
      <w:r w:rsidRPr="0073536B">
        <w:rPr>
          <w:rFonts w:ascii="Arial Black" w:hAnsi="Arial Black" w:cs="Arial"/>
          <w:color w:val="45B0E1" w:themeColor="accent1" w:themeTint="99"/>
        </w:rPr>
        <w:t>Pricing Strategy</w:t>
      </w:r>
    </w:p>
    <w:p w14:paraId="07C3B38F" w14:textId="77777777" w:rsidR="00323E3A" w:rsidRPr="00323E3A" w:rsidRDefault="00323E3A" w:rsidP="00323E3A">
      <w:pPr>
        <w:spacing w:line="480" w:lineRule="auto"/>
        <w:jc w:val="both"/>
        <w:rPr>
          <w:rFonts w:ascii="Arial" w:hAnsi="Arial" w:cs="Arial"/>
        </w:rPr>
      </w:pPr>
      <w:r w:rsidRPr="00323E3A">
        <w:rPr>
          <w:rFonts w:ascii="Arial" w:hAnsi="Arial" w:cs="Arial"/>
        </w:rPr>
        <w:t>Our pricing methodology is meant to provide competitive rates while maintaining strong profit margins.</w:t>
      </w:r>
    </w:p>
    <w:p w14:paraId="79CC38E8" w14:textId="77777777" w:rsidR="00323E3A" w:rsidRPr="00323E3A" w:rsidRDefault="00323E3A" w:rsidP="00323E3A">
      <w:pPr>
        <w:spacing w:line="480" w:lineRule="auto"/>
        <w:jc w:val="both"/>
        <w:rPr>
          <w:rFonts w:ascii="Arial" w:hAnsi="Arial" w:cs="Arial"/>
        </w:rPr>
      </w:pPr>
    </w:p>
    <w:p w14:paraId="2AB012D2" w14:textId="1422B891" w:rsidR="00323E3A" w:rsidRPr="0073536B" w:rsidRDefault="00323E3A" w:rsidP="00323E3A">
      <w:pPr>
        <w:spacing w:line="480" w:lineRule="auto"/>
        <w:jc w:val="both"/>
        <w:rPr>
          <w:rFonts w:ascii="Arial Black" w:hAnsi="Arial Black" w:cs="Arial"/>
          <w:color w:val="45B0E1" w:themeColor="accent1" w:themeTint="99"/>
        </w:rPr>
      </w:pPr>
      <w:r w:rsidRPr="0073536B">
        <w:rPr>
          <w:rFonts w:ascii="Arial Black" w:hAnsi="Arial Black" w:cs="Arial"/>
          <w:color w:val="45B0E1" w:themeColor="accent1" w:themeTint="99"/>
        </w:rPr>
        <w:lastRenderedPageBreak/>
        <w:t>Power Purchase Agreements (PPA)</w:t>
      </w:r>
    </w:p>
    <w:p w14:paraId="3FCEC38D" w14:textId="77777777" w:rsidR="00323E3A" w:rsidRPr="00323E3A" w:rsidRDefault="00323E3A" w:rsidP="00323E3A">
      <w:pPr>
        <w:spacing w:line="480" w:lineRule="auto"/>
        <w:jc w:val="both"/>
        <w:rPr>
          <w:rFonts w:ascii="Arial" w:hAnsi="Arial" w:cs="Arial"/>
        </w:rPr>
      </w:pPr>
      <w:r w:rsidRPr="00323E3A">
        <w:rPr>
          <w:rFonts w:ascii="Arial" w:hAnsi="Arial" w:cs="Arial"/>
        </w:rPr>
        <w:t>Offer fixed-rate electricity supply contracts at a lower cost than current grid pricing, saving customers 10-20% on their energy bills.</w:t>
      </w:r>
    </w:p>
    <w:p w14:paraId="7A30DA13" w14:textId="130F5597" w:rsidR="00323E3A" w:rsidRPr="0073536B" w:rsidRDefault="00323E3A" w:rsidP="00323E3A">
      <w:pPr>
        <w:spacing w:line="480" w:lineRule="auto"/>
        <w:jc w:val="both"/>
        <w:rPr>
          <w:rFonts w:ascii="Arial Black" w:hAnsi="Arial Black" w:cs="Arial"/>
          <w:color w:val="45B0E1" w:themeColor="accent1" w:themeTint="99"/>
        </w:rPr>
      </w:pPr>
      <w:r w:rsidRPr="0073536B">
        <w:rPr>
          <w:rFonts w:ascii="Arial Black" w:hAnsi="Arial Black" w:cs="Arial"/>
          <w:color w:val="45B0E1" w:themeColor="accent1" w:themeTint="99"/>
        </w:rPr>
        <w:t>Direct Installation Sales</w:t>
      </w:r>
    </w:p>
    <w:p w14:paraId="3F2B13A6" w14:textId="77777777" w:rsidR="00323E3A" w:rsidRPr="00323E3A" w:rsidRDefault="00323E3A" w:rsidP="00323E3A">
      <w:pPr>
        <w:spacing w:line="480" w:lineRule="auto"/>
        <w:jc w:val="both"/>
        <w:rPr>
          <w:rFonts w:ascii="Arial" w:hAnsi="Arial" w:cs="Arial"/>
        </w:rPr>
      </w:pPr>
      <w:r w:rsidRPr="00323E3A">
        <w:rPr>
          <w:rFonts w:ascii="Arial" w:hAnsi="Arial" w:cs="Arial"/>
        </w:rPr>
        <w:t>Prices for systems are per-watt, with financing alternatives such as leases or loans available to decrease upfront expenses.</w:t>
      </w:r>
    </w:p>
    <w:p w14:paraId="729D8DCF" w14:textId="749133F1" w:rsidR="00323E3A" w:rsidRPr="0073536B" w:rsidRDefault="00323E3A" w:rsidP="00323E3A">
      <w:pPr>
        <w:spacing w:line="480" w:lineRule="auto"/>
        <w:jc w:val="both"/>
        <w:rPr>
          <w:rFonts w:ascii="Arial Black" w:hAnsi="Arial Black" w:cs="Arial"/>
          <w:color w:val="45B0E1" w:themeColor="accent1" w:themeTint="99"/>
        </w:rPr>
      </w:pPr>
      <w:r w:rsidRPr="0073536B">
        <w:rPr>
          <w:rFonts w:ascii="Arial Black" w:hAnsi="Arial Black" w:cs="Arial"/>
          <w:color w:val="45B0E1" w:themeColor="accent1" w:themeTint="99"/>
        </w:rPr>
        <w:t>Maintenance contracts</w:t>
      </w:r>
    </w:p>
    <w:p w14:paraId="21563B7B" w14:textId="77777777" w:rsidR="00323E3A" w:rsidRPr="00323E3A" w:rsidRDefault="00323E3A" w:rsidP="00323E3A">
      <w:pPr>
        <w:spacing w:line="480" w:lineRule="auto"/>
        <w:jc w:val="both"/>
        <w:rPr>
          <w:rFonts w:ascii="Arial" w:hAnsi="Arial" w:cs="Arial"/>
        </w:rPr>
      </w:pPr>
      <w:r w:rsidRPr="00323E3A">
        <w:rPr>
          <w:rFonts w:ascii="Arial" w:hAnsi="Arial" w:cs="Arial"/>
        </w:rPr>
        <w:t>To generate recurring revenue, provide service agreements at a percentage of the installation cost (often 1-2% each year).</w:t>
      </w:r>
    </w:p>
    <w:p w14:paraId="0434AC23" w14:textId="77777777" w:rsidR="00323E3A" w:rsidRPr="00323E3A" w:rsidRDefault="00323E3A" w:rsidP="00323E3A">
      <w:pPr>
        <w:spacing w:line="480" w:lineRule="auto"/>
        <w:jc w:val="both"/>
        <w:rPr>
          <w:rFonts w:ascii="Arial" w:hAnsi="Arial" w:cs="Arial"/>
        </w:rPr>
      </w:pPr>
      <w:r w:rsidRPr="00323E3A">
        <w:rPr>
          <w:rFonts w:ascii="Arial" w:hAnsi="Arial" w:cs="Arial"/>
        </w:rPr>
        <w:t>Our pricing strategy, which emphasises cost savings and long-term stability, satisfies both economic and sustainability concerns.</w:t>
      </w:r>
    </w:p>
    <w:p w14:paraId="1FE1B3B5" w14:textId="4487A0DE" w:rsidR="00323E3A" w:rsidRPr="0073536B" w:rsidRDefault="00323E3A" w:rsidP="00323E3A">
      <w:pPr>
        <w:spacing w:line="480" w:lineRule="auto"/>
        <w:jc w:val="both"/>
        <w:rPr>
          <w:rFonts w:ascii="Arial Black" w:hAnsi="Arial Black" w:cs="Arial"/>
          <w:color w:val="45B0E1" w:themeColor="accent1" w:themeTint="99"/>
        </w:rPr>
      </w:pPr>
      <w:r w:rsidRPr="0073536B">
        <w:rPr>
          <w:rFonts w:ascii="Arial Black" w:hAnsi="Arial Black" w:cs="Arial"/>
          <w:color w:val="45B0E1" w:themeColor="accent1" w:themeTint="99"/>
        </w:rPr>
        <w:t>Promotional Activities</w:t>
      </w:r>
    </w:p>
    <w:p w14:paraId="30B7E279" w14:textId="77777777" w:rsidR="00323E3A" w:rsidRPr="00323E3A" w:rsidRDefault="00323E3A" w:rsidP="00323E3A">
      <w:pPr>
        <w:spacing w:line="480" w:lineRule="auto"/>
        <w:jc w:val="both"/>
        <w:rPr>
          <w:rFonts w:ascii="Arial" w:hAnsi="Arial" w:cs="Arial"/>
        </w:rPr>
      </w:pPr>
      <w:r w:rsidRPr="00323E3A">
        <w:rPr>
          <w:rFonts w:ascii="Arial" w:hAnsi="Arial" w:cs="Arial"/>
        </w:rPr>
        <w:t>Our promotional plan uses a combination of digital and traditional marketing methods:</w:t>
      </w:r>
    </w:p>
    <w:p w14:paraId="79AE0D0E" w14:textId="167D7E5E" w:rsidR="00323E3A" w:rsidRPr="0073536B" w:rsidRDefault="00323E3A" w:rsidP="0073536B">
      <w:pPr>
        <w:pStyle w:val="ListParagraph"/>
        <w:numPr>
          <w:ilvl w:val="0"/>
          <w:numId w:val="12"/>
        </w:numPr>
        <w:spacing w:line="480" w:lineRule="auto"/>
        <w:jc w:val="both"/>
        <w:rPr>
          <w:rFonts w:ascii="Arial" w:hAnsi="Arial" w:cs="Arial"/>
          <w:color w:val="000000" w:themeColor="text1"/>
        </w:rPr>
      </w:pPr>
      <w:r w:rsidRPr="0073536B">
        <w:rPr>
          <w:rFonts w:ascii="Arial" w:hAnsi="Arial" w:cs="Arial"/>
          <w:color w:val="000000" w:themeColor="text1"/>
        </w:rPr>
        <w:t>Digital marketing</w:t>
      </w:r>
      <w:r w:rsidR="0073536B" w:rsidRPr="0073536B">
        <w:rPr>
          <w:rFonts w:ascii="Arial" w:hAnsi="Arial" w:cs="Arial"/>
          <w:color w:val="000000" w:themeColor="text1"/>
        </w:rPr>
        <w:t xml:space="preserve">: </w:t>
      </w:r>
      <w:r w:rsidRPr="0073536B">
        <w:rPr>
          <w:rFonts w:ascii="Arial" w:hAnsi="Arial" w:cs="Arial"/>
        </w:rPr>
        <w:t>Create a professional website, implement SEO and content marketing strategies, and use social media platforms to promote success stories and instructional content. Online advertisements will target businesses looking for sustainable energy solutions.</w:t>
      </w:r>
    </w:p>
    <w:p w14:paraId="66DF1168" w14:textId="40F2BFE3" w:rsidR="00323E3A" w:rsidRPr="0073536B" w:rsidRDefault="00323E3A" w:rsidP="0073536B">
      <w:pPr>
        <w:pStyle w:val="ListParagraph"/>
        <w:numPr>
          <w:ilvl w:val="0"/>
          <w:numId w:val="12"/>
        </w:numPr>
        <w:spacing w:line="480" w:lineRule="auto"/>
        <w:jc w:val="both"/>
        <w:rPr>
          <w:rFonts w:ascii="Arial" w:hAnsi="Arial" w:cs="Arial"/>
        </w:rPr>
      </w:pPr>
      <w:r w:rsidRPr="0073536B">
        <w:rPr>
          <w:rFonts w:ascii="Arial" w:hAnsi="Arial" w:cs="Arial"/>
        </w:rPr>
        <w:t>Direct Selling and Networking:</w:t>
      </w:r>
      <w:r w:rsidR="0073536B" w:rsidRPr="0073536B">
        <w:rPr>
          <w:rFonts w:ascii="Arial" w:hAnsi="Arial" w:cs="Arial"/>
        </w:rPr>
        <w:t xml:space="preserve"> </w:t>
      </w:r>
      <w:r w:rsidRPr="0073536B">
        <w:rPr>
          <w:rFonts w:ascii="Arial" w:hAnsi="Arial" w:cs="Arial"/>
        </w:rPr>
        <w:t>Form a sales staff to do direct outreach to potential clients. Attend industry conferences, trade exhibitions, and local events to increase brand awareness and form relationships.</w:t>
      </w:r>
    </w:p>
    <w:p w14:paraId="69A07785" w14:textId="77777777" w:rsidR="0073536B" w:rsidRDefault="00323E3A" w:rsidP="00323E3A">
      <w:pPr>
        <w:pStyle w:val="ListParagraph"/>
        <w:numPr>
          <w:ilvl w:val="0"/>
          <w:numId w:val="12"/>
        </w:numPr>
        <w:spacing w:line="480" w:lineRule="auto"/>
        <w:jc w:val="both"/>
        <w:rPr>
          <w:rFonts w:ascii="Arial" w:hAnsi="Arial" w:cs="Arial"/>
        </w:rPr>
      </w:pPr>
      <w:r w:rsidRPr="0073536B">
        <w:rPr>
          <w:rFonts w:ascii="Arial" w:hAnsi="Arial" w:cs="Arial"/>
        </w:rPr>
        <w:lastRenderedPageBreak/>
        <w:t>Public Relations:</w:t>
      </w:r>
      <w:r w:rsidR="0073536B" w:rsidRPr="0073536B">
        <w:rPr>
          <w:rFonts w:ascii="Arial" w:hAnsi="Arial" w:cs="Arial"/>
        </w:rPr>
        <w:t xml:space="preserve"> </w:t>
      </w:r>
      <w:r w:rsidRPr="0073536B">
        <w:rPr>
          <w:rFonts w:ascii="Arial" w:hAnsi="Arial" w:cs="Arial"/>
        </w:rPr>
        <w:t>Send out press releases about project milestones and successes in reducing environmental effect. Use case studies from trial programs to validate our value propositions.</w:t>
      </w:r>
    </w:p>
    <w:p w14:paraId="40529F26" w14:textId="506C6661" w:rsidR="00323E3A" w:rsidRPr="0073536B" w:rsidRDefault="00323E3A" w:rsidP="00323E3A">
      <w:pPr>
        <w:pStyle w:val="ListParagraph"/>
        <w:numPr>
          <w:ilvl w:val="0"/>
          <w:numId w:val="12"/>
        </w:numPr>
        <w:spacing w:line="480" w:lineRule="auto"/>
        <w:jc w:val="both"/>
        <w:rPr>
          <w:rFonts w:ascii="Arial" w:hAnsi="Arial" w:cs="Arial"/>
        </w:rPr>
      </w:pPr>
      <w:r w:rsidRPr="0073536B">
        <w:rPr>
          <w:rFonts w:ascii="Arial" w:hAnsi="Arial" w:cs="Arial"/>
        </w:rPr>
        <w:t>Referral programs:</w:t>
      </w:r>
      <w:r w:rsidR="0073536B" w:rsidRPr="0073536B">
        <w:rPr>
          <w:rFonts w:ascii="Arial" w:hAnsi="Arial" w:cs="Arial"/>
        </w:rPr>
        <w:t xml:space="preserve"> </w:t>
      </w:r>
      <w:r w:rsidRPr="0073536B">
        <w:rPr>
          <w:rFonts w:ascii="Arial" w:hAnsi="Arial" w:cs="Arial"/>
        </w:rPr>
        <w:t>Offer discounts on future services or additional advantages to pleased clients as an incentive to refer new business.</w:t>
      </w:r>
    </w:p>
    <w:p w14:paraId="3CB04F9E" w14:textId="77777777" w:rsidR="00323E3A" w:rsidRPr="00323E3A" w:rsidRDefault="00323E3A" w:rsidP="00323E3A">
      <w:pPr>
        <w:spacing w:line="480" w:lineRule="auto"/>
        <w:jc w:val="both"/>
        <w:rPr>
          <w:rFonts w:ascii="Arial" w:hAnsi="Arial" w:cs="Arial"/>
        </w:rPr>
      </w:pPr>
      <w:r w:rsidRPr="00323E3A">
        <w:rPr>
          <w:rFonts w:ascii="Arial" w:hAnsi="Arial" w:cs="Arial"/>
        </w:rPr>
        <w:t>This multi-channel approach offers broad reach and fosters strong, trusting connections with important stakeholders (IEA, 2022).</w:t>
      </w:r>
    </w:p>
    <w:p w14:paraId="26007E01" w14:textId="5B3BD89B"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PESTLE Analysis</w:t>
      </w:r>
    </w:p>
    <w:p w14:paraId="1133D634" w14:textId="4C817F76" w:rsidR="00323E3A" w:rsidRPr="0073536B" w:rsidRDefault="00323E3A" w:rsidP="0073536B">
      <w:pPr>
        <w:pStyle w:val="ListParagraph"/>
        <w:numPr>
          <w:ilvl w:val="0"/>
          <w:numId w:val="13"/>
        </w:numPr>
        <w:spacing w:line="480" w:lineRule="auto"/>
        <w:jc w:val="both"/>
        <w:rPr>
          <w:rFonts w:ascii="Arial" w:hAnsi="Arial" w:cs="Arial"/>
        </w:rPr>
      </w:pPr>
      <w:r w:rsidRPr="0073536B">
        <w:rPr>
          <w:rFonts w:ascii="Arial" w:hAnsi="Arial" w:cs="Arial"/>
        </w:rPr>
        <w:t>Political</w:t>
      </w:r>
      <w:r w:rsidR="0073536B" w:rsidRPr="0073536B">
        <w:rPr>
          <w:rFonts w:ascii="Arial" w:hAnsi="Arial" w:cs="Arial"/>
        </w:rPr>
        <w:t xml:space="preserve">: </w:t>
      </w:r>
      <w:r w:rsidRPr="0073536B">
        <w:rPr>
          <w:rFonts w:ascii="Arial" w:hAnsi="Arial" w:cs="Arial"/>
        </w:rPr>
        <w:t>Government policies are increasingly promoting renewable energy. Programs such as the United States. The Inflation Reduction Act, which provides approximately $369 billion for sustainable energy activities, fosters a favourable regulatory environment (Climate Action Tracker, 2023). However, changes in political leadership may modify subsidies systems or regulatory frameworks.</w:t>
      </w:r>
    </w:p>
    <w:p w14:paraId="4BF753F1" w14:textId="27E727B2" w:rsidR="00323E3A" w:rsidRPr="0073536B" w:rsidRDefault="00323E3A" w:rsidP="0073536B">
      <w:pPr>
        <w:pStyle w:val="ListParagraph"/>
        <w:numPr>
          <w:ilvl w:val="0"/>
          <w:numId w:val="13"/>
        </w:numPr>
        <w:spacing w:line="480" w:lineRule="auto"/>
        <w:jc w:val="both"/>
        <w:rPr>
          <w:rFonts w:ascii="Arial" w:hAnsi="Arial" w:cs="Arial"/>
        </w:rPr>
      </w:pPr>
      <w:r w:rsidRPr="0073536B">
        <w:rPr>
          <w:rFonts w:ascii="Arial" w:hAnsi="Arial" w:cs="Arial"/>
        </w:rPr>
        <w:t>Economic</w:t>
      </w:r>
      <w:r w:rsidR="0073536B" w:rsidRPr="0073536B">
        <w:rPr>
          <w:rFonts w:ascii="Arial" w:hAnsi="Arial" w:cs="Arial"/>
        </w:rPr>
        <w:t xml:space="preserve">: </w:t>
      </w:r>
      <w:r w:rsidRPr="0073536B">
        <w:rPr>
          <w:rFonts w:ascii="Arial" w:hAnsi="Arial" w:cs="Arial"/>
        </w:rPr>
        <w:t>The renewable energy business is expanding rapidly, with the global market expected to reach $2.5 trillion by 2026 (IRENA, 2021). While cost improvements in solar and storage technologies boost profitability, economic volatility and supply chain disruptions remain concerns.</w:t>
      </w:r>
    </w:p>
    <w:p w14:paraId="2C741A7C" w14:textId="5661E266" w:rsidR="00323E3A" w:rsidRPr="0073536B" w:rsidRDefault="00323E3A" w:rsidP="0073536B">
      <w:pPr>
        <w:pStyle w:val="ListParagraph"/>
        <w:numPr>
          <w:ilvl w:val="0"/>
          <w:numId w:val="13"/>
        </w:numPr>
        <w:spacing w:line="480" w:lineRule="auto"/>
        <w:jc w:val="both"/>
        <w:rPr>
          <w:rFonts w:ascii="Arial" w:hAnsi="Arial" w:cs="Arial"/>
        </w:rPr>
      </w:pPr>
      <w:r w:rsidRPr="0073536B">
        <w:rPr>
          <w:rFonts w:ascii="Arial" w:hAnsi="Arial" w:cs="Arial"/>
        </w:rPr>
        <w:t>Social</w:t>
      </w:r>
      <w:r w:rsidR="0073536B" w:rsidRPr="0073536B">
        <w:rPr>
          <w:rFonts w:ascii="Arial" w:hAnsi="Arial" w:cs="Arial"/>
        </w:rPr>
        <w:t xml:space="preserve">: </w:t>
      </w:r>
      <w:r w:rsidRPr="0073536B">
        <w:rPr>
          <w:rFonts w:ascii="Arial" w:hAnsi="Arial" w:cs="Arial"/>
        </w:rPr>
        <w:t>Public demand for sustainable energy is considerable, with surveys indicating that more than 70% of worldwide residents are concerned about climate change and prefer renewable sources. Social acceptance of renewable energy projects increases market potential, but local community concerns regarding land use must be addressed.</w:t>
      </w:r>
    </w:p>
    <w:p w14:paraId="21355490" w14:textId="4CCC4BE2" w:rsidR="00323E3A" w:rsidRPr="0073536B" w:rsidRDefault="00323E3A" w:rsidP="0073536B">
      <w:pPr>
        <w:pStyle w:val="ListParagraph"/>
        <w:numPr>
          <w:ilvl w:val="0"/>
          <w:numId w:val="13"/>
        </w:numPr>
        <w:spacing w:line="480" w:lineRule="auto"/>
        <w:jc w:val="both"/>
        <w:rPr>
          <w:rFonts w:ascii="Arial" w:hAnsi="Arial" w:cs="Arial"/>
        </w:rPr>
      </w:pPr>
      <w:r w:rsidRPr="0073536B">
        <w:rPr>
          <w:rFonts w:ascii="Arial" w:hAnsi="Arial" w:cs="Arial"/>
        </w:rPr>
        <w:lastRenderedPageBreak/>
        <w:t>Technological</w:t>
      </w:r>
      <w:r w:rsidR="0073536B" w:rsidRPr="0073536B">
        <w:rPr>
          <w:rFonts w:ascii="Arial" w:hAnsi="Arial" w:cs="Arial"/>
        </w:rPr>
        <w:t xml:space="preserve">: </w:t>
      </w:r>
      <w:r w:rsidRPr="0073536B">
        <w:rPr>
          <w:rFonts w:ascii="Arial" w:hAnsi="Arial" w:cs="Arial"/>
        </w:rPr>
        <w:t>Solar and battery storage systems are now more efficient and cost-effective thanks to technological advancements. AI-based energy management technologies, for example, help us maintain our competitive advantage. Continuous R&amp;D expenditure is required to keep up with technological advancements.</w:t>
      </w:r>
    </w:p>
    <w:p w14:paraId="13C02AA7" w14:textId="0E2ACF14" w:rsidR="00323E3A" w:rsidRPr="0073536B" w:rsidRDefault="00323E3A" w:rsidP="0073536B">
      <w:pPr>
        <w:pStyle w:val="ListParagraph"/>
        <w:numPr>
          <w:ilvl w:val="0"/>
          <w:numId w:val="13"/>
        </w:numPr>
        <w:spacing w:line="480" w:lineRule="auto"/>
        <w:jc w:val="both"/>
        <w:rPr>
          <w:rFonts w:ascii="Arial" w:hAnsi="Arial" w:cs="Arial"/>
        </w:rPr>
      </w:pPr>
      <w:r w:rsidRPr="0073536B">
        <w:rPr>
          <w:rFonts w:ascii="Arial" w:hAnsi="Arial" w:cs="Arial"/>
        </w:rPr>
        <w:t>Legal</w:t>
      </w:r>
      <w:r w:rsidR="0073536B" w:rsidRPr="0073536B">
        <w:rPr>
          <w:rFonts w:ascii="Arial" w:hAnsi="Arial" w:cs="Arial"/>
        </w:rPr>
        <w:t xml:space="preserve">: </w:t>
      </w:r>
      <w:r w:rsidRPr="0073536B">
        <w:rPr>
          <w:rFonts w:ascii="Arial" w:hAnsi="Arial" w:cs="Arial"/>
        </w:rPr>
        <w:t>Compliance with environmental, building, and energy standards is required. Stringent permitting requirements and contractual commitments necessitate continual legal scrutiny. Our proactive legal strategy includes retaining professional counsel to handle regulatory risks and acquire strong contracts (IEA, 2022).</w:t>
      </w:r>
    </w:p>
    <w:p w14:paraId="5A8D1CBD" w14:textId="53E73A26" w:rsidR="00323E3A" w:rsidRPr="0073536B" w:rsidRDefault="00323E3A" w:rsidP="0073536B">
      <w:pPr>
        <w:pStyle w:val="ListParagraph"/>
        <w:numPr>
          <w:ilvl w:val="0"/>
          <w:numId w:val="13"/>
        </w:numPr>
        <w:spacing w:line="480" w:lineRule="auto"/>
        <w:jc w:val="both"/>
        <w:rPr>
          <w:rFonts w:ascii="Arial" w:hAnsi="Arial" w:cs="Arial"/>
        </w:rPr>
      </w:pPr>
      <w:r w:rsidRPr="0073536B">
        <w:rPr>
          <w:rFonts w:ascii="Arial" w:hAnsi="Arial" w:cs="Arial"/>
        </w:rPr>
        <w:t>Environmental</w:t>
      </w:r>
      <w:r w:rsidR="0073536B" w:rsidRPr="0073536B">
        <w:rPr>
          <w:rFonts w:ascii="Arial" w:hAnsi="Arial" w:cs="Arial"/>
        </w:rPr>
        <w:t xml:space="preserve">: </w:t>
      </w:r>
      <w:r w:rsidRPr="0073536B">
        <w:rPr>
          <w:rFonts w:ascii="Arial" w:hAnsi="Arial" w:cs="Arial"/>
        </w:rPr>
        <w:t>Climate change and environmental deterioration create an urgent demand for renewable energy. GreenFuture Energy's projects reduce CO</w:t>
      </w:r>
      <w:r w:rsidRPr="0073536B">
        <w:rPr>
          <w:rFonts w:ascii="Cambria Math" w:hAnsi="Cambria Math" w:cs="Cambria Math"/>
        </w:rPr>
        <w:t>₂</w:t>
      </w:r>
      <w:r w:rsidRPr="0073536B">
        <w:rPr>
          <w:rFonts w:ascii="Arial" w:hAnsi="Arial" w:cs="Arial"/>
        </w:rPr>
        <w:t xml:space="preserve"> emissions and promote sustainable practices in installation and operations. Regulatory pressure to decrease environmental footprints strengthens our business model.</w:t>
      </w:r>
    </w:p>
    <w:p w14:paraId="3F75DF49" w14:textId="3B2D9546"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SWOT Analysis</w:t>
      </w:r>
    </w:p>
    <w:p w14:paraId="2803C977"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Strengths</w:t>
      </w:r>
    </w:p>
    <w:p w14:paraId="2CC433CC" w14:textId="7D4A489D" w:rsidR="00323E3A" w:rsidRPr="0073536B" w:rsidRDefault="00323E3A" w:rsidP="0073536B">
      <w:pPr>
        <w:pStyle w:val="ListParagraph"/>
        <w:numPr>
          <w:ilvl w:val="0"/>
          <w:numId w:val="14"/>
        </w:numPr>
        <w:spacing w:line="480" w:lineRule="auto"/>
        <w:jc w:val="both"/>
        <w:rPr>
          <w:rFonts w:ascii="Arial" w:hAnsi="Arial" w:cs="Arial"/>
        </w:rPr>
      </w:pPr>
      <w:r w:rsidRPr="0073536B">
        <w:rPr>
          <w:rFonts w:ascii="Arial" w:hAnsi="Arial" w:cs="Arial"/>
        </w:rPr>
        <w:t>Innovative Integration:</w:t>
      </w:r>
      <w:r w:rsidR="0073536B" w:rsidRPr="0073536B">
        <w:rPr>
          <w:rFonts w:ascii="Arial" w:hAnsi="Arial" w:cs="Arial"/>
        </w:rPr>
        <w:t xml:space="preserve"> </w:t>
      </w:r>
      <w:r w:rsidRPr="0073536B">
        <w:rPr>
          <w:rFonts w:ascii="Arial" w:hAnsi="Arial" w:cs="Arial"/>
        </w:rPr>
        <w:t>Our integrated solar-plus-storage solutions provide consistent, uninterrupted power, distinguishing us from competitors who only provide partial systems (IRENA, 2021).</w:t>
      </w:r>
    </w:p>
    <w:p w14:paraId="73E33B9E" w14:textId="4744090E" w:rsidR="00323E3A" w:rsidRPr="0073536B" w:rsidRDefault="00323E3A" w:rsidP="0073536B">
      <w:pPr>
        <w:pStyle w:val="ListParagraph"/>
        <w:numPr>
          <w:ilvl w:val="0"/>
          <w:numId w:val="14"/>
        </w:numPr>
        <w:spacing w:line="480" w:lineRule="auto"/>
        <w:jc w:val="both"/>
        <w:rPr>
          <w:rFonts w:ascii="Arial" w:hAnsi="Arial" w:cs="Arial"/>
        </w:rPr>
      </w:pPr>
      <w:r w:rsidRPr="0073536B">
        <w:rPr>
          <w:rFonts w:ascii="Arial" w:hAnsi="Arial" w:cs="Arial"/>
        </w:rPr>
        <w:t>Market Alignment:</w:t>
      </w:r>
      <w:r w:rsidR="0073536B" w:rsidRPr="0073536B">
        <w:rPr>
          <w:rFonts w:ascii="Arial" w:hAnsi="Arial" w:cs="Arial"/>
        </w:rPr>
        <w:t xml:space="preserve"> </w:t>
      </w:r>
      <w:r w:rsidRPr="0073536B">
        <w:rPr>
          <w:rFonts w:ascii="Arial" w:hAnsi="Arial" w:cs="Arial"/>
        </w:rPr>
        <w:t>The growing demand for renewable energy, bolstered by government incentives and public opinion, represents a substantial business opportunity (Climate Action Tracker, 2023).</w:t>
      </w:r>
    </w:p>
    <w:p w14:paraId="2BA4AE25" w14:textId="0E946586" w:rsidR="00323E3A" w:rsidRPr="0073536B" w:rsidRDefault="00323E3A" w:rsidP="0073536B">
      <w:pPr>
        <w:pStyle w:val="ListParagraph"/>
        <w:numPr>
          <w:ilvl w:val="0"/>
          <w:numId w:val="14"/>
        </w:numPr>
        <w:spacing w:line="480" w:lineRule="auto"/>
        <w:jc w:val="both"/>
        <w:rPr>
          <w:rFonts w:ascii="Arial" w:hAnsi="Arial" w:cs="Arial"/>
        </w:rPr>
      </w:pPr>
      <w:r w:rsidRPr="0073536B">
        <w:rPr>
          <w:rFonts w:ascii="Arial" w:hAnsi="Arial" w:cs="Arial"/>
        </w:rPr>
        <w:lastRenderedPageBreak/>
        <w:t>Agile Management:</w:t>
      </w:r>
      <w:r w:rsidR="0073536B" w:rsidRPr="0073536B">
        <w:rPr>
          <w:rFonts w:ascii="Arial" w:hAnsi="Arial" w:cs="Arial"/>
        </w:rPr>
        <w:t xml:space="preserve"> </w:t>
      </w:r>
      <w:r w:rsidRPr="0073536B">
        <w:rPr>
          <w:rFonts w:ascii="Arial" w:hAnsi="Arial" w:cs="Arial"/>
        </w:rPr>
        <w:t>As a startup, we maintain flexibility in decision-making, allowing for quick adaptability to technology and market developments.</w:t>
      </w:r>
    </w:p>
    <w:p w14:paraId="556777C2" w14:textId="2DB1BCDF" w:rsidR="00323E3A" w:rsidRPr="0073536B" w:rsidRDefault="00323E3A" w:rsidP="0073536B">
      <w:pPr>
        <w:pStyle w:val="ListParagraph"/>
        <w:numPr>
          <w:ilvl w:val="0"/>
          <w:numId w:val="14"/>
        </w:numPr>
        <w:spacing w:line="480" w:lineRule="auto"/>
        <w:jc w:val="both"/>
        <w:rPr>
          <w:rFonts w:ascii="Arial" w:hAnsi="Arial" w:cs="Arial"/>
        </w:rPr>
      </w:pPr>
      <w:r w:rsidRPr="0073536B">
        <w:rPr>
          <w:rFonts w:ascii="Arial" w:hAnsi="Arial" w:cs="Arial"/>
        </w:rPr>
        <w:t>Local Partnerships:</w:t>
      </w:r>
      <w:r w:rsidR="0073536B" w:rsidRPr="0073536B">
        <w:rPr>
          <w:rFonts w:ascii="Arial" w:hAnsi="Arial" w:cs="Arial"/>
        </w:rPr>
        <w:t xml:space="preserve"> </w:t>
      </w:r>
      <w:r w:rsidRPr="0073536B">
        <w:rPr>
          <w:rFonts w:ascii="Arial" w:hAnsi="Arial" w:cs="Arial"/>
        </w:rPr>
        <w:t>Early relationships with municipalities and community organisations increase our credibility and market reach.</w:t>
      </w:r>
    </w:p>
    <w:p w14:paraId="7D6A4356"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Weaknesses</w:t>
      </w:r>
    </w:p>
    <w:p w14:paraId="3281EB95" w14:textId="6F909F6F" w:rsidR="00323E3A" w:rsidRPr="0073536B" w:rsidRDefault="00323E3A" w:rsidP="0073536B">
      <w:pPr>
        <w:pStyle w:val="ListParagraph"/>
        <w:numPr>
          <w:ilvl w:val="0"/>
          <w:numId w:val="15"/>
        </w:numPr>
        <w:spacing w:line="480" w:lineRule="auto"/>
        <w:jc w:val="both"/>
        <w:rPr>
          <w:rFonts w:ascii="Arial" w:hAnsi="Arial" w:cs="Arial"/>
        </w:rPr>
      </w:pPr>
      <w:r w:rsidRPr="0073536B">
        <w:rPr>
          <w:rFonts w:ascii="Arial" w:hAnsi="Arial" w:cs="Arial"/>
        </w:rPr>
        <w:t>Limited Financial Scale:</w:t>
      </w:r>
      <w:r w:rsidR="0073536B" w:rsidRPr="0073536B">
        <w:rPr>
          <w:rFonts w:ascii="Arial" w:hAnsi="Arial" w:cs="Arial"/>
        </w:rPr>
        <w:t xml:space="preserve"> </w:t>
      </w:r>
      <w:r w:rsidRPr="0073536B">
        <w:rPr>
          <w:rFonts w:ascii="Arial" w:hAnsi="Arial" w:cs="Arial"/>
        </w:rPr>
        <w:t>As a startup, we encounter early capital constraints, which may limit the scope and speed of project rollout until additional funding is achieved.</w:t>
      </w:r>
    </w:p>
    <w:p w14:paraId="136D82B4" w14:textId="575CDAC2" w:rsidR="00323E3A" w:rsidRPr="0073536B" w:rsidRDefault="00323E3A" w:rsidP="0073536B">
      <w:pPr>
        <w:pStyle w:val="ListParagraph"/>
        <w:numPr>
          <w:ilvl w:val="0"/>
          <w:numId w:val="15"/>
        </w:numPr>
        <w:spacing w:line="480" w:lineRule="auto"/>
        <w:jc w:val="both"/>
        <w:rPr>
          <w:rFonts w:ascii="Arial" w:hAnsi="Arial" w:cs="Arial"/>
        </w:rPr>
      </w:pPr>
      <w:r w:rsidRPr="0073536B">
        <w:rPr>
          <w:rFonts w:ascii="Arial" w:hAnsi="Arial" w:cs="Arial"/>
        </w:rPr>
        <w:t>Lack of Track Record:</w:t>
      </w:r>
      <w:r w:rsidR="0073536B" w:rsidRPr="0073536B">
        <w:rPr>
          <w:rFonts w:ascii="Arial" w:hAnsi="Arial" w:cs="Arial"/>
        </w:rPr>
        <w:t xml:space="preserve"> </w:t>
      </w:r>
      <w:r w:rsidRPr="0073536B">
        <w:rPr>
          <w:rFonts w:ascii="Arial" w:hAnsi="Arial" w:cs="Arial"/>
        </w:rPr>
        <w:t>With no prior project history, obtaining risk-averse clients may prove difficult until the pilot project develops trust.</w:t>
      </w:r>
    </w:p>
    <w:p w14:paraId="77D4B91F" w14:textId="7E8AEBB4" w:rsidR="00323E3A" w:rsidRPr="0073536B" w:rsidRDefault="00323E3A" w:rsidP="0073536B">
      <w:pPr>
        <w:pStyle w:val="ListParagraph"/>
        <w:numPr>
          <w:ilvl w:val="0"/>
          <w:numId w:val="15"/>
        </w:numPr>
        <w:spacing w:line="480" w:lineRule="auto"/>
        <w:jc w:val="both"/>
        <w:rPr>
          <w:rFonts w:ascii="Arial" w:hAnsi="Arial" w:cs="Arial"/>
        </w:rPr>
      </w:pPr>
      <w:r w:rsidRPr="0073536B">
        <w:rPr>
          <w:rFonts w:ascii="Arial" w:hAnsi="Arial" w:cs="Arial"/>
        </w:rPr>
        <w:t>Supply Chain Vulnerability:</w:t>
      </w:r>
      <w:r w:rsidR="0073536B" w:rsidRPr="0073536B">
        <w:rPr>
          <w:rFonts w:ascii="Arial" w:hAnsi="Arial" w:cs="Arial"/>
        </w:rPr>
        <w:t xml:space="preserve"> </w:t>
      </w:r>
      <w:r w:rsidRPr="0073536B">
        <w:rPr>
          <w:rFonts w:ascii="Arial" w:hAnsi="Arial" w:cs="Arial"/>
        </w:rPr>
        <w:t>The reliance on third-party suppliers for critical equipment exposes us to price fluctuation and delays.</w:t>
      </w:r>
    </w:p>
    <w:p w14:paraId="3940D1BC" w14:textId="285E6350" w:rsidR="00323E3A" w:rsidRPr="0073536B" w:rsidRDefault="00323E3A" w:rsidP="0073536B">
      <w:pPr>
        <w:pStyle w:val="ListParagraph"/>
        <w:numPr>
          <w:ilvl w:val="0"/>
          <w:numId w:val="15"/>
        </w:numPr>
        <w:spacing w:line="480" w:lineRule="auto"/>
        <w:jc w:val="both"/>
        <w:rPr>
          <w:rFonts w:ascii="Arial" w:hAnsi="Arial" w:cs="Arial"/>
        </w:rPr>
      </w:pPr>
      <w:r w:rsidRPr="0073536B">
        <w:rPr>
          <w:rFonts w:ascii="Arial" w:hAnsi="Arial" w:cs="Arial"/>
        </w:rPr>
        <w:t>Resource constraints:</w:t>
      </w:r>
      <w:r w:rsidR="0073536B" w:rsidRPr="0073536B">
        <w:rPr>
          <w:rFonts w:ascii="Arial" w:hAnsi="Arial" w:cs="Arial"/>
        </w:rPr>
        <w:t xml:space="preserve"> </w:t>
      </w:r>
      <w:r w:rsidRPr="0073536B">
        <w:rPr>
          <w:rFonts w:ascii="Arial" w:hAnsi="Arial" w:cs="Arial"/>
        </w:rPr>
        <w:t>A small team may have capacity challenges during rapid expansion, needing meticulous operational planning.</w:t>
      </w:r>
    </w:p>
    <w:p w14:paraId="06BAF90F"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Opportunities</w:t>
      </w:r>
    </w:p>
    <w:p w14:paraId="41F5F7B8" w14:textId="41EE3265" w:rsidR="00323E3A" w:rsidRPr="0073536B" w:rsidRDefault="00323E3A" w:rsidP="0073536B">
      <w:pPr>
        <w:pStyle w:val="ListParagraph"/>
        <w:numPr>
          <w:ilvl w:val="0"/>
          <w:numId w:val="16"/>
        </w:numPr>
        <w:spacing w:line="480" w:lineRule="auto"/>
        <w:jc w:val="both"/>
        <w:rPr>
          <w:rFonts w:ascii="Arial" w:hAnsi="Arial" w:cs="Arial"/>
        </w:rPr>
      </w:pPr>
      <w:r w:rsidRPr="0073536B">
        <w:rPr>
          <w:rFonts w:ascii="Arial" w:hAnsi="Arial" w:cs="Arial"/>
        </w:rPr>
        <w:t>Expanding Market Demand:</w:t>
      </w:r>
      <w:r w:rsidR="0073536B" w:rsidRPr="0073536B">
        <w:rPr>
          <w:rFonts w:ascii="Arial" w:hAnsi="Arial" w:cs="Arial"/>
        </w:rPr>
        <w:t xml:space="preserve"> </w:t>
      </w:r>
      <w:r w:rsidRPr="0073536B">
        <w:rPr>
          <w:rFonts w:ascii="Arial" w:hAnsi="Arial" w:cs="Arial"/>
        </w:rPr>
        <w:t>Increased corporate sustainability standards and public support for clean energy are driving demand for our services.</w:t>
      </w:r>
    </w:p>
    <w:p w14:paraId="204A596D" w14:textId="07FF2874" w:rsidR="00323E3A" w:rsidRPr="0073536B" w:rsidRDefault="00323E3A" w:rsidP="0073536B">
      <w:pPr>
        <w:pStyle w:val="ListParagraph"/>
        <w:numPr>
          <w:ilvl w:val="0"/>
          <w:numId w:val="16"/>
        </w:numPr>
        <w:spacing w:line="480" w:lineRule="auto"/>
        <w:jc w:val="both"/>
        <w:rPr>
          <w:rFonts w:ascii="Arial" w:hAnsi="Arial" w:cs="Arial"/>
        </w:rPr>
      </w:pPr>
      <w:r w:rsidRPr="0073536B">
        <w:rPr>
          <w:rFonts w:ascii="Arial" w:hAnsi="Arial" w:cs="Arial"/>
        </w:rPr>
        <w:t>Government incentives:</w:t>
      </w:r>
      <w:r w:rsidR="0073536B" w:rsidRPr="0073536B">
        <w:rPr>
          <w:rFonts w:ascii="Arial" w:hAnsi="Arial" w:cs="Arial"/>
        </w:rPr>
        <w:t xml:space="preserve"> </w:t>
      </w:r>
      <w:r w:rsidRPr="0073536B">
        <w:rPr>
          <w:rFonts w:ascii="Arial" w:hAnsi="Arial" w:cs="Arial"/>
        </w:rPr>
        <w:t>Programs like the Investment Tax Credit and state-level subsidies can improve project economics while lowering capital costs.</w:t>
      </w:r>
    </w:p>
    <w:p w14:paraId="6A3782DD" w14:textId="6CB260B2" w:rsidR="00323E3A" w:rsidRPr="0073536B" w:rsidRDefault="00323E3A" w:rsidP="0073536B">
      <w:pPr>
        <w:pStyle w:val="ListParagraph"/>
        <w:numPr>
          <w:ilvl w:val="0"/>
          <w:numId w:val="16"/>
        </w:numPr>
        <w:spacing w:line="480" w:lineRule="auto"/>
        <w:jc w:val="both"/>
        <w:rPr>
          <w:rFonts w:ascii="Arial" w:hAnsi="Arial" w:cs="Arial"/>
        </w:rPr>
      </w:pPr>
      <w:r w:rsidRPr="0073536B">
        <w:rPr>
          <w:rFonts w:ascii="Arial" w:hAnsi="Arial" w:cs="Arial"/>
        </w:rPr>
        <w:t>Technological Advancements:</w:t>
      </w:r>
      <w:r w:rsidR="0073536B" w:rsidRPr="0073536B">
        <w:rPr>
          <w:rFonts w:ascii="Arial" w:hAnsi="Arial" w:cs="Arial"/>
        </w:rPr>
        <w:t xml:space="preserve"> </w:t>
      </w:r>
      <w:r w:rsidRPr="0073536B">
        <w:rPr>
          <w:rFonts w:ascii="Arial" w:hAnsi="Arial" w:cs="Arial"/>
        </w:rPr>
        <w:t>Emerging technologies in battery storage and energy management offer opportunities for product variety and increased efficiency.</w:t>
      </w:r>
    </w:p>
    <w:p w14:paraId="2F991F77" w14:textId="04469B66" w:rsidR="00323E3A" w:rsidRPr="0073536B" w:rsidRDefault="00323E3A" w:rsidP="0073536B">
      <w:pPr>
        <w:pStyle w:val="ListParagraph"/>
        <w:numPr>
          <w:ilvl w:val="0"/>
          <w:numId w:val="16"/>
        </w:numPr>
        <w:spacing w:line="480" w:lineRule="auto"/>
        <w:jc w:val="both"/>
        <w:rPr>
          <w:rFonts w:ascii="Arial" w:hAnsi="Arial" w:cs="Arial"/>
        </w:rPr>
      </w:pPr>
      <w:r w:rsidRPr="0073536B">
        <w:rPr>
          <w:rFonts w:ascii="Arial" w:hAnsi="Arial" w:cs="Arial"/>
        </w:rPr>
        <w:lastRenderedPageBreak/>
        <w:t>Strategic collaborations:</w:t>
      </w:r>
      <w:r w:rsidR="0073536B" w:rsidRPr="0073536B">
        <w:rPr>
          <w:rFonts w:ascii="Arial" w:hAnsi="Arial" w:cs="Arial"/>
        </w:rPr>
        <w:t xml:space="preserve"> </w:t>
      </w:r>
      <w:r w:rsidRPr="0073536B">
        <w:rPr>
          <w:rFonts w:ascii="Arial" w:hAnsi="Arial" w:cs="Arial"/>
        </w:rPr>
        <w:t>Partnerships with established utilities or renewable energy companies can provide access to larger projects and new consumer segments.</w:t>
      </w:r>
    </w:p>
    <w:p w14:paraId="2058EE7A"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Threats</w:t>
      </w:r>
    </w:p>
    <w:p w14:paraId="2E9C0C42" w14:textId="133B23D7" w:rsidR="00323E3A" w:rsidRPr="0073536B" w:rsidRDefault="00323E3A" w:rsidP="0073536B">
      <w:pPr>
        <w:pStyle w:val="ListParagraph"/>
        <w:numPr>
          <w:ilvl w:val="0"/>
          <w:numId w:val="17"/>
        </w:numPr>
        <w:spacing w:line="480" w:lineRule="auto"/>
        <w:jc w:val="both"/>
        <w:rPr>
          <w:rFonts w:ascii="Arial" w:hAnsi="Arial" w:cs="Arial"/>
        </w:rPr>
      </w:pPr>
      <w:r w:rsidRPr="0073536B">
        <w:rPr>
          <w:rFonts w:ascii="Arial" w:hAnsi="Arial" w:cs="Arial"/>
        </w:rPr>
        <w:t>Intense competition</w:t>
      </w:r>
      <w:r w:rsidR="0073536B" w:rsidRPr="0073536B">
        <w:rPr>
          <w:rFonts w:ascii="Arial" w:hAnsi="Arial" w:cs="Arial"/>
        </w:rPr>
        <w:t xml:space="preserve">: </w:t>
      </w:r>
      <w:r w:rsidRPr="0073536B">
        <w:rPr>
          <w:rFonts w:ascii="Arial" w:hAnsi="Arial" w:cs="Arial"/>
        </w:rPr>
        <w:t>Established businesses and newcomers to the renewable energy sector may increase pricing pressures and market share disputes.</w:t>
      </w:r>
    </w:p>
    <w:p w14:paraId="0F6ECBAF" w14:textId="04628264" w:rsidR="00323E3A" w:rsidRPr="0073536B" w:rsidRDefault="00323E3A" w:rsidP="0073536B">
      <w:pPr>
        <w:pStyle w:val="ListParagraph"/>
        <w:numPr>
          <w:ilvl w:val="0"/>
          <w:numId w:val="17"/>
        </w:numPr>
        <w:spacing w:line="480" w:lineRule="auto"/>
        <w:jc w:val="both"/>
        <w:rPr>
          <w:rFonts w:ascii="Arial" w:hAnsi="Arial" w:cs="Arial"/>
        </w:rPr>
      </w:pPr>
      <w:r w:rsidRPr="0073536B">
        <w:rPr>
          <w:rFonts w:ascii="Arial" w:hAnsi="Arial" w:cs="Arial"/>
        </w:rPr>
        <w:t>Regulatory changes:</w:t>
      </w:r>
      <w:r w:rsidR="0073536B" w:rsidRPr="0073536B">
        <w:rPr>
          <w:rFonts w:ascii="Arial" w:hAnsi="Arial" w:cs="Arial"/>
        </w:rPr>
        <w:t xml:space="preserve"> </w:t>
      </w:r>
      <w:r w:rsidRPr="0073536B">
        <w:rPr>
          <w:rFonts w:ascii="Arial" w:hAnsi="Arial" w:cs="Arial"/>
        </w:rPr>
        <w:t>Future regulatory changes or incentive reductions may have an impact on project feasibility and profitability.</w:t>
      </w:r>
    </w:p>
    <w:p w14:paraId="20A74497" w14:textId="3A4F8C75" w:rsidR="00323E3A" w:rsidRPr="0073536B" w:rsidRDefault="00323E3A" w:rsidP="0073536B">
      <w:pPr>
        <w:pStyle w:val="ListParagraph"/>
        <w:numPr>
          <w:ilvl w:val="0"/>
          <w:numId w:val="17"/>
        </w:numPr>
        <w:spacing w:line="480" w:lineRule="auto"/>
        <w:jc w:val="both"/>
        <w:rPr>
          <w:rFonts w:ascii="Arial" w:hAnsi="Arial" w:cs="Arial"/>
        </w:rPr>
      </w:pPr>
      <w:r w:rsidRPr="0073536B">
        <w:rPr>
          <w:rFonts w:ascii="Arial" w:hAnsi="Arial" w:cs="Arial"/>
        </w:rPr>
        <w:t>Economic uncertainty:</w:t>
      </w:r>
      <w:r w:rsidR="0073536B" w:rsidRPr="0073536B">
        <w:rPr>
          <w:rFonts w:ascii="Arial" w:hAnsi="Arial" w:cs="Arial"/>
        </w:rPr>
        <w:t xml:space="preserve"> </w:t>
      </w:r>
      <w:r w:rsidRPr="0073536B">
        <w:rPr>
          <w:rFonts w:ascii="Arial" w:hAnsi="Arial" w:cs="Arial"/>
        </w:rPr>
        <w:t>Global economic downturns or inflation may have an impact on customer investment capacity and supply chain costs.</w:t>
      </w:r>
    </w:p>
    <w:p w14:paraId="17111B74" w14:textId="6B72AAD1" w:rsidR="00323E3A" w:rsidRPr="0073536B" w:rsidRDefault="00323E3A" w:rsidP="0073536B">
      <w:pPr>
        <w:pStyle w:val="ListParagraph"/>
        <w:numPr>
          <w:ilvl w:val="0"/>
          <w:numId w:val="17"/>
        </w:numPr>
        <w:spacing w:line="480" w:lineRule="auto"/>
        <w:jc w:val="both"/>
        <w:rPr>
          <w:rFonts w:ascii="Arial" w:hAnsi="Arial" w:cs="Arial"/>
        </w:rPr>
      </w:pPr>
      <w:r w:rsidRPr="0073536B">
        <w:rPr>
          <w:rFonts w:ascii="Arial" w:hAnsi="Arial" w:cs="Arial"/>
        </w:rPr>
        <w:t>Operational Risks:</w:t>
      </w:r>
      <w:r w:rsidR="0073536B" w:rsidRPr="0073536B">
        <w:rPr>
          <w:rFonts w:ascii="Arial" w:hAnsi="Arial" w:cs="Arial"/>
        </w:rPr>
        <w:t xml:space="preserve"> </w:t>
      </w:r>
      <w:r w:rsidRPr="0073536B">
        <w:rPr>
          <w:rFonts w:ascii="Arial" w:hAnsi="Arial" w:cs="Arial"/>
        </w:rPr>
        <w:t>Construction delays, equipment problems, and natural calamities can all disrupt operations and result in significant costs.</w:t>
      </w:r>
    </w:p>
    <w:p w14:paraId="0656E0A6" w14:textId="67943D73"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Financial Plan</w:t>
      </w:r>
    </w:p>
    <w:p w14:paraId="4DF4F9ED"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Revenue Streams and Projections</w:t>
      </w:r>
    </w:p>
    <w:p w14:paraId="4A24C6B9" w14:textId="77777777" w:rsidR="00323E3A" w:rsidRPr="00323E3A" w:rsidRDefault="00323E3A" w:rsidP="00323E3A">
      <w:pPr>
        <w:spacing w:line="480" w:lineRule="auto"/>
        <w:jc w:val="both"/>
        <w:rPr>
          <w:rFonts w:ascii="Arial" w:hAnsi="Arial" w:cs="Arial"/>
        </w:rPr>
      </w:pPr>
      <w:r w:rsidRPr="00323E3A">
        <w:rPr>
          <w:rFonts w:ascii="Arial" w:hAnsi="Arial" w:cs="Arial"/>
        </w:rPr>
        <w:t>GreenFuture Energy will create revenue through:</w:t>
      </w:r>
    </w:p>
    <w:p w14:paraId="0FE9C964" w14:textId="38F72722" w:rsidR="00323E3A" w:rsidRPr="0073536B" w:rsidRDefault="00323E3A" w:rsidP="0073536B">
      <w:pPr>
        <w:pStyle w:val="ListParagraph"/>
        <w:numPr>
          <w:ilvl w:val="0"/>
          <w:numId w:val="18"/>
        </w:numPr>
        <w:spacing w:line="480" w:lineRule="auto"/>
        <w:jc w:val="both"/>
        <w:rPr>
          <w:rFonts w:ascii="Arial" w:hAnsi="Arial" w:cs="Arial"/>
        </w:rPr>
      </w:pPr>
      <w:r w:rsidRPr="0073536B">
        <w:rPr>
          <w:rFonts w:ascii="Arial" w:hAnsi="Arial" w:cs="Arial"/>
        </w:rPr>
        <w:t>Power Purchase Agreements (PPA):</w:t>
      </w:r>
      <w:r w:rsidR="0073536B" w:rsidRPr="0073536B">
        <w:rPr>
          <w:rFonts w:ascii="Arial" w:hAnsi="Arial" w:cs="Arial"/>
        </w:rPr>
        <w:t xml:space="preserve"> </w:t>
      </w:r>
      <w:r w:rsidRPr="0073536B">
        <w:rPr>
          <w:rFonts w:ascii="Arial" w:hAnsi="Arial" w:cs="Arial"/>
        </w:rPr>
        <w:t xml:space="preserve">Clients </w:t>
      </w:r>
      <w:r w:rsidR="0073536B" w:rsidRPr="0073536B">
        <w:rPr>
          <w:rFonts w:ascii="Arial" w:hAnsi="Arial" w:cs="Arial"/>
        </w:rPr>
        <w:t>enter</w:t>
      </w:r>
      <w:r w:rsidRPr="0073536B">
        <w:rPr>
          <w:rFonts w:ascii="Arial" w:hAnsi="Arial" w:cs="Arial"/>
        </w:rPr>
        <w:t xml:space="preserve"> long-term contracts to purchase renewable energy at fixed rates, assuring stable revenue. A 1 MW solar plant may generate around 1.5 million kWh per year, or £150,000 at a rate of $0.10 per kWh (Coldwell Solar, 2023). As we grow to 10 MW, our annual revenues could surpass £1.5 million.</w:t>
      </w:r>
    </w:p>
    <w:p w14:paraId="1EEBB73A" w14:textId="58ECB8B1" w:rsidR="00323E3A" w:rsidRPr="0073536B" w:rsidRDefault="0073536B" w:rsidP="0073536B">
      <w:pPr>
        <w:pStyle w:val="ListParagraph"/>
        <w:numPr>
          <w:ilvl w:val="0"/>
          <w:numId w:val="18"/>
        </w:numPr>
        <w:spacing w:line="480" w:lineRule="auto"/>
        <w:jc w:val="both"/>
        <w:rPr>
          <w:rFonts w:ascii="Arial" w:hAnsi="Arial" w:cs="Arial"/>
        </w:rPr>
      </w:pPr>
      <w:r w:rsidRPr="0073536B">
        <w:rPr>
          <w:rFonts w:ascii="Arial" w:hAnsi="Arial" w:cs="Arial"/>
        </w:rPr>
        <w:t>Instalment</w:t>
      </w:r>
      <w:r w:rsidR="00323E3A" w:rsidRPr="0073536B">
        <w:rPr>
          <w:rFonts w:ascii="Arial" w:hAnsi="Arial" w:cs="Arial"/>
        </w:rPr>
        <w:t xml:space="preserve"> contracts:</w:t>
      </w:r>
      <w:r w:rsidRPr="0073536B">
        <w:rPr>
          <w:rFonts w:ascii="Arial" w:hAnsi="Arial" w:cs="Arial"/>
        </w:rPr>
        <w:t xml:space="preserve"> </w:t>
      </w:r>
      <w:r w:rsidR="00323E3A" w:rsidRPr="0073536B">
        <w:rPr>
          <w:rFonts w:ascii="Arial" w:hAnsi="Arial" w:cs="Arial"/>
        </w:rPr>
        <w:t>Direct sales of solar systems to commercial clients generate one-time revenue while also creating case studies. Each installation (200-500 kW) is projected to generate considerable up-front payments.</w:t>
      </w:r>
    </w:p>
    <w:p w14:paraId="76541F5D" w14:textId="2D351BAF" w:rsidR="00323E3A" w:rsidRPr="0073536B" w:rsidRDefault="00323E3A" w:rsidP="0073536B">
      <w:pPr>
        <w:pStyle w:val="ListParagraph"/>
        <w:numPr>
          <w:ilvl w:val="0"/>
          <w:numId w:val="18"/>
        </w:numPr>
        <w:spacing w:line="480" w:lineRule="auto"/>
        <w:jc w:val="both"/>
        <w:rPr>
          <w:rFonts w:ascii="Arial" w:hAnsi="Arial" w:cs="Arial"/>
        </w:rPr>
      </w:pPr>
      <w:r w:rsidRPr="0073536B">
        <w:rPr>
          <w:rFonts w:ascii="Arial" w:hAnsi="Arial" w:cs="Arial"/>
        </w:rPr>
        <w:lastRenderedPageBreak/>
        <w:t>Maintenance and service contracts:</w:t>
      </w:r>
      <w:r w:rsidR="0073536B" w:rsidRPr="0073536B">
        <w:rPr>
          <w:rFonts w:ascii="Arial" w:hAnsi="Arial" w:cs="Arial"/>
        </w:rPr>
        <w:t xml:space="preserve"> </w:t>
      </w:r>
      <w:r w:rsidRPr="0073536B">
        <w:rPr>
          <w:rFonts w:ascii="Arial" w:hAnsi="Arial" w:cs="Arial"/>
        </w:rPr>
        <w:t>Recurring revenue from servicing installed systems is expected to be 1-2% of installation costs per year.</w:t>
      </w:r>
    </w:p>
    <w:p w14:paraId="14DE22D5" w14:textId="1C352007" w:rsidR="00323E3A" w:rsidRPr="0073536B" w:rsidRDefault="00323E3A" w:rsidP="0073536B">
      <w:pPr>
        <w:pStyle w:val="ListParagraph"/>
        <w:numPr>
          <w:ilvl w:val="0"/>
          <w:numId w:val="18"/>
        </w:numPr>
        <w:spacing w:line="480" w:lineRule="auto"/>
        <w:jc w:val="both"/>
        <w:rPr>
          <w:rFonts w:ascii="Arial" w:hAnsi="Arial" w:cs="Arial"/>
        </w:rPr>
      </w:pPr>
      <w:r w:rsidRPr="0073536B">
        <w:rPr>
          <w:rFonts w:ascii="Arial" w:hAnsi="Arial" w:cs="Arial"/>
        </w:rPr>
        <w:t>Incentive and Renewable Credits:</w:t>
      </w:r>
      <w:r w:rsidR="0073536B" w:rsidRPr="0073536B">
        <w:rPr>
          <w:rFonts w:ascii="Arial" w:hAnsi="Arial" w:cs="Arial"/>
        </w:rPr>
        <w:t xml:space="preserve"> </w:t>
      </w:r>
      <w:r w:rsidRPr="0073536B">
        <w:rPr>
          <w:rFonts w:ascii="Arial" w:hAnsi="Arial" w:cs="Arial"/>
        </w:rPr>
        <w:t>Government grants, tax credits, and renewable energy certificates (RECs) will boost revenue by offsetting capital expenses.</w:t>
      </w:r>
    </w:p>
    <w:p w14:paraId="28EB0CDD"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Cost Structure</w:t>
      </w:r>
    </w:p>
    <w:p w14:paraId="65E110A1" w14:textId="7C6EA26E" w:rsidR="00323E3A" w:rsidRPr="0073536B" w:rsidRDefault="00323E3A" w:rsidP="0073536B">
      <w:pPr>
        <w:pStyle w:val="ListParagraph"/>
        <w:numPr>
          <w:ilvl w:val="0"/>
          <w:numId w:val="19"/>
        </w:numPr>
        <w:spacing w:line="480" w:lineRule="auto"/>
        <w:jc w:val="both"/>
        <w:rPr>
          <w:rFonts w:ascii="Arial" w:hAnsi="Arial" w:cs="Arial"/>
        </w:rPr>
      </w:pPr>
      <w:r w:rsidRPr="0073536B">
        <w:rPr>
          <w:rFonts w:ascii="Arial" w:hAnsi="Arial" w:cs="Arial"/>
        </w:rPr>
        <w:t>Capital expenditures (capex):</w:t>
      </w:r>
      <w:r w:rsidR="0073536B" w:rsidRPr="0073536B">
        <w:rPr>
          <w:rFonts w:ascii="Arial" w:hAnsi="Arial" w:cs="Arial"/>
        </w:rPr>
        <w:t xml:space="preserve"> </w:t>
      </w:r>
      <w:r w:rsidRPr="0073536B">
        <w:rPr>
          <w:rFonts w:ascii="Arial" w:hAnsi="Arial" w:cs="Arial"/>
        </w:rPr>
        <w:t xml:space="preserve">Solar installations typically range from £900,000 to £1,000,000 per MW (Coldwell Solar, 2023). Our initial </w:t>
      </w:r>
      <w:r w:rsidR="0073536B" w:rsidRPr="0073536B">
        <w:rPr>
          <w:rFonts w:ascii="Arial" w:hAnsi="Arial" w:cs="Arial"/>
        </w:rPr>
        <w:t>Capex</w:t>
      </w:r>
      <w:r w:rsidRPr="0073536B">
        <w:rPr>
          <w:rFonts w:ascii="Arial" w:hAnsi="Arial" w:cs="Arial"/>
        </w:rPr>
        <w:t xml:space="preserve"> for early projects is expected to be £2 million, with an increase to £5-6 million as we scale.</w:t>
      </w:r>
    </w:p>
    <w:p w14:paraId="0CEA3604" w14:textId="134C5F25" w:rsidR="00323E3A" w:rsidRPr="0073536B" w:rsidRDefault="00323E3A" w:rsidP="0073536B">
      <w:pPr>
        <w:pStyle w:val="ListParagraph"/>
        <w:numPr>
          <w:ilvl w:val="0"/>
          <w:numId w:val="19"/>
        </w:numPr>
        <w:spacing w:line="480" w:lineRule="auto"/>
        <w:jc w:val="both"/>
        <w:rPr>
          <w:rFonts w:ascii="Arial" w:hAnsi="Arial" w:cs="Arial"/>
        </w:rPr>
      </w:pPr>
      <w:r w:rsidRPr="0073536B">
        <w:rPr>
          <w:rFonts w:ascii="Arial" w:hAnsi="Arial" w:cs="Arial"/>
        </w:rPr>
        <w:t>Operating Expenses:</w:t>
      </w:r>
      <w:r w:rsidR="0073536B" w:rsidRPr="0073536B">
        <w:rPr>
          <w:rFonts w:ascii="Arial" w:hAnsi="Arial" w:cs="Arial"/>
        </w:rPr>
        <w:t xml:space="preserve"> </w:t>
      </w:r>
      <w:r w:rsidRPr="0073536B">
        <w:rPr>
          <w:rFonts w:ascii="Arial" w:hAnsi="Arial" w:cs="Arial"/>
        </w:rPr>
        <w:t>Salaries, rent, maintenance, marketing, and administrative expenses are all examples of ongoing costs. These are predicted to increase from roughly £500,000 in Year 1 to around £1 million in Year 5.</w:t>
      </w:r>
    </w:p>
    <w:p w14:paraId="4162AEDF" w14:textId="139C1DD3" w:rsidR="00323E3A" w:rsidRPr="0073536B" w:rsidRDefault="00323E3A" w:rsidP="0073536B">
      <w:pPr>
        <w:pStyle w:val="ListParagraph"/>
        <w:numPr>
          <w:ilvl w:val="0"/>
          <w:numId w:val="19"/>
        </w:numPr>
        <w:spacing w:line="480" w:lineRule="auto"/>
        <w:jc w:val="both"/>
        <w:rPr>
          <w:rFonts w:ascii="Arial" w:hAnsi="Arial" w:cs="Arial"/>
        </w:rPr>
      </w:pPr>
      <w:r w:rsidRPr="0073536B">
        <w:rPr>
          <w:rFonts w:ascii="Arial" w:hAnsi="Arial" w:cs="Arial"/>
        </w:rPr>
        <w:t>Debt Service:</w:t>
      </w:r>
      <w:r w:rsidR="0073536B" w:rsidRPr="0073536B">
        <w:rPr>
          <w:rFonts w:ascii="Arial" w:hAnsi="Arial" w:cs="Arial"/>
        </w:rPr>
        <w:t xml:space="preserve"> </w:t>
      </w:r>
      <w:r w:rsidRPr="0073536B">
        <w:rPr>
          <w:rFonts w:ascii="Arial" w:hAnsi="Arial" w:cs="Arial"/>
        </w:rPr>
        <w:t>If finance is obtained through loans or bonds, interest payments will be included in our operating costs.</w:t>
      </w:r>
    </w:p>
    <w:p w14:paraId="01DB86D8"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Cash flow and profitability</w:t>
      </w:r>
    </w:p>
    <w:p w14:paraId="5DD0BA2C" w14:textId="1401C444" w:rsidR="00323E3A" w:rsidRPr="00323E3A" w:rsidRDefault="00323E3A" w:rsidP="00323E3A">
      <w:pPr>
        <w:spacing w:line="480" w:lineRule="auto"/>
        <w:jc w:val="both"/>
        <w:rPr>
          <w:rFonts w:ascii="Arial" w:hAnsi="Arial" w:cs="Arial"/>
        </w:rPr>
      </w:pPr>
      <w:r w:rsidRPr="00323E3A">
        <w:rPr>
          <w:rFonts w:ascii="Arial" w:hAnsi="Arial" w:cs="Arial"/>
        </w:rPr>
        <w:t xml:space="preserve">Due to significant capital expenditures and low initial revenues, the launch period (Years 1-2) is predicted to generate negative cash flow. By year three, revenue growth from PPAs and service contracts should have brought us </w:t>
      </w:r>
      <w:r w:rsidR="0073536B" w:rsidRPr="00323E3A">
        <w:rPr>
          <w:rFonts w:ascii="Arial" w:hAnsi="Arial" w:cs="Arial"/>
        </w:rPr>
        <w:t>too</w:t>
      </w:r>
      <w:r w:rsidRPr="00323E3A">
        <w:rPr>
          <w:rFonts w:ascii="Arial" w:hAnsi="Arial" w:cs="Arial"/>
        </w:rPr>
        <w:t xml:space="preserve"> breakeven. We expect to achieve a net profit margin of 15-20% by Year 5 as recurring revenues grow and operating efficiencies improve. Continuous monitoring of monthly cash flow and quarterly financial assessments will allow us to quickly alter strategy (IRENA, 2021).</w:t>
      </w:r>
    </w:p>
    <w:p w14:paraId="2B83228C" w14:textId="77777777" w:rsidR="00323E3A" w:rsidRPr="00323E3A" w:rsidRDefault="00323E3A" w:rsidP="00323E3A">
      <w:pPr>
        <w:spacing w:line="480" w:lineRule="auto"/>
        <w:jc w:val="both"/>
        <w:rPr>
          <w:rFonts w:ascii="Arial" w:hAnsi="Arial" w:cs="Arial"/>
        </w:rPr>
      </w:pPr>
    </w:p>
    <w:p w14:paraId="60D1294D" w14:textId="22D31D6D"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lastRenderedPageBreak/>
        <w:t>Return on Investment</w:t>
      </w:r>
    </w:p>
    <w:p w14:paraId="532A6403" w14:textId="77777777" w:rsidR="00323E3A" w:rsidRPr="00323E3A" w:rsidRDefault="00323E3A" w:rsidP="00323E3A">
      <w:pPr>
        <w:spacing w:line="480" w:lineRule="auto"/>
        <w:jc w:val="both"/>
        <w:rPr>
          <w:rFonts w:ascii="Arial" w:hAnsi="Arial" w:cs="Arial"/>
        </w:rPr>
      </w:pPr>
      <w:r w:rsidRPr="00323E3A">
        <w:rPr>
          <w:rFonts w:ascii="Arial" w:hAnsi="Arial" w:cs="Arial"/>
        </w:rPr>
        <w:t>Over a 20-year project lifecycle, each solar installation is expected to deliver a consistent return. We aim for an internal rate of return (IRR) of at least 15% by Year 5, in line with industry benchmarks for renewable energy investments. This strong ROI will be supported by solid long-term PPAs and reduced operational risks.</w:t>
      </w:r>
    </w:p>
    <w:p w14:paraId="1AD16E80" w14:textId="71CF93F3"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Contingency Plan</w:t>
      </w:r>
    </w:p>
    <w:p w14:paraId="6F88E144" w14:textId="77777777" w:rsidR="00323E3A" w:rsidRPr="00323E3A" w:rsidRDefault="00323E3A" w:rsidP="00323E3A">
      <w:pPr>
        <w:spacing w:line="480" w:lineRule="auto"/>
        <w:jc w:val="both"/>
        <w:rPr>
          <w:rFonts w:ascii="Arial" w:hAnsi="Arial" w:cs="Arial"/>
        </w:rPr>
      </w:pPr>
      <w:r w:rsidRPr="00323E3A">
        <w:rPr>
          <w:rFonts w:ascii="Arial" w:hAnsi="Arial" w:cs="Arial"/>
        </w:rPr>
        <w:t>GreenFuture Energy has devised extensive risk management measures to reduce any disruptions.</w:t>
      </w:r>
    </w:p>
    <w:p w14:paraId="5F5AFCC1" w14:textId="77777777" w:rsidR="00323E3A" w:rsidRPr="0073536B" w:rsidRDefault="00323E3A" w:rsidP="00323E3A">
      <w:pPr>
        <w:spacing w:line="480" w:lineRule="auto"/>
        <w:jc w:val="both"/>
        <w:rPr>
          <w:rFonts w:ascii="Arial Black" w:hAnsi="Arial Black" w:cs="Arial"/>
          <w:color w:val="00B0F0"/>
        </w:rPr>
      </w:pPr>
      <w:r w:rsidRPr="0073536B">
        <w:rPr>
          <w:rFonts w:ascii="Arial Black" w:hAnsi="Arial Black" w:cs="Arial"/>
          <w:color w:val="00B0F0"/>
        </w:rPr>
        <w:t>Financial Contingencies</w:t>
      </w:r>
    </w:p>
    <w:p w14:paraId="3CAA3D35" w14:textId="3C18C545" w:rsidR="00323E3A" w:rsidRPr="00514564" w:rsidRDefault="00323E3A" w:rsidP="00514564">
      <w:pPr>
        <w:pStyle w:val="ListParagraph"/>
        <w:numPr>
          <w:ilvl w:val="0"/>
          <w:numId w:val="20"/>
        </w:numPr>
        <w:spacing w:line="480" w:lineRule="auto"/>
        <w:jc w:val="both"/>
        <w:rPr>
          <w:rFonts w:ascii="Arial" w:hAnsi="Arial" w:cs="Arial"/>
        </w:rPr>
      </w:pPr>
      <w:r w:rsidRPr="00514564">
        <w:rPr>
          <w:rFonts w:ascii="Arial" w:hAnsi="Arial" w:cs="Arial"/>
        </w:rPr>
        <w:t>Cash reserves:</w:t>
      </w:r>
      <w:r w:rsidR="0073536B" w:rsidRPr="00514564">
        <w:rPr>
          <w:rFonts w:ascii="Arial" w:hAnsi="Arial" w:cs="Arial"/>
        </w:rPr>
        <w:t xml:space="preserve"> </w:t>
      </w:r>
      <w:r w:rsidRPr="00514564">
        <w:rPr>
          <w:rFonts w:ascii="Arial" w:hAnsi="Arial" w:cs="Arial"/>
        </w:rPr>
        <w:t>A contingency reserve equal to 10% of the initial cash will be set aside to cover unexpected expenses or delays.</w:t>
      </w:r>
    </w:p>
    <w:p w14:paraId="5B2851C0" w14:textId="5435DA44" w:rsidR="00323E3A" w:rsidRPr="00514564" w:rsidRDefault="00323E3A" w:rsidP="00514564">
      <w:pPr>
        <w:pStyle w:val="ListParagraph"/>
        <w:numPr>
          <w:ilvl w:val="0"/>
          <w:numId w:val="20"/>
        </w:numPr>
        <w:spacing w:line="480" w:lineRule="auto"/>
        <w:jc w:val="both"/>
        <w:rPr>
          <w:rFonts w:ascii="Arial" w:hAnsi="Arial" w:cs="Arial"/>
        </w:rPr>
      </w:pPr>
      <w:r w:rsidRPr="00514564">
        <w:rPr>
          <w:rFonts w:ascii="Arial" w:hAnsi="Arial" w:cs="Arial"/>
        </w:rPr>
        <w:t>Cost Reduction:</w:t>
      </w:r>
      <w:r w:rsidR="0073536B" w:rsidRPr="00514564">
        <w:rPr>
          <w:rFonts w:ascii="Arial" w:hAnsi="Arial" w:cs="Arial"/>
        </w:rPr>
        <w:t xml:space="preserve"> </w:t>
      </w:r>
      <w:r w:rsidRPr="00514564">
        <w:rPr>
          <w:rFonts w:ascii="Arial" w:hAnsi="Arial" w:cs="Arial"/>
        </w:rPr>
        <w:t>In the event of lower-than-expected revenue, discretionary spending will be reduced and non-critical projects postponed.</w:t>
      </w:r>
    </w:p>
    <w:p w14:paraId="70CE9ACB" w14:textId="5B8A48F2" w:rsidR="00323E3A" w:rsidRPr="00514564" w:rsidRDefault="00323E3A" w:rsidP="00514564">
      <w:pPr>
        <w:pStyle w:val="ListParagraph"/>
        <w:numPr>
          <w:ilvl w:val="0"/>
          <w:numId w:val="20"/>
        </w:numPr>
        <w:spacing w:line="480" w:lineRule="auto"/>
        <w:jc w:val="both"/>
        <w:rPr>
          <w:rFonts w:ascii="Arial" w:hAnsi="Arial" w:cs="Arial"/>
        </w:rPr>
      </w:pPr>
      <w:r w:rsidRPr="00514564">
        <w:rPr>
          <w:rFonts w:ascii="Arial" w:hAnsi="Arial" w:cs="Arial"/>
        </w:rPr>
        <w:t>Bridge Financing:</w:t>
      </w:r>
      <w:r w:rsidR="0073536B" w:rsidRPr="00514564">
        <w:rPr>
          <w:rFonts w:ascii="Arial" w:hAnsi="Arial" w:cs="Arial"/>
        </w:rPr>
        <w:t xml:space="preserve"> </w:t>
      </w:r>
      <w:r w:rsidRPr="00514564">
        <w:rPr>
          <w:rFonts w:ascii="Arial" w:hAnsi="Arial" w:cs="Arial"/>
        </w:rPr>
        <w:t xml:space="preserve">If cash flow concerns emerge, we will </w:t>
      </w:r>
      <w:r w:rsidR="0073536B" w:rsidRPr="00514564">
        <w:rPr>
          <w:rFonts w:ascii="Arial" w:hAnsi="Arial" w:cs="Arial"/>
        </w:rPr>
        <w:t>investigate</w:t>
      </w:r>
      <w:r w:rsidRPr="00514564">
        <w:rPr>
          <w:rFonts w:ascii="Arial" w:hAnsi="Arial" w:cs="Arial"/>
        </w:rPr>
        <w:t xml:space="preserve"> short-term bridge financing or strategic partnerships to secure the funds.</w:t>
      </w:r>
    </w:p>
    <w:p w14:paraId="41155EB3" w14:textId="77777777" w:rsidR="00323E3A" w:rsidRPr="00514564" w:rsidRDefault="00323E3A" w:rsidP="00323E3A">
      <w:pPr>
        <w:spacing w:line="480" w:lineRule="auto"/>
        <w:jc w:val="both"/>
        <w:rPr>
          <w:rFonts w:ascii="Arial Black" w:hAnsi="Arial Black" w:cs="Arial"/>
          <w:color w:val="00B0F0"/>
        </w:rPr>
      </w:pPr>
      <w:r w:rsidRPr="00514564">
        <w:rPr>
          <w:rFonts w:ascii="Arial Black" w:hAnsi="Arial Black" w:cs="Arial"/>
          <w:color w:val="00B0F0"/>
        </w:rPr>
        <w:t>Regulatory and policy risks</w:t>
      </w:r>
    </w:p>
    <w:p w14:paraId="5C07BA71" w14:textId="72AD2CD3" w:rsidR="00323E3A" w:rsidRPr="00514564" w:rsidRDefault="00323E3A" w:rsidP="00514564">
      <w:pPr>
        <w:pStyle w:val="ListParagraph"/>
        <w:numPr>
          <w:ilvl w:val="0"/>
          <w:numId w:val="21"/>
        </w:numPr>
        <w:spacing w:line="480" w:lineRule="auto"/>
        <w:jc w:val="both"/>
        <w:rPr>
          <w:rFonts w:ascii="Arial" w:hAnsi="Arial" w:cs="Arial"/>
        </w:rPr>
      </w:pPr>
      <w:r w:rsidRPr="00514564">
        <w:rPr>
          <w:rFonts w:ascii="Arial" w:hAnsi="Arial" w:cs="Arial"/>
        </w:rPr>
        <w:t>Proactive Engagement:</w:t>
      </w:r>
      <w:r w:rsidR="00514564" w:rsidRPr="00514564">
        <w:rPr>
          <w:rFonts w:ascii="Arial" w:hAnsi="Arial" w:cs="Arial"/>
        </w:rPr>
        <w:t xml:space="preserve"> </w:t>
      </w:r>
      <w:r w:rsidRPr="00514564">
        <w:rPr>
          <w:rFonts w:ascii="Arial" w:hAnsi="Arial" w:cs="Arial"/>
        </w:rPr>
        <w:t>We will continue to communicate with regulatory bodies and industry associations to anticipate policy changes.</w:t>
      </w:r>
    </w:p>
    <w:p w14:paraId="210780FB" w14:textId="4E313900" w:rsidR="00323E3A" w:rsidRPr="00514564" w:rsidRDefault="00323E3A" w:rsidP="00514564">
      <w:pPr>
        <w:pStyle w:val="ListParagraph"/>
        <w:numPr>
          <w:ilvl w:val="0"/>
          <w:numId w:val="21"/>
        </w:numPr>
        <w:spacing w:line="480" w:lineRule="auto"/>
        <w:jc w:val="both"/>
        <w:rPr>
          <w:rFonts w:ascii="Arial" w:hAnsi="Arial" w:cs="Arial"/>
        </w:rPr>
      </w:pPr>
      <w:r w:rsidRPr="00514564">
        <w:rPr>
          <w:rFonts w:ascii="Arial" w:hAnsi="Arial" w:cs="Arial"/>
        </w:rPr>
        <w:t>Diversified markets:</w:t>
      </w:r>
      <w:r w:rsidR="00514564" w:rsidRPr="00514564">
        <w:rPr>
          <w:rFonts w:ascii="Arial" w:hAnsi="Arial" w:cs="Arial"/>
        </w:rPr>
        <w:t xml:space="preserve"> </w:t>
      </w:r>
      <w:r w:rsidRPr="00514564">
        <w:rPr>
          <w:rFonts w:ascii="Arial" w:hAnsi="Arial" w:cs="Arial"/>
        </w:rPr>
        <w:t>Operating across various geographic regions lowers reliance on a single regulatory framework, ensuring project viability if local incentives decrease.</w:t>
      </w:r>
    </w:p>
    <w:p w14:paraId="4118FDE7" w14:textId="77777777" w:rsidR="00514564" w:rsidRDefault="00514564" w:rsidP="00323E3A">
      <w:pPr>
        <w:spacing w:line="480" w:lineRule="auto"/>
        <w:jc w:val="both"/>
        <w:rPr>
          <w:rFonts w:ascii="Arial" w:hAnsi="Arial" w:cs="Arial"/>
        </w:rPr>
      </w:pPr>
    </w:p>
    <w:p w14:paraId="37EBD767" w14:textId="79580732" w:rsidR="00323E3A" w:rsidRPr="00514564" w:rsidRDefault="00323E3A" w:rsidP="00323E3A">
      <w:pPr>
        <w:spacing w:line="480" w:lineRule="auto"/>
        <w:jc w:val="both"/>
        <w:rPr>
          <w:rFonts w:ascii="Arial Black" w:hAnsi="Arial Black" w:cs="Arial"/>
          <w:color w:val="00B0F0"/>
        </w:rPr>
      </w:pPr>
      <w:r w:rsidRPr="00514564">
        <w:rPr>
          <w:rFonts w:ascii="Arial Black" w:hAnsi="Arial Black" w:cs="Arial"/>
          <w:color w:val="00B0F0"/>
        </w:rPr>
        <w:lastRenderedPageBreak/>
        <w:t>Supply Chain and Operations Risks</w:t>
      </w:r>
    </w:p>
    <w:p w14:paraId="16E060BA" w14:textId="5D563E4D" w:rsidR="00323E3A" w:rsidRPr="00514564" w:rsidRDefault="00323E3A" w:rsidP="00514564">
      <w:pPr>
        <w:pStyle w:val="ListParagraph"/>
        <w:numPr>
          <w:ilvl w:val="0"/>
          <w:numId w:val="22"/>
        </w:numPr>
        <w:spacing w:line="480" w:lineRule="auto"/>
        <w:jc w:val="both"/>
        <w:rPr>
          <w:rFonts w:ascii="Arial" w:hAnsi="Arial" w:cs="Arial"/>
        </w:rPr>
      </w:pPr>
      <w:r w:rsidRPr="00514564">
        <w:rPr>
          <w:rFonts w:ascii="Arial" w:hAnsi="Arial" w:cs="Arial"/>
        </w:rPr>
        <w:t>Multiple suppliers:</w:t>
      </w:r>
      <w:r w:rsidR="00514564" w:rsidRPr="00514564">
        <w:rPr>
          <w:rFonts w:ascii="Arial" w:hAnsi="Arial" w:cs="Arial"/>
        </w:rPr>
        <w:t xml:space="preserve"> </w:t>
      </w:r>
      <w:r w:rsidRPr="00514564">
        <w:rPr>
          <w:rFonts w:ascii="Arial" w:hAnsi="Arial" w:cs="Arial"/>
        </w:rPr>
        <w:t>Establishing relations with multiple reliable vendors reduces the chance of delays or cost increases.</w:t>
      </w:r>
    </w:p>
    <w:p w14:paraId="3EFC3EC0" w14:textId="4A6CE8C2" w:rsidR="00323E3A" w:rsidRPr="00514564" w:rsidRDefault="00323E3A" w:rsidP="00514564">
      <w:pPr>
        <w:pStyle w:val="ListParagraph"/>
        <w:numPr>
          <w:ilvl w:val="0"/>
          <w:numId w:val="22"/>
        </w:numPr>
        <w:spacing w:line="480" w:lineRule="auto"/>
        <w:jc w:val="both"/>
        <w:rPr>
          <w:rFonts w:ascii="Arial" w:hAnsi="Arial" w:cs="Arial"/>
        </w:rPr>
      </w:pPr>
      <w:r w:rsidRPr="00514564">
        <w:rPr>
          <w:rFonts w:ascii="Arial" w:hAnsi="Arial" w:cs="Arial"/>
        </w:rPr>
        <w:t>Inventory Management:</w:t>
      </w:r>
      <w:r w:rsidR="00514564" w:rsidRPr="00514564">
        <w:rPr>
          <w:rFonts w:ascii="Arial" w:hAnsi="Arial" w:cs="Arial"/>
        </w:rPr>
        <w:t xml:space="preserve"> </w:t>
      </w:r>
      <w:r w:rsidRPr="00514564">
        <w:rPr>
          <w:rFonts w:ascii="Arial" w:hAnsi="Arial" w:cs="Arial"/>
        </w:rPr>
        <w:t>Maintaining a crucial component reserve guarantees that replacements are made on time in the event of an unexpected supply disruption.</w:t>
      </w:r>
    </w:p>
    <w:p w14:paraId="17C896DB" w14:textId="2026049C" w:rsidR="00323E3A" w:rsidRPr="00514564" w:rsidRDefault="00323E3A" w:rsidP="00514564">
      <w:pPr>
        <w:pStyle w:val="ListParagraph"/>
        <w:numPr>
          <w:ilvl w:val="0"/>
          <w:numId w:val="22"/>
        </w:numPr>
        <w:spacing w:line="480" w:lineRule="auto"/>
        <w:jc w:val="both"/>
        <w:rPr>
          <w:rFonts w:ascii="Arial" w:hAnsi="Arial" w:cs="Arial"/>
        </w:rPr>
      </w:pPr>
      <w:r w:rsidRPr="00514564">
        <w:rPr>
          <w:rFonts w:ascii="Arial" w:hAnsi="Arial" w:cs="Arial"/>
        </w:rPr>
        <w:t>Insurance Coverage:</w:t>
      </w:r>
      <w:r w:rsidR="00514564" w:rsidRPr="00514564">
        <w:rPr>
          <w:rFonts w:ascii="Arial" w:hAnsi="Arial" w:cs="Arial"/>
        </w:rPr>
        <w:t xml:space="preserve"> </w:t>
      </w:r>
      <w:r w:rsidRPr="00514564">
        <w:rPr>
          <w:rFonts w:ascii="Arial" w:hAnsi="Arial" w:cs="Arial"/>
        </w:rPr>
        <w:t>Comprehensive insurance policies provide coverage for property damage, construction delays, and other operational risks.</w:t>
      </w:r>
    </w:p>
    <w:p w14:paraId="055014B9" w14:textId="77777777" w:rsidR="00323E3A" w:rsidRPr="00514564" w:rsidRDefault="00323E3A" w:rsidP="00323E3A">
      <w:pPr>
        <w:spacing w:line="480" w:lineRule="auto"/>
        <w:jc w:val="both"/>
        <w:rPr>
          <w:rFonts w:ascii="Arial Black" w:hAnsi="Arial Black" w:cs="Arial"/>
          <w:color w:val="00B0F0"/>
        </w:rPr>
      </w:pPr>
      <w:r w:rsidRPr="00514564">
        <w:rPr>
          <w:rFonts w:ascii="Arial Black" w:hAnsi="Arial Black" w:cs="Arial"/>
          <w:color w:val="00B0F0"/>
        </w:rPr>
        <w:t>Market and Competitive Risks</w:t>
      </w:r>
    </w:p>
    <w:p w14:paraId="2D853223" w14:textId="7CEDD331" w:rsidR="00323E3A" w:rsidRPr="00514564" w:rsidRDefault="00323E3A" w:rsidP="00514564">
      <w:pPr>
        <w:pStyle w:val="ListParagraph"/>
        <w:numPr>
          <w:ilvl w:val="0"/>
          <w:numId w:val="23"/>
        </w:numPr>
        <w:spacing w:line="480" w:lineRule="auto"/>
        <w:jc w:val="both"/>
        <w:rPr>
          <w:rFonts w:ascii="Arial" w:hAnsi="Arial" w:cs="Arial"/>
        </w:rPr>
      </w:pPr>
      <w:r w:rsidRPr="00514564">
        <w:rPr>
          <w:rFonts w:ascii="Arial" w:hAnsi="Arial" w:cs="Arial"/>
        </w:rPr>
        <w:t>Agile Strategy:</w:t>
      </w:r>
      <w:r w:rsidR="00514564" w:rsidRPr="00514564">
        <w:rPr>
          <w:rFonts w:ascii="Arial" w:hAnsi="Arial" w:cs="Arial"/>
        </w:rPr>
        <w:t xml:space="preserve"> </w:t>
      </w:r>
      <w:r w:rsidRPr="00514564">
        <w:rPr>
          <w:rFonts w:ascii="Arial" w:hAnsi="Arial" w:cs="Arial"/>
        </w:rPr>
        <w:t>Regular market analysis will allow for timely strategic pivots if competitive pressures increase.</w:t>
      </w:r>
    </w:p>
    <w:p w14:paraId="01C8D301" w14:textId="0C287BF6" w:rsidR="00323E3A" w:rsidRPr="00514564" w:rsidRDefault="00323E3A" w:rsidP="00514564">
      <w:pPr>
        <w:pStyle w:val="ListParagraph"/>
        <w:numPr>
          <w:ilvl w:val="0"/>
          <w:numId w:val="23"/>
        </w:numPr>
        <w:spacing w:line="480" w:lineRule="auto"/>
        <w:jc w:val="both"/>
        <w:rPr>
          <w:rFonts w:ascii="Arial" w:hAnsi="Arial" w:cs="Arial"/>
        </w:rPr>
      </w:pPr>
      <w:r w:rsidRPr="00514564">
        <w:rPr>
          <w:rFonts w:ascii="Arial" w:hAnsi="Arial" w:cs="Arial"/>
        </w:rPr>
        <w:t>Diversified service offerings:</w:t>
      </w:r>
      <w:r w:rsidR="00514564" w:rsidRPr="00514564">
        <w:rPr>
          <w:rFonts w:ascii="Arial" w:hAnsi="Arial" w:cs="Arial"/>
        </w:rPr>
        <w:t xml:space="preserve"> </w:t>
      </w:r>
      <w:r w:rsidRPr="00514564">
        <w:rPr>
          <w:rFonts w:ascii="Arial" w:hAnsi="Arial" w:cs="Arial"/>
        </w:rPr>
        <w:t>If demand for solar falls, expanding into related green services (such as energy efficiency consultancy) will give additional revenue streams.</w:t>
      </w:r>
    </w:p>
    <w:p w14:paraId="71A96078" w14:textId="10537827" w:rsidR="00323E3A" w:rsidRDefault="00323E3A" w:rsidP="00323E3A">
      <w:pPr>
        <w:spacing w:line="480" w:lineRule="auto"/>
        <w:jc w:val="both"/>
        <w:rPr>
          <w:rFonts w:ascii="Arial" w:hAnsi="Arial" w:cs="Arial"/>
        </w:rPr>
      </w:pPr>
      <w:r w:rsidRPr="00323E3A">
        <w:rPr>
          <w:rFonts w:ascii="Arial" w:hAnsi="Arial" w:cs="Arial"/>
        </w:rPr>
        <w:t>These precautionary measures are incorporated into our operational, financial, and strategic plans. Regular evaluations will guarantee that our risk management strategy advances alongside the business and the external environment.</w:t>
      </w:r>
    </w:p>
    <w:p w14:paraId="4CC058F0" w14:textId="77777777" w:rsidR="00514564" w:rsidRDefault="00514564" w:rsidP="00323E3A">
      <w:pPr>
        <w:spacing w:line="480" w:lineRule="auto"/>
        <w:jc w:val="both"/>
        <w:rPr>
          <w:rFonts w:ascii="Arial" w:hAnsi="Arial" w:cs="Arial"/>
        </w:rPr>
      </w:pPr>
    </w:p>
    <w:p w14:paraId="2573F2BC" w14:textId="77777777" w:rsidR="00514564" w:rsidRDefault="00514564" w:rsidP="00323E3A">
      <w:pPr>
        <w:spacing w:line="480" w:lineRule="auto"/>
        <w:jc w:val="both"/>
        <w:rPr>
          <w:rFonts w:ascii="Arial" w:hAnsi="Arial" w:cs="Arial"/>
        </w:rPr>
      </w:pPr>
    </w:p>
    <w:p w14:paraId="1EDE0868" w14:textId="77777777" w:rsidR="00514564" w:rsidRDefault="00514564" w:rsidP="00323E3A">
      <w:pPr>
        <w:spacing w:line="480" w:lineRule="auto"/>
        <w:jc w:val="both"/>
        <w:rPr>
          <w:rFonts w:ascii="Arial" w:hAnsi="Arial" w:cs="Arial"/>
        </w:rPr>
      </w:pPr>
    </w:p>
    <w:p w14:paraId="4001CC0B" w14:textId="77777777" w:rsidR="00514564" w:rsidRDefault="00514564" w:rsidP="00323E3A">
      <w:pPr>
        <w:spacing w:line="480" w:lineRule="auto"/>
        <w:jc w:val="both"/>
        <w:rPr>
          <w:rFonts w:ascii="Arial" w:hAnsi="Arial" w:cs="Arial"/>
        </w:rPr>
      </w:pPr>
    </w:p>
    <w:p w14:paraId="1BBB2D3A" w14:textId="77777777" w:rsidR="00514564" w:rsidRDefault="00514564" w:rsidP="00323E3A">
      <w:pPr>
        <w:spacing w:line="480" w:lineRule="auto"/>
        <w:jc w:val="both"/>
        <w:rPr>
          <w:rFonts w:ascii="Arial" w:hAnsi="Arial" w:cs="Arial"/>
        </w:rPr>
      </w:pPr>
    </w:p>
    <w:p w14:paraId="2833726E" w14:textId="5DCA4637" w:rsidR="00514564" w:rsidRPr="00514564" w:rsidRDefault="00514564" w:rsidP="00323E3A">
      <w:pPr>
        <w:spacing w:line="480" w:lineRule="auto"/>
        <w:jc w:val="both"/>
        <w:rPr>
          <w:rFonts w:ascii="Arial Black" w:hAnsi="Arial Black" w:cs="Arial"/>
          <w:color w:val="00B0F0"/>
        </w:rPr>
      </w:pPr>
      <w:r w:rsidRPr="00514564">
        <w:rPr>
          <w:rFonts w:ascii="Arial Black" w:hAnsi="Arial Black" w:cs="Arial"/>
          <w:color w:val="00B0F0"/>
        </w:rPr>
        <w:lastRenderedPageBreak/>
        <w:t xml:space="preserve">References </w:t>
      </w:r>
    </w:p>
    <w:p w14:paraId="11321EB9" w14:textId="5FBC4EA2" w:rsidR="00514564" w:rsidRDefault="00514564" w:rsidP="00514564">
      <w:pPr>
        <w:spacing w:line="480" w:lineRule="auto"/>
        <w:jc w:val="both"/>
        <w:rPr>
          <w:rFonts w:ascii="Arial" w:hAnsi="Arial" w:cs="Arial"/>
        </w:rPr>
      </w:pPr>
      <w:proofErr w:type="spellStart"/>
      <w:r w:rsidRPr="00514564">
        <w:rPr>
          <w:rFonts w:ascii="Arial" w:hAnsi="Arial" w:cs="Arial"/>
        </w:rPr>
        <w:t>Bocken</w:t>
      </w:r>
      <w:proofErr w:type="spellEnd"/>
      <w:r w:rsidRPr="00514564">
        <w:rPr>
          <w:rFonts w:ascii="Arial" w:hAnsi="Arial" w:cs="Arial"/>
        </w:rPr>
        <w:t xml:space="preserve">, N. M. P., Short, S. W., Rana, P., &amp; Evans, S. (2014). A literature and practice review to develop sustainable business model archetypes. </w:t>
      </w:r>
      <w:r w:rsidRPr="00514564">
        <w:rPr>
          <w:rFonts w:ascii="Arial" w:hAnsi="Arial" w:cs="Arial"/>
          <w:i/>
          <w:iCs/>
        </w:rPr>
        <w:t>Journal of Cleaner Production, 65,</w:t>
      </w:r>
      <w:r w:rsidRPr="00514564">
        <w:rPr>
          <w:rFonts w:ascii="Arial" w:hAnsi="Arial" w:cs="Arial"/>
        </w:rPr>
        <w:t xml:space="preserve"> 42–56. </w:t>
      </w:r>
      <w:hyperlink r:id="rId7" w:history="1">
        <w:r w:rsidRPr="00F648E9">
          <w:rPr>
            <w:rStyle w:val="Hyperlink"/>
            <w:rFonts w:ascii="Arial" w:hAnsi="Arial" w:cs="Arial"/>
          </w:rPr>
          <w:t>https://doi.org/10.1016/j.jclepro.2013.11.039</w:t>
        </w:r>
      </w:hyperlink>
    </w:p>
    <w:p w14:paraId="3F68F212" w14:textId="4A2D4A12" w:rsidR="00514564" w:rsidRDefault="00514564" w:rsidP="00514564">
      <w:pPr>
        <w:spacing w:line="480" w:lineRule="auto"/>
        <w:jc w:val="both"/>
        <w:rPr>
          <w:rFonts w:ascii="Arial" w:hAnsi="Arial" w:cs="Arial"/>
        </w:rPr>
      </w:pPr>
      <w:r w:rsidRPr="00514564">
        <w:rPr>
          <w:rFonts w:ascii="Arial" w:hAnsi="Arial" w:cs="Arial"/>
        </w:rPr>
        <w:t xml:space="preserve">Climate Action Tracker. (2023). </w:t>
      </w:r>
      <w:r w:rsidRPr="00514564">
        <w:rPr>
          <w:rFonts w:ascii="Arial" w:hAnsi="Arial" w:cs="Arial"/>
          <w:i/>
          <w:iCs/>
        </w:rPr>
        <w:t>Global climate policy analysis</w:t>
      </w:r>
      <w:r w:rsidRPr="00514564">
        <w:rPr>
          <w:rFonts w:ascii="Arial" w:hAnsi="Arial" w:cs="Arial"/>
        </w:rPr>
        <w:t xml:space="preserve">. Retrieved from </w:t>
      </w:r>
      <w:hyperlink r:id="rId8" w:history="1">
        <w:r w:rsidRPr="00F648E9">
          <w:rPr>
            <w:rStyle w:val="Hyperlink"/>
            <w:rFonts w:ascii="Arial" w:hAnsi="Arial" w:cs="Arial"/>
          </w:rPr>
          <w:t>https://www.climateactiontracker.org</w:t>
        </w:r>
      </w:hyperlink>
    </w:p>
    <w:p w14:paraId="29F55E14" w14:textId="2B6EF614" w:rsidR="00514564" w:rsidRDefault="00514564" w:rsidP="00514564">
      <w:pPr>
        <w:spacing w:line="480" w:lineRule="auto"/>
        <w:jc w:val="both"/>
        <w:rPr>
          <w:rFonts w:ascii="Arial" w:hAnsi="Arial" w:cs="Arial"/>
        </w:rPr>
      </w:pPr>
      <w:r w:rsidRPr="00514564">
        <w:rPr>
          <w:rFonts w:ascii="Arial" w:hAnsi="Arial" w:cs="Arial"/>
        </w:rPr>
        <w:t xml:space="preserve">Coldwell Solar. (2023). </w:t>
      </w:r>
      <w:r w:rsidRPr="00514564">
        <w:rPr>
          <w:rFonts w:ascii="Arial" w:hAnsi="Arial" w:cs="Arial"/>
          <w:i/>
          <w:iCs/>
        </w:rPr>
        <w:t>How much investment do you need for a solar farm?</w:t>
      </w:r>
      <w:r w:rsidRPr="00514564">
        <w:rPr>
          <w:rFonts w:ascii="Arial" w:hAnsi="Arial" w:cs="Arial"/>
        </w:rPr>
        <w:t xml:space="preserve"> Retrieved from </w:t>
      </w:r>
      <w:hyperlink r:id="rId9" w:history="1">
        <w:r w:rsidRPr="00F648E9">
          <w:rPr>
            <w:rStyle w:val="Hyperlink"/>
            <w:rFonts w:ascii="Arial" w:hAnsi="Arial" w:cs="Arial"/>
          </w:rPr>
          <w:t>https://www.coldwellsolar.com</w:t>
        </w:r>
      </w:hyperlink>
    </w:p>
    <w:p w14:paraId="0F14994E" w14:textId="77777777" w:rsidR="00514564" w:rsidRDefault="00514564" w:rsidP="00514564">
      <w:pPr>
        <w:spacing w:line="480" w:lineRule="auto"/>
        <w:jc w:val="both"/>
        <w:rPr>
          <w:rFonts w:ascii="Arial" w:hAnsi="Arial" w:cs="Arial"/>
        </w:rPr>
      </w:pPr>
      <w:r w:rsidRPr="00514564">
        <w:rPr>
          <w:rFonts w:ascii="Arial" w:hAnsi="Arial" w:cs="Arial"/>
        </w:rPr>
        <w:t xml:space="preserve">Elkington, J. (1997). </w:t>
      </w:r>
      <w:r w:rsidRPr="00514564">
        <w:rPr>
          <w:rFonts w:ascii="Arial" w:hAnsi="Arial" w:cs="Arial"/>
          <w:i/>
          <w:iCs/>
        </w:rPr>
        <w:t>Cannibals with forks: The triple bottom line of 21st century business</w:t>
      </w:r>
      <w:r w:rsidRPr="00514564">
        <w:rPr>
          <w:rFonts w:ascii="Arial" w:hAnsi="Arial" w:cs="Arial"/>
        </w:rPr>
        <w:t>. Capstone.</w:t>
      </w:r>
    </w:p>
    <w:p w14:paraId="77C82A91" w14:textId="7423738B" w:rsidR="00514564" w:rsidRPr="00514564" w:rsidRDefault="00514564" w:rsidP="00514564">
      <w:pPr>
        <w:spacing w:line="480" w:lineRule="auto"/>
        <w:jc w:val="both"/>
        <w:rPr>
          <w:rFonts w:ascii="Arial" w:hAnsi="Arial" w:cs="Arial"/>
        </w:rPr>
      </w:pPr>
      <w:r w:rsidRPr="00514564">
        <w:rPr>
          <w:rFonts w:ascii="Arial" w:hAnsi="Arial" w:cs="Arial"/>
        </w:rPr>
        <w:t>Freeman, R. E. (2010</w:t>
      </w:r>
      <w:r w:rsidRPr="00514564">
        <w:rPr>
          <w:rFonts w:ascii="Arial" w:hAnsi="Arial" w:cs="Arial"/>
          <w:i/>
          <w:iCs/>
        </w:rPr>
        <w:t>). Strategic management: A stakeholder approach</w:t>
      </w:r>
      <w:r w:rsidRPr="00514564">
        <w:rPr>
          <w:rFonts w:ascii="Arial" w:hAnsi="Arial" w:cs="Arial"/>
        </w:rPr>
        <w:t>. Cambridge University Press.</w:t>
      </w:r>
    </w:p>
    <w:p w14:paraId="4576ADCC" w14:textId="77777777" w:rsidR="00514564" w:rsidRPr="00514564" w:rsidRDefault="00514564" w:rsidP="00514564">
      <w:pPr>
        <w:spacing w:line="480" w:lineRule="auto"/>
        <w:jc w:val="both"/>
        <w:rPr>
          <w:rFonts w:ascii="Arial" w:hAnsi="Arial" w:cs="Arial"/>
        </w:rPr>
      </w:pPr>
      <w:r w:rsidRPr="00514564">
        <w:rPr>
          <w:rFonts w:ascii="Arial" w:hAnsi="Arial" w:cs="Arial"/>
        </w:rPr>
        <w:t xml:space="preserve">Hart, S. L., &amp; Milstein, M. B. (1999). Global sustainability and the creative destruction of industries. </w:t>
      </w:r>
      <w:r w:rsidRPr="00514564">
        <w:rPr>
          <w:rFonts w:ascii="Arial" w:hAnsi="Arial" w:cs="Arial"/>
          <w:i/>
          <w:iCs/>
        </w:rPr>
        <w:t>Sloan Management Review, 41</w:t>
      </w:r>
      <w:r w:rsidRPr="00514564">
        <w:rPr>
          <w:rFonts w:ascii="Arial" w:hAnsi="Arial" w:cs="Arial"/>
        </w:rPr>
        <w:t>(1), 23–33.</w:t>
      </w:r>
    </w:p>
    <w:p w14:paraId="73996F2D" w14:textId="6D2EB79C" w:rsidR="0027523D" w:rsidRDefault="00514564" w:rsidP="00514564">
      <w:pPr>
        <w:spacing w:line="480" w:lineRule="auto"/>
        <w:jc w:val="both"/>
        <w:rPr>
          <w:rFonts w:ascii="Arial" w:hAnsi="Arial" w:cs="Arial"/>
        </w:rPr>
      </w:pPr>
      <w:r w:rsidRPr="00514564">
        <w:rPr>
          <w:rFonts w:ascii="Arial" w:hAnsi="Arial" w:cs="Arial"/>
        </w:rPr>
        <w:t>IEA. (2022</w:t>
      </w:r>
      <w:r w:rsidRPr="0027523D">
        <w:rPr>
          <w:rFonts w:ascii="Arial" w:hAnsi="Arial" w:cs="Arial"/>
          <w:i/>
          <w:iCs/>
        </w:rPr>
        <w:t>). Renewable energy market update</w:t>
      </w:r>
      <w:r w:rsidRPr="00514564">
        <w:rPr>
          <w:rFonts w:ascii="Arial" w:hAnsi="Arial" w:cs="Arial"/>
        </w:rPr>
        <w:t xml:space="preserve">. Retrieved from </w:t>
      </w:r>
      <w:hyperlink r:id="rId10" w:history="1">
        <w:r w:rsidR="0027523D" w:rsidRPr="00F648E9">
          <w:rPr>
            <w:rStyle w:val="Hyperlink"/>
            <w:rFonts w:ascii="Arial" w:hAnsi="Arial" w:cs="Arial"/>
          </w:rPr>
          <w:t>https://www.iea.org</w:t>
        </w:r>
      </w:hyperlink>
    </w:p>
    <w:p w14:paraId="1B896817" w14:textId="6C76A62D" w:rsidR="0027523D" w:rsidRDefault="00514564" w:rsidP="00514564">
      <w:pPr>
        <w:spacing w:line="480" w:lineRule="auto"/>
        <w:jc w:val="both"/>
        <w:rPr>
          <w:rFonts w:ascii="Arial" w:hAnsi="Arial" w:cs="Arial"/>
        </w:rPr>
      </w:pPr>
      <w:r w:rsidRPr="00514564">
        <w:rPr>
          <w:rFonts w:ascii="Arial" w:hAnsi="Arial" w:cs="Arial"/>
        </w:rPr>
        <w:t xml:space="preserve">IRENA. (2021). </w:t>
      </w:r>
      <w:r w:rsidRPr="0027523D">
        <w:rPr>
          <w:rFonts w:ascii="Arial" w:hAnsi="Arial" w:cs="Arial"/>
          <w:i/>
          <w:iCs/>
        </w:rPr>
        <w:t xml:space="preserve">Renewable power generation costs in 2020. International Renewable Energy Agency. </w:t>
      </w:r>
      <w:r w:rsidRPr="00514564">
        <w:rPr>
          <w:rFonts w:ascii="Arial" w:hAnsi="Arial" w:cs="Arial"/>
        </w:rPr>
        <w:t xml:space="preserve">Retrieved from </w:t>
      </w:r>
      <w:hyperlink r:id="rId11" w:history="1">
        <w:r w:rsidR="0027523D" w:rsidRPr="00F648E9">
          <w:rPr>
            <w:rStyle w:val="Hyperlink"/>
            <w:rFonts w:ascii="Arial" w:hAnsi="Arial" w:cs="Arial"/>
          </w:rPr>
          <w:t>https://www.irena.org</w:t>
        </w:r>
      </w:hyperlink>
    </w:p>
    <w:p w14:paraId="76256DAC" w14:textId="622E0BD9" w:rsidR="00514564" w:rsidRPr="00514564" w:rsidRDefault="00514564" w:rsidP="00514564">
      <w:pPr>
        <w:spacing w:line="480" w:lineRule="auto"/>
        <w:jc w:val="both"/>
        <w:rPr>
          <w:rFonts w:ascii="Arial" w:hAnsi="Arial" w:cs="Arial"/>
        </w:rPr>
      </w:pPr>
      <w:r w:rsidRPr="00514564">
        <w:rPr>
          <w:rFonts w:ascii="Arial" w:hAnsi="Arial" w:cs="Arial"/>
        </w:rPr>
        <w:t xml:space="preserve">Porter, M. E., &amp; van der Linde, C. (1995). Green and competitive: Ending the stalemate. </w:t>
      </w:r>
      <w:r w:rsidRPr="0027523D">
        <w:rPr>
          <w:rFonts w:ascii="Arial" w:hAnsi="Arial" w:cs="Arial"/>
          <w:i/>
          <w:iCs/>
        </w:rPr>
        <w:t>Harvard Business Review, 73</w:t>
      </w:r>
      <w:r w:rsidRPr="00514564">
        <w:rPr>
          <w:rFonts w:ascii="Arial" w:hAnsi="Arial" w:cs="Arial"/>
        </w:rPr>
        <w:t>(5), 120–134.</w:t>
      </w:r>
    </w:p>
    <w:p w14:paraId="72C465F0" w14:textId="77777777" w:rsidR="00514564" w:rsidRPr="00514564" w:rsidRDefault="00514564" w:rsidP="00514564">
      <w:pPr>
        <w:spacing w:line="480" w:lineRule="auto"/>
        <w:jc w:val="both"/>
        <w:rPr>
          <w:rFonts w:ascii="Arial" w:hAnsi="Arial" w:cs="Arial"/>
        </w:rPr>
      </w:pPr>
      <w:proofErr w:type="spellStart"/>
      <w:r w:rsidRPr="00514564">
        <w:rPr>
          <w:rFonts w:ascii="Arial" w:hAnsi="Arial" w:cs="Arial"/>
        </w:rPr>
        <w:t>Schaltegger</w:t>
      </w:r>
      <w:proofErr w:type="spellEnd"/>
      <w:r w:rsidRPr="00514564">
        <w:rPr>
          <w:rFonts w:ascii="Arial" w:hAnsi="Arial" w:cs="Arial"/>
        </w:rPr>
        <w:t xml:space="preserve">, S., &amp; Wagner, M. (2011). </w:t>
      </w:r>
      <w:r w:rsidRPr="0027523D">
        <w:rPr>
          <w:rFonts w:ascii="Arial" w:hAnsi="Arial" w:cs="Arial"/>
          <w:i/>
          <w:iCs/>
        </w:rPr>
        <w:t>Managing the business case for sustainability: The integration of social, environmental and economic performance</w:t>
      </w:r>
      <w:r w:rsidRPr="00514564">
        <w:rPr>
          <w:rFonts w:ascii="Arial" w:hAnsi="Arial" w:cs="Arial"/>
        </w:rPr>
        <w:t>. Greenleaf Publishing.</w:t>
      </w:r>
    </w:p>
    <w:p w14:paraId="35E3BB0B" w14:textId="3515337D" w:rsidR="00514564" w:rsidRDefault="00514564" w:rsidP="00514564">
      <w:pPr>
        <w:spacing w:line="480" w:lineRule="auto"/>
        <w:jc w:val="both"/>
        <w:rPr>
          <w:rFonts w:ascii="Arial" w:hAnsi="Arial" w:cs="Arial"/>
        </w:rPr>
      </w:pPr>
      <w:r w:rsidRPr="00514564">
        <w:rPr>
          <w:rFonts w:ascii="Arial" w:hAnsi="Arial" w:cs="Arial"/>
        </w:rPr>
        <w:lastRenderedPageBreak/>
        <w:t xml:space="preserve">Stubbs, W., &amp; Cocklin, C. (2008). Conceptualizing a “sustainability business model.” </w:t>
      </w:r>
      <w:r w:rsidRPr="0027523D">
        <w:rPr>
          <w:rFonts w:ascii="Arial" w:hAnsi="Arial" w:cs="Arial"/>
          <w:i/>
          <w:iCs/>
        </w:rPr>
        <w:t>Organization &amp; Environment, 21</w:t>
      </w:r>
      <w:r w:rsidRPr="00514564">
        <w:rPr>
          <w:rFonts w:ascii="Arial" w:hAnsi="Arial" w:cs="Arial"/>
        </w:rPr>
        <w:t xml:space="preserve">(2), 103–127. </w:t>
      </w:r>
      <w:hyperlink r:id="rId12" w:history="1">
        <w:r w:rsidR="0027523D" w:rsidRPr="00F648E9">
          <w:rPr>
            <w:rStyle w:val="Hyperlink"/>
            <w:rFonts w:ascii="Arial" w:hAnsi="Arial" w:cs="Arial"/>
          </w:rPr>
          <w:t>https://doi.org/10.1177/1086026608318041</w:t>
        </w:r>
      </w:hyperlink>
    </w:p>
    <w:p w14:paraId="1EF61399" w14:textId="478C84A4" w:rsidR="0027523D" w:rsidRDefault="00514564" w:rsidP="00514564">
      <w:pPr>
        <w:spacing w:line="480" w:lineRule="auto"/>
        <w:jc w:val="both"/>
        <w:rPr>
          <w:rFonts w:ascii="Arial" w:hAnsi="Arial" w:cs="Arial"/>
        </w:rPr>
      </w:pPr>
      <w:r w:rsidRPr="00514564">
        <w:rPr>
          <w:rFonts w:ascii="Arial" w:hAnsi="Arial" w:cs="Arial"/>
        </w:rPr>
        <w:t xml:space="preserve">United Nations. (2021). </w:t>
      </w:r>
      <w:r w:rsidRPr="0027523D">
        <w:rPr>
          <w:rFonts w:ascii="Arial" w:hAnsi="Arial" w:cs="Arial"/>
          <w:i/>
          <w:iCs/>
        </w:rPr>
        <w:t>Sustainable development goals</w:t>
      </w:r>
      <w:r w:rsidRPr="00514564">
        <w:rPr>
          <w:rFonts w:ascii="Arial" w:hAnsi="Arial" w:cs="Arial"/>
        </w:rPr>
        <w:t xml:space="preserve">. Retrieved from </w:t>
      </w:r>
      <w:hyperlink r:id="rId13" w:history="1">
        <w:r w:rsidR="0027523D" w:rsidRPr="00F648E9">
          <w:rPr>
            <w:rStyle w:val="Hyperlink"/>
            <w:rFonts w:ascii="Arial" w:hAnsi="Arial" w:cs="Arial"/>
          </w:rPr>
          <w:t>https://www.un.org/sustainabledevelopment</w:t>
        </w:r>
      </w:hyperlink>
    </w:p>
    <w:p w14:paraId="060E9CA3" w14:textId="0E4BC3D1" w:rsidR="0027523D" w:rsidRDefault="00514564" w:rsidP="00514564">
      <w:pPr>
        <w:spacing w:line="480" w:lineRule="auto"/>
        <w:jc w:val="both"/>
        <w:rPr>
          <w:rFonts w:ascii="Arial" w:hAnsi="Arial" w:cs="Arial"/>
        </w:rPr>
      </w:pPr>
      <w:r w:rsidRPr="00514564">
        <w:rPr>
          <w:rFonts w:ascii="Arial" w:hAnsi="Arial" w:cs="Arial"/>
        </w:rPr>
        <w:t xml:space="preserve">World Economic Forum. (2021). </w:t>
      </w:r>
      <w:r w:rsidRPr="0027523D">
        <w:rPr>
          <w:rFonts w:ascii="Arial" w:hAnsi="Arial" w:cs="Arial"/>
          <w:i/>
          <w:iCs/>
        </w:rPr>
        <w:t>How startups are driving sustainability transformation.</w:t>
      </w:r>
      <w:r w:rsidRPr="00514564">
        <w:rPr>
          <w:rFonts w:ascii="Arial" w:hAnsi="Arial" w:cs="Arial"/>
        </w:rPr>
        <w:t xml:space="preserve"> Retrieved from </w:t>
      </w:r>
      <w:hyperlink r:id="rId14" w:history="1">
        <w:r w:rsidR="0027523D" w:rsidRPr="00F648E9">
          <w:rPr>
            <w:rStyle w:val="Hyperlink"/>
            <w:rFonts w:ascii="Arial" w:hAnsi="Arial" w:cs="Arial"/>
          </w:rPr>
          <w:t>https://www.weforum.org/agenda/2021/05/startups-driving-sustainability-transformation</w:t>
        </w:r>
      </w:hyperlink>
    </w:p>
    <w:p w14:paraId="477692AF" w14:textId="3F45B3DA" w:rsidR="00514564" w:rsidRDefault="00514564" w:rsidP="00514564">
      <w:pPr>
        <w:spacing w:line="480" w:lineRule="auto"/>
        <w:jc w:val="both"/>
        <w:rPr>
          <w:rFonts w:ascii="Arial" w:hAnsi="Arial" w:cs="Arial"/>
        </w:rPr>
      </w:pPr>
      <w:r w:rsidRPr="00514564">
        <w:rPr>
          <w:rFonts w:ascii="Arial" w:hAnsi="Arial" w:cs="Arial"/>
        </w:rPr>
        <w:t xml:space="preserve">Yoon, A. (2020). Sustainable startup trends: Challenges and opportunities in green business. </w:t>
      </w:r>
      <w:r w:rsidRPr="0027523D">
        <w:rPr>
          <w:rFonts w:ascii="Arial" w:hAnsi="Arial" w:cs="Arial"/>
          <w:i/>
          <w:iCs/>
        </w:rPr>
        <w:t>Journal of Business Venturing Insights, 13</w:t>
      </w:r>
      <w:r w:rsidRPr="00514564">
        <w:rPr>
          <w:rFonts w:ascii="Arial" w:hAnsi="Arial" w:cs="Arial"/>
        </w:rPr>
        <w:t xml:space="preserve">, e00165. </w:t>
      </w:r>
      <w:hyperlink r:id="rId15" w:history="1">
        <w:r w:rsidR="0027523D" w:rsidRPr="00F648E9">
          <w:rPr>
            <w:rStyle w:val="Hyperlink"/>
            <w:rFonts w:ascii="Arial" w:hAnsi="Arial" w:cs="Arial"/>
          </w:rPr>
          <w:t>https://doi.org/10.1016/j.jbvi.2020.e00165</w:t>
        </w:r>
      </w:hyperlink>
    </w:p>
    <w:p w14:paraId="4C9E1794" w14:textId="77777777" w:rsidR="0027523D" w:rsidRPr="00323E3A" w:rsidRDefault="0027523D" w:rsidP="00514564">
      <w:pPr>
        <w:spacing w:line="480" w:lineRule="auto"/>
        <w:jc w:val="both"/>
        <w:rPr>
          <w:rFonts w:ascii="Arial" w:hAnsi="Arial" w:cs="Arial"/>
        </w:rPr>
      </w:pPr>
    </w:p>
    <w:sectPr w:rsidR="0027523D" w:rsidRPr="00323E3A" w:rsidSect="0027523D">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D85C5" w14:textId="77777777" w:rsidR="008D3DE1" w:rsidRDefault="008D3DE1" w:rsidP="00B90AF1">
      <w:pPr>
        <w:spacing w:after="0" w:line="240" w:lineRule="auto"/>
      </w:pPr>
      <w:r>
        <w:separator/>
      </w:r>
    </w:p>
  </w:endnote>
  <w:endnote w:type="continuationSeparator" w:id="0">
    <w:p w14:paraId="670FFF65" w14:textId="77777777" w:rsidR="008D3DE1" w:rsidRDefault="008D3DE1" w:rsidP="00B90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223C7" w14:textId="77777777" w:rsidR="008D3DE1" w:rsidRDefault="008D3DE1" w:rsidP="00B90AF1">
      <w:pPr>
        <w:spacing w:after="0" w:line="240" w:lineRule="auto"/>
      </w:pPr>
      <w:r>
        <w:separator/>
      </w:r>
    </w:p>
  </w:footnote>
  <w:footnote w:type="continuationSeparator" w:id="0">
    <w:p w14:paraId="4CCE2EBB" w14:textId="77777777" w:rsidR="008D3DE1" w:rsidRDefault="008D3DE1" w:rsidP="00B90A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857699"/>
      <w:docPartObj>
        <w:docPartGallery w:val="Page Numbers (Top of Page)"/>
        <w:docPartUnique/>
      </w:docPartObj>
    </w:sdtPr>
    <w:sdtEndPr>
      <w:rPr>
        <w:noProof/>
      </w:rPr>
    </w:sdtEndPr>
    <w:sdtContent>
      <w:p w14:paraId="6E37DBE8" w14:textId="396CA903" w:rsidR="00B90AF1" w:rsidRDefault="00B90AF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BC84C24" w14:textId="77777777" w:rsidR="00B90AF1" w:rsidRDefault="00B90A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00D4B"/>
    <w:multiLevelType w:val="hybridMultilevel"/>
    <w:tmpl w:val="45567324"/>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97E98"/>
    <w:multiLevelType w:val="hybridMultilevel"/>
    <w:tmpl w:val="BCB64120"/>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E4973"/>
    <w:multiLevelType w:val="hybridMultilevel"/>
    <w:tmpl w:val="EA5C868A"/>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C6458"/>
    <w:multiLevelType w:val="hybridMultilevel"/>
    <w:tmpl w:val="A7CCB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01A1D"/>
    <w:multiLevelType w:val="hybridMultilevel"/>
    <w:tmpl w:val="E4E4AC3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FE0796"/>
    <w:multiLevelType w:val="hybridMultilevel"/>
    <w:tmpl w:val="7CE82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E050AB"/>
    <w:multiLevelType w:val="hybridMultilevel"/>
    <w:tmpl w:val="FF8E7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401A1B"/>
    <w:multiLevelType w:val="hybridMultilevel"/>
    <w:tmpl w:val="85D231B0"/>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A349AF"/>
    <w:multiLevelType w:val="hybridMultilevel"/>
    <w:tmpl w:val="19D20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365C8"/>
    <w:multiLevelType w:val="hybridMultilevel"/>
    <w:tmpl w:val="08DE9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0855"/>
    <w:multiLevelType w:val="hybridMultilevel"/>
    <w:tmpl w:val="B89CD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30605B"/>
    <w:multiLevelType w:val="hybridMultilevel"/>
    <w:tmpl w:val="C204A1E4"/>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B3C7E"/>
    <w:multiLevelType w:val="hybridMultilevel"/>
    <w:tmpl w:val="DC9AC3A0"/>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1E553A"/>
    <w:multiLevelType w:val="hybridMultilevel"/>
    <w:tmpl w:val="C62E8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044CB0"/>
    <w:multiLevelType w:val="hybridMultilevel"/>
    <w:tmpl w:val="6E808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2D2076"/>
    <w:multiLevelType w:val="hybridMultilevel"/>
    <w:tmpl w:val="14F2E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CA1794"/>
    <w:multiLevelType w:val="hybridMultilevel"/>
    <w:tmpl w:val="5D608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773857"/>
    <w:multiLevelType w:val="hybridMultilevel"/>
    <w:tmpl w:val="55BEED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F06F75"/>
    <w:multiLevelType w:val="hybridMultilevel"/>
    <w:tmpl w:val="65FE4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893A94"/>
    <w:multiLevelType w:val="hybridMultilevel"/>
    <w:tmpl w:val="232E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63694F"/>
    <w:multiLevelType w:val="hybridMultilevel"/>
    <w:tmpl w:val="AFFCF3AA"/>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6941B2"/>
    <w:multiLevelType w:val="hybridMultilevel"/>
    <w:tmpl w:val="35149A86"/>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5621E0"/>
    <w:multiLevelType w:val="hybridMultilevel"/>
    <w:tmpl w:val="75FE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0527609">
    <w:abstractNumId w:val="10"/>
  </w:num>
  <w:num w:numId="2" w16cid:durableId="710424956">
    <w:abstractNumId w:val="2"/>
  </w:num>
  <w:num w:numId="3" w16cid:durableId="1857619776">
    <w:abstractNumId w:val="12"/>
  </w:num>
  <w:num w:numId="4" w16cid:durableId="63720504">
    <w:abstractNumId w:val="11"/>
  </w:num>
  <w:num w:numId="5" w16cid:durableId="116220181">
    <w:abstractNumId w:val="7"/>
  </w:num>
  <w:num w:numId="6" w16cid:durableId="677122001">
    <w:abstractNumId w:val="0"/>
  </w:num>
  <w:num w:numId="7" w16cid:durableId="1812677376">
    <w:abstractNumId w:val="4"/>
  </w:num>
  <w:num w:numId="8" w16cid:durableId="297611633">
    <w:abstractNumId w:val="1"/>
  </w:num>
  <w:num w:numId="9" w16cid:durableId="162359719">
    <w:abstractNumId w:val="21"/>
  </w:num>
  <w:num w:numId="10" w16cid:durableId="1076049582">
    <w:abstractNumId w:val="20"/>
  </w:num>
  <w:num w:numId="11" w16cid:durableId="706761647">
    <w:abstractNumId w:val="6"/>
  </w:num>
  <w:num w:numId="12" w16cid:durableId="154152159">
    <w:abstractNumId w:val="8"/>
  </w:num>
  <w:num w:numId="13" w16cid:durableId="1557203166">
    <w:abstractNumId w:val="13"/>
  </w:num>
  <w:num w:numId="14" w16cid:durableId="843589679">
    <w:abstractNumId w:val="14"/>
  </w:num>
  <w:num w:numId="15" w16cid:durableId="327288547">
    <w:abstractNumId w:val="17"/>
  </w:num>
  <w:num w:numId="16" w16cid:durableId="881863344">
    <w:abstractNumId w:val="15"/>
  </w:num>
  <w:num w:numId="17" w16cid:durableId="1006596926">
    <w:abstractNumId w:val="16"/>
  </w:num>
  <w:num w:numId="18" w16cid:durableId="375814413">
    <w:abstractNumId w:val="9"/>
  </w:num>
  <w:num w:numId="19" w16cid:durableId="583492717">
    <w:abstractNumId w:val="22"/>
  </w:num>
  <w:num w:numId="20" w16cid:durableId="1825466921">
    <w:abstractNumId w:val="19"/>
  </w:num>
  <w:num w:numId="21" w16cid:durableId="385447037">
    <w:abstractNumId w:val="5"/>
  </w:num>
  <w:num w:numId="22" w16cid:durableId="1017120164">
    <w:abstractNumId w:val="3"/>
  </w:num>
  <w:num w:numId="23" w16cid:durableId="159208367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E3A"/>
    <w:rsid w:val="0027523D"/>
    <w:rsid w:val="00323E3A"/>
    <w:rsid w:val="00514564"/>
    <w:rsid w:val="00595179"/>
    <w:rsid w:val="0062355B"/>
    <w:rsid w:val="0073536B"/>
    <w:rsid w:val="008357AF"/>
    <w:rsid w:val="008D3DE1"/>
    <w:rsid w:val="00B90AF1"/>
    <w:rsid w:val="00CF7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C4082"/>
  <w15:chartTrackingRefBased/>
  <w15:docId w15:val="{FDDB005E-DCDF-4C6D-AD9F-D21829D5E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E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E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E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E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E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E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E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E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E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E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E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E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E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E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E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E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E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E3A"/>
    <w:rPr>
      <w:rFonts w:eastAsiaTheme="majorEastAsia" w:cstheme="majorBidi"/>
      <w:color w:val="272727" w:themeColor="text1" w:themeTint="D8"/>
    </w:rPr>
  </w:style>
  <w:style w:type="paragraph" w:styleId="Title">
    <w:name w:val="Title"/>
    <w:basedOn w:val="Normal"/>
    <w:next w:val="Normal"/>
    <w:link w:val="TitleChar"/>
    <w:uiPriority w:val="10"/>
    <w:qFormat/>
    <w:rsid w:val="00323E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E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E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E3A"/>
    <w:pPr>
      <w:spacing w:before="160"/>
      <w:jc w:val="center"/>
    </w:pPr>
    <w:rPr>
      <w:i/>
      <w:iCs/>
      <w:color w:val="404040" w:themeColor="text1" w:themeTint="BF"/>
    </w:rPr>
  </w:style>
  <w:style w:type="character" w:customStyle="1" w:styleId="QuoteChar">
    <w:name w:val="Quote Char"/>
    <w:basedOn w:val="DefaultParagraphFont"/>
    <w:link w:val="Quote"/>
    <w:uiPriority w:val="29"/>
    <w:rsid w:val="00323E3A"/>
    <w:rPr>
      <w:i/>
      <w:iCs/>
      <w:color w:val="404040" w:themeColor="text1" w:themeTint="BF"/>
    </w:rPr>
  </w:style>
  <w:style w:type="paragraph" w:styleId="ListParagraph">
    <w:name w:val="List Paragraph"/>
    <w:basedOn w:val="Normal"/>
    <w:uiPriority w:val="34"/>
    <w:qFormat/>
    <w:rsid w:val="00323E3A"/>
    <w:pPr>
      <w:ind w:left="720"/>
      <w:contextualSpacing/>
    </w:pPr>
  </w:style>
  <w:style w:type="character" w:styleId="IntenseEmphasis">
    <w:name w:val="Intense Emphasis"/>
    <w:basedOn w:val="DefaultParagraphFont"/>
    <w:uiPriority w:val="21"/>
    <w:qFormat/>
    <w:rsid w:val="00323E3A"/>
    <w:rPr>
      <w:i/>
      <w:iCs/>
      <w:color w:val="0F4761" w:themeColor="accent1" w:themeShade="BF"/>
    </w:rPr>
  </w:style>
  <w:style w:type="paragraph" w:styleId="IntenseQuote">
    <w:name w:val="Intense Quote"/>
    <w:basedOn w:val="Normal"/>
    <w:next w:val="Normal"/>
    <w:link w:val="IntenseQuoteChar"/>
    <w:uiPriority w:val="30"/>
    <w:qFormat/>
    <w:rsid w:val="00323E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E3A"/>
    <w:rPr>
      <w:i/>
      <w:iCs/>
      <w:color w:val="0F4761" w:themeColor="accent1" w:themeShade="BF"/>
    </w:rPr>
  </w:style>
  <w:style w:type="character" w:styleId="IntenseReference">
    <w:name w:val="Intense Reference"/>
    <w:basedOn w:val="DefaultParagraphFont"/>
    <w:uiPriority w:val="32"/>
    <w:qFormat/>
    <w:rsid w:val="00323E3A"/>
    <w:rPr>
      <w:b/>
      <w:bCs/>
      <w:smallCaps/>
      <w:color w:val="0F4761" w:themeColor="accent1" w:themeShade="BF"/>
      <w:spacing w:val="5"/>
    </w:rPr>
  </w:style>
  <w:style w:type="character" w:styleId="Hyperlink">
    <w:name w:val="Hyperlink"/>
    <w:basedOn w:val="DefaultParagraphFont"/>
    <w:uiPriority w:val="99"/>
    <w:unhideWhenUsed/>
    <w:rsid w:val="00514564"/>
    <w:rPr>
      <w:color w:val="467886" w:themeColor="hyperlink"/>
      <w:u w:val="single"/>
    </w:rPr>
  </w:style>
  <w:style w:type="character" w:styleId="UnresolvedMention">
    <w:name w:val="Unresolved Mention"/>
    <w:basedOn w:val="DefaultParagraphFont"/>
    <w:uiPriority w:val="99"/>
    <w:semiHidden/>
    <w:unhideWhenUsed/>
    <w:rsid w:val="00514564"/>
    <w:rPr>
      <w:color w:val="605E5C"/>
      <w:shd w:val="clear" w:color="auto" w:fill="E1DFDD"/>
    </w:rPr>
  </w:style>
  <w:style w:type="paragraph" w:styleId="Header">
    <w:name w:val="header"/>
    <w:basedOn w:val="Normal"/>
    <w:link w:val="HeaderChar"/>
    <w:uiPriority w:val="99"/>
    <w:unhideWhenUsed/>
    <w:rsid w:val="00B90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AF1"/>
  </w:style>
  <w:style w:type="paragraph" w:styleId="Footer">
    <w:name w:val="footer"/>
    <w:basedOn w:val="Normal"/>
    <w:link w:val="FooterChar"/>
    <w:uiPriority w:val="99"/>
    <w:unhideWhenUsed/>
    <w:rsid w:val="00B90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mateactiontracker.org" TargetMode="External"/><Relationship Id="rId13" Type="http://schemas.openxmlformats.org/officeDocument/2006/relationships/hyperlink" Target="https://www.un.org/sustainabledevelop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jclepro.2013.11.039" TargetMode="External"/><Relationship Id="rId12" Type="http://schemas.openxmlformats.org/officeDocument/2006/relationships/hyperlink" Target="https://doi.org/10.1177/108602660831804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rena.org" TargetMode="External"/><Relationship Id="rId5" Type="http://schemas.openxmlformats.org/officeDocument/2006/relationships/footnotes" Target="footnotes.xml"/><Relationship Id="rId15" Type="http://schemas.openxmlformats.org/officeDocument/2006/relationships/hyperlink" Target="https://doi.org/10.1016/j.jbvi.2020.e00165" TargetMode="External"/><Relationship Id="rId10" Type="http://schemas.openxmlformats.org/officeDocument/2006/relationships/hyperlink" Target="https://www.iea.org" TargetMode="External"/><Relationship Id="rId4" Type="http://schemas.openxmlformats.org/officeDocument/2006/relationships/webSettings" Target="webSettings.xml"/><Relationship Id="rId9" Type="http://schemas.openxmlformats.org/officeDocument/2006/relationships/hyperlink" Target="https://www.coldwellsolar.com" TargetMode="External"/><Relationship Id="rId14" Type="http://schemas.openxmlformats.org/officeDocument/2006/relationships/hyperlink" Target="https://www.weforum.org/agenda/2021/05/startups-driving-sustainability-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18</Pages>
  <Words>3181</Words>
  <Characters>18133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Sustainable Enterprise</vt:lpstr>
    </vt:vector>
  </TitlesOfParts>
  <Company/>
  <LinksUpToDate>false</LinksUpToDate>
  <CharactersWithSpaces>21272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Mirabela Voican (1907947)</dc:creator>
  <cp:keywords/>
  <dc:description/>
  <cp:lastModifiedBy>Mirabela Voican (1907947)</cp:lastModifiedBy>
  <cp:revision>2</cp:revision>
  <dcterms:created xsi:type="dcterms:W3CDTF">2025-03-07T11:53:00Z</dcterms:created>
  <dcterms:modified xsi:type="dcterms:W3CDTF">2025-03-07T14:14:00Z</dcterms:modified>
</cp:coreProperties>
</file>