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F20C6" w14:textId="7706A9B8" w:rsidR="001A644E" w:rsidRPr="007B329D" w:rsidRDefault="001A644E" w:rsidP="007B329D">
      <w:pPr>
        <w:jc w:val="center"/>
        <w:rPr>
          <w:rFonts w:ascii="Georgia" w:hAnsi="Georgia"/>
          <w:b/>
          <w:bCs/>
          <w:sz w:val="24"/>
          <w:szCs w:val="24"/>
          <w:u w:val="single"/>
        </w:rPr>
      </w:pPr>
      <w:r w:rsidRPr="007B329D">
        <w:rPr>
          <w:rFonts w:ascii="Georgia" w:hAnsi="Georgia"/>
          <w:b/>
          <w:bCs/>
          <w:sz w:val="24"/>
          <w:szCs w:val="24"/>
          <w:u w:val="single"/>
        </w:rPr>
        <w:t>Week 4 Assi</w:t>
      </w:r>
      <w:r w:rsidR="007B329D" w:rsidRPr="007B329D">
        <w:rPr>
          <w:rFonts w:ascii="Georgia" w:hAnsi="Georgia"/>
          <w:b/>
          <w:bCs/>
          <w:sz w:val="24"/>
          <w:szCs w:val="24"/>
          <w:u w:val="single"/>
        </w:rPr>
        <w:t>gnment- Archaeology and Burial Practices</w:t>
      </w:r>
    </w:p>
    <w:p w14:paraId="4ACC2F2E" w14:textId="556882E3" w:rsidR="00EE6DD1" w:rsidRDefault="00B4440C" w:rsidP="00D81D9B">
      <w:pPr>
        <w:jc w:val="both"/>
        <w:rPr>
          <w:rFonts w:ascii="Georgia" w:hAnsi="Georgia"/>
          <w:sz w:val="20"/>
          <w:szCs w:val="20"/>
        </w:rPr>
      </w:pPr>
      <w:r w:rsidRPr="00002CCB">
        <w:rPr>
          <w:rFonts w:ascii="Georgia" w:hAnsi="Georgia"/>
          <w:sz w:val="20"/>
          <w:szCs w:val="20"/>
        </w:rPr>
        <w:t xml:space="preserve">Burial </w:t>
      </w:r>
      <w:r w:rsidR="004B62F0">
        <w:rPr>
          <w:rFonts w:ascii="Georgia" w:hAnsi="Georgia"/>
          <w:sz w:val="20"/>
          <w:szCs w:val="20"/>
        </w:rPr>
        <w:t>s</w:t>
      </w:r>
      <w:r w:rsidRPr="00002CCB">
        <w:rPr>
          <w:rFonts w:ascii="Georgia" w:hAnsi="Georgia"/>
          <w:sz w:val="20"/>
          <w:szCs w:val="20"/>
        </w:rPr>
        <w:t xml:space="preserve">ites </w:t>
      </w:r>
      <w:r w:rsidR="00E2711A">
        <w:rPr>
          <w:rFonts w:ascii="Georgia" w:hAnsi="Georgia"/>
          <w:sz w:val="20"/>
          <w:szCs w:val="20"/>
        </w:rPr>
        <w:t>can provide an archaeologist or historian with vital information about the society that commissioned it</w:t>
      </w:r>
      <w:r w:rsidR="00B37506">
        <w:rPr>
          <w:rFonts w:ascii="Georgia" w:hAnsi="Georgia"/>
          <w:sz w:val="20"/>
          <w:szCs w:val="20"/>
        </w:rPr>
        <w:t xml:space="preserve"> or the norms of that period. No matter where you look, from the pyramids of Giza to </w:t>
      </w:r>
      <w:r w:rsidR="00FF4E94">
        <w:rPr>
          <w:rFonts w:ascii="Georgia" w:hAnsi="Georgia"/>
          <w:sz w:val="20"/>
          <w:szCs w:val="20"/>
        </w:rPr>
        <w:t xml:space="preserve">our own local </w:t>
      </w:r>
      <w:r w:rsidR="00A51CFB">
        <w:rPr>
          <w:rFonts w:ascii="Georgia" w:hAnsi="Georgia"/>
          <w:sz w:val="20"/>
          <w:szCs w:val="20"/>
        </w:rPr>
        <w:t>cemeteries</w:t>
      </w:r>
      <w:r w:rsidR="00FF4E94">
        <w:rPr>
          <w:rFonts w:ascii="Georgia" w:hAnsi="Georgia"/>
          <w:sz w:val="20"/>
          <w:szCs w:val="20"/>
        </w:rPr>
        <w:t>, the dead have been marked and memorialised throughout history</w:t>
      </w:r>
      <w:r w:rsidR="00C866DF">
        <w:rPr>
          <w:rFonts w:ascii="Georgia" w:hAnsi="Georgia"/>
          <w:sz w:val="20"/>
          <w:szCs w:val="20"/>
        </w:rPr>
        <w:t xml:space="preserve">; </w:t>
      </w:r>
      <w:r w:rsidR="00B237D8">
        <w:rPr>
          <w:rFonts w:ascii="Georgia" w:hAnsi="Georgia"/>
          <w:sz w:val="20"/>
          <w:szCs w:val="20"/>
        </w:rPr>
        <w:t>understanding how a society chose to celebrate their dead gives us an insight into the culture itself, their values and traditions</w:t>
      </w:r>
      <w:r w:rsidR="00D470AD">
        <w:rPr>
          <w:rFonts w:ascii="Georgia" w:hAnsi="Georgia"/>
          <w:sz w:val="20"/>
          <w:szCs w:val="20"/>
        </w:rPr>
        <w:t xml:space="preserve">. Sometimes what can be even more crucial </w:t>
      </w:r>
      <w:r w:rsidR="0027256C">
        <w:rPr>
          <w:rFonts w:ascii="Georgia" w:hAnsi="Georgia"/>
          <w:sz w:val="20"/>
          <w:szCs w:val="20"/>
        </w:rPr>
        <w:t xml:space="preserve">in understanding the past are the graves that don’t fit the expectation or </w:t>
      </w:r>
      <w:r w:rsidR="00E72200">
        <w:rPr>
          <w:rFonts w:ascii="Georgia" w:hAnsi="Georgia"/>
          <w:sz w:val="20"/>
          <w:szCs w:val="20"/>
        </w:rPr>
        <w:t xml:space="preserve">pattern. These burial </w:t>
      </w:r>
      <w:r w:rsidR="00F02363">
        <w:rPr>
          <w:rFonts w:ascii="Georgia" w:hAnsi="Georgia"/>
          <w:sz w:val="20"/>
          <w:szCs w:val="20"/>
        </w:rPr>
        <w:t>s</w:t>
      </w:r>
      <w:r w:rsidR="00E72200">
        <w:rPr>
          <w:rFonts w:ascii="Georgia" w:hAnsi="Georgia"/>
          <w:sz w:val="20"/>
          <w:szCs w:val="20"/>
        </w:rPr>
        <w:t xml:space="preserve">ites can often provide </w:t>
      </w:r>
      <w:r w:rsidR="00396296">
        <w:rPr>
          <w:rFonts w:ascii="Georgia" w:hAnsi="Georgia"/>
          <w:sz w:val="20"/>
          <w:szCs w:val="20"/>
        </w:rPr>
        <w:t xml:space="preserve">information about those who stood out in this culture, either as a </w:t>
      </w:r>
      <w:r w:rsidR="00D81D9B">
        <w:rPr>
          <w:rFonts w:ascii="Georgia" w:hAnsi="Georgia"/>
          <w:sz w:val="20"/>
          <w:szCs w:val="20"/>
        </w:rPr>
        <w:t>symbol of status above others, or as a sign of their criminal or unconventional life. In short, a grave can tell us not just about the person buried or marked there, but also about the society from which they came, and sometimes their rank within it.</w:t>
      </w:r>
    </w:p>
    <w:p w14:paraId="2408FC1C" w14:textId="4A511756" w:rsidR="001A644E" w:rsidRDefault="00EF5DC5" w:rsidP="00D81D9B">
      <w:pPr>
        <w:jc w:val="both"/>
        <w:rPr>
          <w:rFonts w:ascii="Georgia" w:hAnsi="Georg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9916A32" wp14:editId="26B2D9F5">
            <wp:simplePos x="0" y="0"/>
            <wp:positionH relativeFrom="margin">
              <wp:posOffset>-132080</wp:posOffset>
            </wp:positionH>
            <wp:positionV relativeFrom="paragraph">
              <wp:posOffset>1160145</wp:posOffset>
            </wp:positionV>
            <wp:extent cx="2635885" cy="1627505"/>
            <wp:effectExtent l="0" t="0" r="0" b="0"/>
            <wp:wrapSquare wrapText="bothSides"/>
            <wp:docPr id="2" name="Picture 2" descr="The Headless Vikings of Dorset | Ancient Origi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Headless Vikings of Dorset | Ancient Origin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885" cy="162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42BF" w:rsidRPr="00A737F3">
        <w:rPr>
          <w:rFonts w:ascii="Georgia" w:hAnsi="Georgia"/>
          <w:sz w:val="20"/>
          <w:szCs w:val="20"/>
        </w:rPr>
        <w:t xml:space="preserve">When looking at these sites, an archaeologist has to interpret </w:t>
      </w:r>
      <w:r w:rsidR="003608CB" w:rsidRPr="00A737F3">
        <w:rPr>
          <w:rFonts w:ascii="Georgia" w:hAnsi="Georgia"/>
          <w:sz w:val="20"/>
          <w:szCs w:val="20"/>
        </w:rPr>
        <w:t xml:space="preserve">what they see, to understand how it related to the past and what it can tell us; </w:t>
      </w:r>
      <w:r w:rsidR="0058748B" w:rsidRPr="00A737F3">
        <w:rPr>
          <w:rFonts w:ascii="Georgia" w:hAnsi="Georgia" w:cs="Arial"/>
          <w:sz w:val="20"/>
          <w:szCs w:val="20"/>
        </w:rPr>
        <w:t>u</w:t>
      </w:r>
      <w:r w:rsidR="0058748B" w:rsidRPr="00A737F3">
        <w:rPr>
          <w:rFonts w:ascii="Georgia" w:hAnsi="Georgia" w:cs="Arial"/>
          <w:sz w:val="20"/>
          <w:szCs w:val="20"/>
        </w:rPr>
        <w:t>niformitarianism</w:t>
      </w:r>
      <w:r w:rsidR="00053EF0" w:rsidRPr="00A737F3">
        <w:rPr>
          <w:rFonts w:ascii="Georgia" w:hAnsi="Georgia"/>
          <w:sz w:val="20"/>
          <w:szCs w:val="20"/>
        </w:rPr>
        <w:t xml:space="preserve"> </w:t>
      </w:r>
      <w:r w:rsidR="0058748B" w:rsidRPr="00A737F3">
        <w:rPr>
          <w:rFonts w:ascii="Georgia" w:hAnsi="Georgia"/>
          <w:sz w:val="20"/>
          <w:szCs w:val="20"/>
        </w:rPr>
        <w:t xml:space="preserve">is a </w:t>
      </w:r>
      <w:r w:rsidR="00506CCF" w:rsidRPr="00A737F3">
        <w:rPr>
          <w:rFonts w:ascii="Georgia" w:hAnsi="Georgia"/>
          <w:sz w:val="20"/>
          <w:szCs w:val="20"/>
        </w:rPr>
        <w:t xml:space="preserve">way of doing this, by using the present to explain the past. </w:t>
      </w:r>
      <w:r w:rsidR="00A737F3" w:rsidRPr="00A737F3">
        <w:rPr>
          <w:rFonts w:ascii="Georgia" w:hAnsi="Georgia"/>
          <w:sz w:val="20"/>
          <w:szCs w:val="20"/>
        </w:rPr>
        <w:t>Through mechanical processes that leave residue</w:t>
      </w:r>
      <w:r w:rsidR="00A737F3">
        <w:rPr>
          <w:rFonts w:ascii="Georgia" w:hAnsi="Georgia"/>
          <w:sz w:val="20"/>
          <w:szCs w:val="20"/>
        </w:rPr>
        <w:t>, an archaeologist can</w:t>
      </w:r>
      <w:r w:rsidR="00EF1705">
        <w:rPr>
          <w:rFonts w:ascii="Georgia" w:hAnsi="Georgia"/>
          <w:sz w:val="20"/>
          <w:szCs w:val="20"/>
        </w:rPr>
        <w:t xml:space="preserve"> look for similar processes in the present, and use </w:t>
      </w:r>
      <w:r w:rsidR="00567EB5">
        <w:rPr>
          <w:rFonts w:ascii="Georgia" w:hAnsi="Georgia"/>
          <w:sz w:val="20"/>
          <w:szCs w:val="20"/>
        </w:rPr>
        <w:t>this contemporary evidence to explain the past. For example</w:t>
      </w:r>
      <w:r w:rsidR="00E574DC">
        <w:rPr>
          <w:rFonts w:ascii="Georgia" w:hAnsi="Georgia"/>
          <w:sz w:val="20"/>
          <w:szCs w:val="20"/>
        </w:rPr>
        <w:t xml:space="preserve">, we can identify a </w:t>
      </w:r>
      <w:r w:rsidR="00E8559E">
        <w:rPr>
          <w:rFonts w:ascii="Georgia" w:hAnsi="Georgia"/>
          <w:sz w:val="20"/>
          <w:szCs w:val="20"/>
        </w:rPr>
        <w:t>medieval grave through it’s similarities to our present ones, or recognise that the charred remains of bodies might be a</w:t>
      </w:r>
      <w:r w:rsidR="00F34EA6">
        <w:rPr>
          <w:rFonts w:ascii="Georgia" w:hAnsi="Georgia"/>
          <w:sz w:val="20"/>
          <w:szCs w:val="20"/>
        </w:rPr>
        <w:t xml:space="preserve">n early form of cremation. In more </w:t>
      </w:r>
      <w:r w:rsidR="003D0F03">
        <w:rPr>
          <w:rFonts w:ascii="Georgia" w:hAnsi="Georgia"/>
          <w:sz w:val="20"/>
          <w:szCs w:val="20"/>
        </w:rPr>
        <w:t xml:space="preserve">specific cases, we can compare </w:t>
      </w:r>
      <w:r w:rsidR="00222A6B">
        <w:rPr>
          <w:rFonts w:ascii="Georgia" w:hAnsi="Georgia"/>
          <w:sz w:val="20"/>
          <w:szCs w:val="20"/>
        </w:rPr>
        <w:t xml:space="preserve">the practices of neolithic </w:t>
      </w:r>
      <w:r w:rsidR="00F90EF4">
        <w:rPr>
          <w:rFonts w:ascii="Georgia" w:hAnsi="Georgia"/>
          <w:sz w:val="20"/>
          <w:szCs w:val="20"/>
        </w:rPr>
        <w:t xml:space="preserve">settlers with those of current tribal communities that retain some similarities. </w:t>
      </w:r>
    </w:p>
    <w:p w14:paraId="70B23295" w14:textId="5B27FD52" w:rsidR="00A963AA" w:rsidRDefault="00A963AA" w:rsidP="00D81D9B">
      <w:pPr>
        <w:jc w:val="both"/>
        <w:rPr>
          <w:rFonts w:ascii="Georgia" w:hAnsi="Georgia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A06E85" wp14:editId="0857926E">
                <wp:simplePos x="0" y="0"/>
                <wp:positionH relativeFrom="margin">
                  <wp:align>left</wp:align>
                </wp:positionH>
                <wp:positionV relativeFrom="paragraph">
                  <wp:posOffset>1631315</wp:posOffset>
                </wp:positionV>
                <wp:extent cx="2504440" cy="162560"/>
                <wp:effectExtent l="0" t="0" r="0" b="889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4440" cy="1625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325D961" w14:textId="6B8BF6BD" w:rsidR="00A963AA" w:rsidRPr="00394ECD" w:rsidRDefault="00A963AA" w:rsidP="00A963AA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DC4A6D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>- Viking Burial Site, Weymouth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A06E8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128.45pt;width:197.2pt;height:12.8pt;z-index:25166028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" stroked="f">
                <v:textbox inset="0,0,0,0">
                  <w:txbxContent>
                    <w:p w14:paraId="0325D961" w14:textId="6B8BF6BD" w:rsidR="00A963AA" w:rsidRPr="00394ECD" w:rsidRDefault="00A963AA" w:rsidP="00A963AA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DC4A6D">
                          <w:rPr>
                            <w:noProof/>
                          </w:rPr>
                          <w:t>1</w:t>
                        </w:r>
                      </w:fldSimple>
                      <w:r>
                        <w:t>- Viking Burial Site, Weymouth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Georgia" w:hAnsi="Georgia"/>
          <w:sz w:val="20"/>
          <w:szCs w:val="20"/>
        </w:rPr>
        <w:t xml:space="preserve">This </w:t>
      </w:r>
      <w:r w:rsidR="00F74298">
        <w:rPr>
          <w:rFonts w:ascii="Georgia" w:hAnsi="Georgia"/>
          <w:sz w:val="20"/>
          <w:szCs w:val="20"/>
        </w:rPr>
        <w:t>grave site</w:t>
      </w:r>
      <w:r w:rsidR="00546FCB">
        <w:rPr>
          <w:rFonts w:ascii="Georgia" w:hAnsi="Georgia"/>
          <w:sz w:val="20"/>
          <w:szCs w:val="20"/>
        </w:rPr>
        <w:t>, found in Weymouth</w:t>
      </w:r>
      <w:r w:rsidR="00C55C8E">
        <w:rPr>
          <w:rFonts w:ascii="Georgia" w:hAnsi="Georgia"/>
          <w:sz w:val="20"/>
          <w:szCs w:val="20"/>
        </w:rPr>
        <w:t>, UK, is a key example of an unconventional grave tha</w:t>
      </w:r>
      <w:r w:rsidR="005B3E35">
        <w:rPr>
          <w:rFonts w:ascii="Georgia" w:hAnsi="Georgia"/>
          <w:sz w:val="20"/>
          <w:szCs w:val="20"/>
        </w:rPr>
        <w:t xml:space="preserve">t provides an insight into the past. </w:t>
      </w:r>
      <w:r w:rsidR="00C375A7">
        <w:rPr>
          <w:rFonts w:ascii="Georgia" w:hAnsi="Georgia"/>
          <w:sz w:val="20"/>
          <w:szCs w:val="20"/>
        </w:rPr>
        <w:t>An archaeologist, even bef</w:t>
      </w:r>
      <w:r w:rsidR="00D05A83">
        <w:rPr>
          <w:rFonts w:ascii="Georgia" w:hAnsi="Georgia"/>
          <w:sz w:val="20"/>
          <w:szCs w:val="20"/>
        </w:rPr>
        <w:t xml:space="preserve">ore the remains have been fully analysed, can make presumptions about this burial site, based on </w:t>
      </w:r>
      <w:r w:rsidR="00CF4C8D">
        <w:rPr>
          <w:rFonts w:ascii="Georgia" w:hAnsi="Georgia"/>
          <w:sz w:val="20"/>
          <w:szCs w:val="20"/>
        </w:rPr>
        <w:t xml:space="preserve">it’s location and knowledge of Christian practice: </w:t>
      </w:r>
      <w:r w:rsidR="00681222">
        <w:rPr>
          <w:rFonts w:ascii="Georgia" w:hAnsi="Georgia"/>
          <w:sz w:val="20"/>
          <w:szCs w:val="20"/>
        </w:rPr>
        <w:t xml:space="preserve">the united kingdom has, since the </w:t>
      </w:r>
      <w:r w:rsidR="00C36767">
        <w:rPr>
          <w:rFonts w:ascii="Georgia" w:hAnsi="Georgia"/>
          <w:sz w:val="20"/>
          <w:szCs w:val="20"/>
        </w:rPr>
        <w:t>7</w:t>
      </w:r>
      <w:r w:rsidR="00C36767" w:rsidRPr="00C36767">
        <w:rPr>
          <w:rFonts w:ascii="Georgia" w:hAnsi="Georgia"/>
          <w:sz w:val="20"/>
          <w:szCs w:val="20"/>
          <w:vertAlign w:val="superscript"/>
        </w:rPr>
        <w:t>th</w:t>
      </w:r>
      <w:r w:rsidR="00C36767">
        <w:rPr>
          <w:rFonts w:ascii="Georgia" w:hAnsi="Georgia"/>
          <w:sz w:val="20"/>
          <w:szCs w:val="20"/>
        </w:rPr>
        <w:t xml:space="preserve"> century, been heavily Christian, and </w:t>
      </w:r>
      <w:r w:rsidR="009A7A17">
        <w:rPr>
          <w:rFonts w:ascii="Georgia" w:hAnsi="Georgia"/>
          <w:sz w:val="20"/>
          <w:szCs w:val="20"/>
        </w:rPr>
        <w:t xml:space="preserve">a </w:t>
      </w:r>
      <w:r w:rsidR="00C36767">
        <w:rPr>
          <w:rFonts w:ascii="Georgia" w:hAnsi="Georgia"/>
          <w:sz w:val="20"/>
          <w:szCs w:val="20"/>
        </w:rPr>
        <w:t xml:space="preserve">typical </w:t>
      </w:r>
      <w:r w:rsidR="009A7A17">
        <w:rPr>
          <w:rFonts w:ascii="Georgia" w:hAnsi="Georgia"/>
          <w:sz w:val="20"/>
          <w:szCs w:val="20"/>
        </w:rPr>
        <w:t xml:space="preserve">Christian burial is orderly, marked with gravestones, and </w:t>
      </w:r>
      <w:r w:rsidR="00C81904">
        <w:rPr>
          <w:rFonts w:ascii="Georgia" w:hAnsi="Georgia"/>
          <w:sz w:val="20"/>
          <w:szCs w:val="20"/>
        </w:rPr>
        <w:t xml:space="preserve">doesn’t </w:t>
      </w:r>
      <w:r w:rsidR="00D12E60">
        <w:rPr>
          <w:rFonts w:ascii="Georgia" w:hAnsi="Georgia"/>
          <w:sz w:val="20"/>
          <w:szCs w:val="20"/>
        </w:rPr>
        <w:t xml:space="preserve">include any ‘desecration’ of the bodies. </w:t>
      </w:r>
      <w:r w:rsidR="00C11AA6">
        <w:rPr>
          <w:rFonts w:ascii="Georgia" w:hAnsi="Georgia"/>
          <w:sz w:val="20"/>
          <w:szCs w:val="20"/>
        </w:rPr>
        <w:t>We know the bodies were all decapitated and the skulls were “tightly packed in a variety of positions and orientations”</w:t>
      </w:r>
      <w:r w:rsidR="004B0CFD">
        <w:rPr>
          <w:rStyle w:val="FootnoteReference"/>
          <w:rFonts w:ascii="Georgia" w:hAnsi="Georgia"/>
          <w:sz w:val="20"/>
          <w:szCs w:val="20"/>
        </w:rPr>
        <w:footnoteReference w:id="1"/>
      </w:r>
      <w:r w:rsidR="00C11AA6">
        <w:rPr>
          <w:rFonts w:ascii="Georgia" w:hAnsi="Georgia"/>
          <w:sz w:val="20"/>
          <w:szCs w:val="20"/>
        </w:rPr>
        <w:t xml:space="preserve">. </w:t>
      </w:r>
      <w:r w:rsidR="00D12E60">
        <w:rPr>
          <w:rFonts w:ascii="Georgia" w:hAnsi="Georgia"/>
          <w:sz w:val="20"/>
          <w:szCs w:val="20"/>
        </w:rPr>
        <w:t>From this, an understanding can be gained that these individuals were no</w:t>
      </w:r>
      <w:r w:rsidR="009F51A4">
        <w:rPr>
          <w:rFonts w:ascii="Georgia" w:hAnsi="Georgia"/>
          <w:sz w:val="20"/>
          <w:szCs w:val="20"/>
        </w:rPr>
        <w:t>t from Britain, and their burial in this way was meant to be a disrespect, leading to the assumption that they were invaders</w:t>
      </w:r>
      <w:r w:rsidR="001A644E">
        <w:rPr>
          <w:rFonts w:ascii="Georgia" w:hAnsi="Georgia"/>
          <w:sz w:val="20"/>
          <w:szCs w:val="20"/>
        </w:rPr>
        <w:t xml:space="preserve">. </w:t>
      </w:r>
      <w:r w:rsidR="000A4C99">
        <w:rPr>
          <w:rFonts w:ascii="Georgia" w:hAnsi="Georgia"/>
          <w:sz w:val="20"/>
          <w:szCs w:val="20"/>
        </w:rPr>
        <w:t>Isotope analysis</w:t>
      </w:r>
      <w:r w:rsidR="00990F45">
        <w:rPr>
          <w:rFonts w:ascii="Georgia" w:hAnsi="Georgia"/>
          <w:sz w:val="20"/>
          <w:szCs w:val="20"/>
        </w:rPr>
        <w:t xml:space="preserve"> revealed them to be </w:t>
      </w:r>
      <w:r w:rsidR="000A4C99">
        <w:rPr>
          <w:rFonts w:ascii="Georgia" w:hAnsi="Georgia"/>
          <w:sz w:val="20"/>
          <w:szCs w:val="20"/>
        </w:rPr>
        <w:t>most likely Scandinavian, and so it was confirmed they were Vikings. This example of a Viking grave in a Christian country</w:t>
      </w:r>
      <w:r w:rsidR="005B7FF1">
        <w:rPr>
          <w:rFonts w:ascii="Georgia" w:hAnsi="Georgia"/>
          <w:sz w:val="20"/>
          <w:szCs w:val="20"/>
        </w:rPr>
        <w:t xml:space="preserve"> can tell us a lot about how the invaders were treated, and how even in death they were not treated with respect but thrown </w:t>
      </w:r>
      <w:r w:rsidR="00A121E2">
        <w:rPr>
          <w:rFonts w:ascii="Georgia" w:hAnsi="Georgia"/>
          <w:sz w:val="20"/>
          <w:szCs w:val="20"/>
        </w:rPr>
        <w:t xml:space="preserve">into a pit haphazardly. This kind of grave can also </w:t>
      </w:r>
      <w:r w:rsidR="00744232">
        <w:rPr>
          <w:rFonts w:ascii="Georgia" w:hAnsi="Georgia"/>
          <w:sz w:val="20"/>
          <w:szCs w:val="20"/>
        </w:rPr>
        <w:t>deepen our understanding of Viking culture, as</w:t>
      </w:r>
      <w:r w:rsidR="004B0CFD">
        <w:rPr>
          <w:rFonts w:ascii="Georgia" w:hAnsi="Georgia"/>
          <w:sz w:val="20"/>
          <w:szCs w:val="20"/>
        </w:rPr>
        <w:t xml:space="preserve"> a sample can be taken – being that 51 is a huge sample to use – and similarities between the bodies can help to extrapolate </w:t>
      </w:r>
      <w:r w:rsidR="009E2C3C">
        <w:rPr>
          <w:rFonts w:ascii="Georgia" w:hAnsi="Georgia"/>
          <w:sz w:val="20"/>
          <w:szCs w:val="20"/>
        </w:rPr>
        <w:t xml:space="preserve">information about the society. For </w:t>
      </w:r>
      <w:r w:rsidR="00A6485D">
        <w:rPr>
          <w:rFonts w:ascii="Georgia" w:hAnsi="Georgia"/>
          <w:sz w:val="20"/>
          <w:szCs w:val="20"/>
        </w:rPr>
        <w:t>example,</w:t>
      </w:r>
      <w:r w:rsidR="009E2C3C">
        <w:rPr>
          <w:rFonts w:ascii="Georgia" w:hAnsi="Georgia"/>
          <w:sz w:val="20"/>
          <w:szCs w:val="20"/>
        </w:rPr>
        <w:t xml:space="preserve"> it was found that many of the skulls had teeth with filed marks from modification, </w:t>
      </w:r>
      <w:r w:rsidR="009843E9">
        <w:rPr>
          <w:rFonts w:ascii="Georgia" w:hAnsi="Georgia"/>
          <w:sz w:val="20"/>
          <w:szCs w:val="20"/>
        </w:rPr>
        <w:t xml:space="preserve">suggesting that the action had a symbolic meaning to them, or was a sign of status or fashion. To </w:t>
      </w:r>
      <w:r w:rsidR="00A437CF">
        <w:rPr>
          <w:rFonts w:ascii="Georgia" w:hAnsi="Georgia"/>
          <w:sz w:val="20"/>
          <w:szCs w:val="20"/>
        </w:rPr>
        <w:t xml:space="preserve">better </w:t>
      </w:r>
      <w:r w:rsidR="006E2E44">
        <w:rPr>
          <w:rFonts w:ascii="Georgia" w:hAnsi="Georgia"/>
          <w:sz w:val="20"/>
          <w:szCs w:val="20"/>
        </w:rPr>
        <w:t xml:space="preserve">understand the meaning of this </w:t>
      </w:r>
      <w:r w:rsidR="00321DEF">
        <w:rPr>
          <w:rFonts w:ascii="Georgia" w:hAnsi="Georgia"/>
          <w:sz w:val="20"/>
          <w:szCs w:val="20"/>
        </w:rPr>
        <w:t>action, more samples from other sites would be needed</w:t>
      </w:r>
      <w:r w:rsidR="00F779D6">
        <w:rPr>
          <w:rFonts w:ascii="Georgia" w:hAnsi="Georgia"/>
          <w:sz w:val="20"/>
          <w:szCs w:val="20"/>
        </w:rPr>
        <w:t>.</w:t>
      </w:r>
    </w:p>
    <w:p w14:paraId="5D924568" w14:textId="59EABE98" w:rsidR="000066BE" w:rsidRDefault="00DC4A6D" w:rsidP="00D81D9B">
      <w:pPr>
        <w:jc w:val="both"/>
        <w:rPr>
          <w:rFonts w:ascii="Georgia" w:hAnsi="Georgia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1855AE" wp14:editId="11A16B66">
                <wp:simplePos x="0" y="0"/>
                <wp:positionH relativeFrom="column">
                  <wp:posOffset>3596640</wp:posOffset>
                </wp:positionH>
                <wp:positionV relativeFrom="paragraph">
                  <wp:posOffset>1837055</wp:posOffset>
                </wp:positionV>
                <wp:extent cx="2651760" cy="259080"/>
                <wp:effectExtent l="0" t="0" r="0" b="762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1760" cy="2590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D215DA9" w14:textId="5F3436B1" w:rsidR="00DC4A6D" w:rsidRPr="00966F2A" w:rsidRDefault="00DC4A6D" w:rsidP="00DC4A6D">
                            <w:pPr>
                              <w:pStyle w:val="Caption"/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>- Prone skeleton found in Sicily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855AE" id="Text Box 4" o:spid="_x0000_s1027" type="#_x0000_t202" style="position:absolute;left:0;text-align:left;margin-left:283.2pt;margin-top:144.65pt;width:208.8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" stroked="f">
                <v:textbox inset="0,0,0,0">
                  <w:txbxContent>
                    <w:p w14:paraId="1D215DA9" w14:textId="5F3436B1" w:rsidR="00DC4A6D" w:rsidRPr="00966F2A" w:rsidRDefault="00DC4A6D" w:rsidP="00DC4A6D">
                      <w:pPr>
                        <w:pStyle w:val="Caption"/>
                        <w:rPr>
                          <w:rFonts w:ascii="Georgia" w:hAnsi="Georgia"/>
                          <w:sz w:val="20"/>
                          <w:szCs w:val="20"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>
                          <w:rPr>
                            <w:noProof/>
                          </w:rPr>
                          <w:t>2</w:t>
                        </w:r>
                      </w:fldSimple>
                      <w:r>
                        <w:t>- Prone skeleton found in Sicily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0665F8">
        <w:rPr>
          <w:rFonts w:ascii="Georgia" w:hAnsi="Georgia"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4070D08E" wp14:editId="50F5C9DE">
            <wp:simplePos x="0" y="0"/>
            <wp:positionH relativeFrom="margin">
              <wp:posOffset>3591560</wp:posOffset>
            </wp:positionH>
            <wp:positionV relativeFrom="paragraph">
              <wp:posOffset>8255</wp:posOffset>
            </wp:positionV>
            <wp:extent cx="2768600" cy="1788160"/>
            <wp:effectExtent l="0" t="0" r="0" b="2540"/>
            <wp:wrapSquare wrapText="bothSides"/>
            <wp:docPr id="3" name="Picture 3" descr="A picture containing text, ground, st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ground, ston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8600" cy="178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7D28">
        <w:rPr>
          <w:rFonts w:ascii="Georgia" w:hAnsi="Georgia"/>
          <w:sz w:val="20"/>
          <w:szCs w:val="20"/>
        </w:rPr>
        <w:t>Christian burials tend to reveal a lot about the society, as often those deemed not a</w:t>
      </w:r>
      <w:r w:rsidR="002D2753">
        <w:rPr>
          <w:rFonts w:ascii="Georgia" w:hAnsi="Georgia"/>
          <w:sz w:val="20"/>
          <w:szCs w:val="20"/>
        </w:rPr>
        <w:t xml:space="preserve"> suitable part of the community received a different </w:t>
      </w:r>
      <w:r w:rsidR="00B53C9A">
        <w:rPr>
          <w:rFonts w:ascii="Georgia" w:hAnsi="Georgia"/>
          <w:sz w:val="20"/>
          <w:szCs w:val="20"/>
        </w:rPr>
        <w:t>burial than others, making them stand ou</w:t>
      </w:r>
      <w:r w:rsidR="00ED5502">
        <w:rPr>
          <w:rFonts w:ascii="Georgia" w:hAnsi="Georgia"/>
          <w:sz w:val="20"/>
          <w:szCs w:val="20"/>
        </w:rPr>
        <w:t xml:space="preserve">t. For example, </w:t>
      </w:r>
      <w:r w:rsidR="00ED5148">
        <w:rPr>
          <w:rFonts w:ascii="Georgia" w:hAnsi="Georgia"/>
          <w:sz w:val="20"/>
          <w:szCs w:val="20"/>
        </w:rPr>
        <w:t xml:space="preserve">Andrew Reynolds found that </w:t>
      </w:r>
      <w:r w:rsidR="00E06498">
        <w:rPr>
          <w:rFonts w:ascii="Georgia" w:hAnsi="Georgia"/>
          <w:sz w:val="20"/>
          <w:szCs w:val="20"/>
        </w:rPr>
        <w:t xml:space="preserve">in the Early Medieval period, </w:t>
      </w:r>
      <w:r w:rsidR="00ED5148">
        <w:rPr>
          <w:rFonts w:ascii="Georgia" w:hAnsi="Georgia"/>
          <w:sz w:val="20"/>
          <w:szCs w:val="20"/>
        </w:rPr>
        <w:t xml:space="preserve">criminals were often </w:t>
      </w:r>
      <w:r w:rsidR="00A469D5">
        <w:rPr>
          <w:rFonts w:ascii="Georgia" w:hAnsi="Georgia"/>
          <w:sz w:val="20"/>
          <w:szCs w:val="20"/>
        </w:rPr>
        <w:t>“located o</w:t>
      </w:r>
      <w:r w:rsidR="00DD5DF2">
        <w:rPr>
          <w:rFonts w:ascii="Georgia" w:hAnsi="Georgia"/>
          <w:sz w:val="20"/>
          <w:szCs w:val="20"/>
        </w:rPr>
        <w:t xml:space="preserve">n administrative boundaries and buried in unusual </w:t>
      </w:r>
      <w:r w:rsidR="00DE5236">
        <w:rPr>
          <w:rFonts w:ascii="Georgia" w:hAnsi="Georgia"/>
          <w:sz w:val="20"/>
          <w:szCs w:val="20"/>
        </w:rPr>
        <w:t>positions, often prone”</w:t>
      </w:r>
      <w:r w:rsidR="00DE5236">
        <w:rPr>
          <w:rStyle w:val="FootnoteReference"/>
          <w:rFonts w:ascii="Georgia" w:hAnsi="Georgia"/>
          <w:sz w:val="20"/>
          <w:szCs w:val="20"/>
        </w:rPr>
        <w:footnoteReference w:id="2"/>
      </w:r>
      <w:r w:rsidR="00710854">
        <w:rPr>
          <w:rFonts w:ascii="Georgia" w:hAnsi="Georgia"/>
          <w:sz w:val="20"/>
          <w:szCs w:val="20"/>
        </w:rPr>
        <w:t xml:space="preserve">, revealing a lot about medieval </w:t>
      </w:r>
      <w:r w:rsidR="00E06498">
        <w:rPr>
          <w:rFonts w:ascii="Georgia" w:hAnsi="Georgia"/>
          <w:sz w:val="20"/>
          <w:szCs w:val="20"/>
        </w:rPr>
        <w:t xml:space="preserve">society and it’s </w:t>
      </w:r>
      <w:r w:rsidR="00601800">
        <w:rPr>
          <w:rFonts w:ascii="Georgia" w:hAnsi="Georgia"/>
          <w:sz w:val="20"/>
          <w:szCs w:val="20"/>
        </w:rPr>
        <w:t>classification of criminals or ‘other’s as not part of their society in a way that deserved the same burial and respect.</w:t>
      </w:r>
      <w:r w:rsidR="0087786F">
        <w:rPr>
          <w:rFonts w:ascii="Georgia" w:hAnsi="Georgia"/>
          <w:sz w:val="20"/>
          <w:szCs w:val="20"/>
        </w:rPr>
        <w:t xml:space="preserve"> </w:t>
      </w:r>
      <w:r w:rsidR="009B24B3">
        <w:rPr>
          <w:rFonts w:ascii="Georgia" w:hAnsi="Georgia"/>
          <w:sz w:val="20"/>
          <w:szCs w:val="20"/>
        </w:rPr>
        <w:t>In</w:t>
      </w:r>
      <w:r w:rsidR="00A94EE5">
        <w:rPr>
          <w:rFonts w:ascii="Georgia" w:hAnsi="Georgia"/>
          <w:sz w:val="20"/>
          <w:szCs w:val="20"/>
        </w:rPr>
        <w:t xml:space="preserve"> some cases, archaeologists theorise that these graves are a result of superstition</w:t>
      </w:r>
      <w:r w:rsidR="0087786F">
        <w:rPr>
          <w:rFonts w:ascii="Georgia" w:hAnsi="Georgia"/>
          <w:sz w:val="20"/>
          <w:szCs w:val="20"/>
        </w:rPr>
        <w:t>; it’s harder for a body to rise from the grave facing down</w:t>
      </w:r>
      <w:r w:rsidR="005400B0">
        <w:rPr>
          <w:rFonts w:ascii="Georgia" w:hAnsi="Georgia"/>
          <w:sz w:val="20"/>
          <w:szCs w:val="20"/>
        </w:rPr>
        <w:t>: as</w:t>
      </w:r>
      <w:r w:rsidR="0038455F" w:rsidRPr="0038455F">
        <w:rPr>
          <w:rFonts w:ascii="Georgia" w:hAnsi="Georgia"/>
          <w:color w:val="000000"/>
          <w:sz w:val="20"/>
          <w:szCs w:val="20"/>
          <w:shd w:val="clear" w:color="auto" w:fill="FFFFFF"/>
        </w:rPr>
        <w:t xml:space="preserve"> bodies decay, muscles can sometimes move, </w:t>
      </w:r>
      <w:r w:rsidR="005400B0">
        <w:rPr>
          <w:rFonts w:ascii="Georgia" w:hAnsi="Georgia"/>
          <w:color w:val="000000"/>
          <w:sz w:val="20"/>
          <w:szCs w:val="20"/>
          <w:shd w:val="clear" w:color="auto" w:fill="FFFFFF"/>
        </w:rPr>
        <w:t>when</w:t>
      </w:r>
      <w:r w:rsidR="0038455F" w:rsidRPr="0038455F">
        <w:rPr>
          <w:rFonts w:ascii="Georgia" w:hAnsi="Georgia"/>
          <w:color w:val="000000"/>
          <w:sz w:val="20"/>
          <w:szCs w:val="20"/>
          <w:shd w:val="clear" w:color="auto" w:fill="FFFFFF"/>
        </w:rPr>
        <w:t xml:space="preserve"> trapped air escapes</w:t>
      </w:r>
      <w:r w:rsidR="005400B0">
        <w:rPr>
          <w:rFonts w:ascii="Georgia" w:hAnsi="Georgia"/>
          <w:color w:val="000000"/>
          <w:sz w:val="20"/>
          <w:szCs w:val="20"/>
          <w:shd w:val="clear" w:color="auto" w:fill="FFFFFF"/>
        </w:rPr>
        <w:t xml:space="preserve"> it can be heard</w:t>
      </w:r>
      <w:r w:rsidR="0038455F" w:rsidRPr="0038455F">
        <w:rPr>
          <w:rFonts w:ascii="Georgia" w:hAnsi="Georgia"/>
          <w:color w:val="000000"/>
          <w:sz w:val="20"/>
          <w:szCs w:val="20"/>
          <w:shd w:val="clear" w:color="auto" w:fill="FFFFFF"/>
        </w:rPr>
        <w:t>,</w:t>
      </w:r>
      <w:r>
        <w:rPr>
          <w:rFonts w:ascii="Georgia" w:hAnsi="Georgia"/>
          <w:color w:val="000000"/>
          <w:sz w:val="20"/>
          <w:szCs w:val="20"/>
          <w:shd w:val="clear" w:color="auto" w:fill="FFFFFF"/>
        </w:rPr>
        <w:t xml:space="preserve"> </w:t>
      </w:r>
      <w:r w:rsidR="005400B0">
        <w:rPr>
          <w:rFonts w:ascii="Georgia" w:hAnsi="Georgia"/>
          <w:color w:val="000000"/>
          <w:sz w:val="20"/>
          <w:szCs w:val="20"/>
          <w:shd w:val="clear" w:color="auto" w:fill="FFFFFF"/>
        </w:rPr>
        <w:t>making it</w:t>
      </w:r>
      <w:r w:rsidR="0038455F" w:rsidRPr="0038455F">
        <w:rPr>
          <w:rFonts w:ascii="Georgia" w:hAnsi="Georgia"/>
          <w:color w:val="000000"/>
          <w:sz w:val="20"/>
          <w:szCs w:val="20"/>
          <w:shd w:val="clear" w:color="auto" w:fill="FFFFFF"/>
        </w:rPr>
        <w:t xml:space="preserve"> seem as if the </w:t>
      </w:r>
      <w:r w:rsidR="0038455F" w:rsidRPr="0038455F">
        <w:rPr>
          <w:rFonts w:ascii="Georgia" w:hAnsi="Georgia"/>
          <w:color w:val="000000"/>
          <w:sz w:val="20"/>
          <w:szCs w:val="20"/>
          <w:shd w:val="clear" w:color="auto" w:fill="FFFFFF"/>
        </w:rPr>
        <w:lastRenderedPageBreak/>
        <w:t>corpse is becoming reanimated.</w:t>
      </w:r>
      <w:r w:rsidR="005400B0">
        <w:rPr>
          <w:rFonts w:ascii="Georgia" w:hAnsi="Georgia"/>
          <w:color w:val="000000"/>
          <w:sz w:val="20"/>
          <w:szCs w:val="20"/>
          <w:shd w:val="clear" w:color="auto" w:fill="FFFFFF"/>
        </w:rPr>
        <w:t xml:space="preserve"> </w:t>
      </w:r>
      <w:r w:rsidR="000066BE" w:rsidRPr="000066BE">
        <w:rPr>
          <w:rFonts w:ascii="Georgia" w:hAnsi="Georgia"/>
          <w:sz w:val="20"/>
          <w:szCs w:val="20"/>
        </w:rPr>
        <w:t>“I</w:t>
      </w:r>
      <w:r w:rsidR="000066BE" w:rsidRPr="000066BE">
        <w:rPr>
          <w:rFonts w:ascii="Georgia" w:hAnsi="Georgia"/>
          <w:sz w:val="20"/>
          <w:szCs w:val="20"/>
        </w:rPr>
        <w:t>n addition, prone position was believed to ward off epidemic diseases which would otherwise spread from the deceased to the living</w:t>
      </w:r>
      <w:r w:rsidR="000066BE" w:rsidRPr="000066BE">
        <w:rPr>
          <w:rFonts w:ascii="Georgia" w:hAnsi="Georgia"/>
          <w:sz w:val="20"/>
          <w:szCs w:val="20"/>
        </w:rPr>
        <w:t>.”</w:t>
      </w:r>
      <w:r w:rsidR="000066BE">
        <w:rPr>
          <w:rStyle w:val="FootnoteReference"/>
          <w:rFonts w:ascii="Georgia" w:hAnsi="Georgia"/>
          <w:sz w:val="20"/>
          <w:szCs w:val="20"/>
        </w:rPr>
        <w:footnoteReference w:id="3"/>
      </w:r>
      <w:r w:rsidR="00FD6C81" w:rsidRPr="003818C2">
        <w:rPr>
          <w:rFonts w:ascii="Georgia" w:hAnsi="Georgia"/>
          <w:sz w:val="18"/>
          <w:szCs w:val="18"/>
        </w:rPr>
        <w:t xml:space="preserve"> </w:t>
      </w:r>
    </w:p>
    <w:p w14:paraId="1D9EC21C" w14:textId="45759994" w:rsidR="00816877" w:rsidRPr="00816877" w:rsidRDefault="002E70D5" w:rsidP="00D81D9B">
      <w:pPr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To sum up,</w:t>
      </w:r>
      <w:r w:rsidR="00F14A48">
        <w:rPr>
          <w:rFonts w:ascii="Georgia" w:hAnsi="Georgia"/>
          <w:sz w:val="20"/>
          <w:szCs w:val="20"/>
        </w:rPr>
        <w:t xml:space="preserve"> we can use a number of different techniques</w:t>
      </w:r>
      <w:r>
        <w:rPr>
          <w:rFonts w:ascii="Georgia" w:hAnsi="Georgia"/>
          <w:sz w:val="20"/>
          <w:szCs w:val="20"/>
        </w:rPr>
        <w:t xml:space="preserve"> </w:t>
      </w:r>
      <w:r w:rsidR="00F41D59">
        <w:rPr>
          <w:rFonts w:ascii="Georgia" w:hAnsi="Georgia"/>
          <w:sz w:val="20"/>
          <w:szCs w:val="20"/>
        </w:rPr>
        <w:t>to</w:t>
      </w:r>
      <w:r w:rsidR="00816877" w:rsidRPr="00816877">
        <w:rPr>
          <w:rFonts w:ascii="Georgia" w:hAnsi="Georgia"/>
          <w:sz w:val="20"/>
          <w:szCs w:val="20"/>
        </w:rPr>
        <w:t xml:space="preserve"> interpret </w:t>
      </w:r>
      <w:r w:rsidR="00F41D59">
        <w:rPr>
          <w:rFonts w:ascii="Georgia" w:hAnsi="Georgia"/>
          <w:sz w:val="20"/>
          <w:szCs w:val="20"/>
        </w:rPr>
        <w:t xml:space="preserve">burial </w:t>
      </w:r>
      <w:r w:rsidR="00B448F4">
        <w:rPr>
          <w:rFonts w:ascii="Georgia" w:hAnsi="Georgia"/>
          <w:sz w:val="20"/>
          <w:szCs w:val="20"/>
        </w:rPr>
        <w:t>evidence,</w:t>
      </w:r>
      <w:r w:rsidR="00104A78">
        <w:rPr>
          <w:rFonts w:ascii="Georgia" w:hAnsi="Georgia"/>
          <w:sz w:val="20"/>
          <w:szCs w:val="20"/>
        </w:rPr>
        <w:t xml:space="preserve"> using contemporary societies as a reference for </w:t>
      </w:r>
      <w:r w:rsidR="00223DDD">
        <w:rPr>
          <w:rFonts w:ascii="Georgia" w:hAnsi="Georgia"/>
          <w:sz w:val="20"/>
          <w:szCs w:val="20"/>
        </w:rPr>
        <w:t>understanding past processes</w:t>
      </w:r>
      <w:r w:rsidR="0003142D">
        <w:rPr>
          <w:rFonts w:ascii="Georgia" w:hAnsi="Georgia"/>
          <w:sz w:val="20"/>
          <w:szCs w:val="20"/>
        </w:rPr>
        <w:t>; the static records</w:t>
      </w:r>
      <w:r w:rsidR="00DC285F">
        <w:rPr>
          <w:rFonts w:ascii="Georgia" w:hAnsi="Georgia"/>
          <w:sz w:val="20"/>
          <w:szCs w:val="20"/>
        </w:rPr>
        <w:t xml:space="preserve">, such as the bodies and grave markers, can provide an archaeologist with </w:t>
      </w:r>
      <w:r w:rsidR="00EA09BD">
        <w:rPr>
          <w:rFonts w:ascii="Georgia" w:hAnsi="Georgia"/>
          <w:sz w:val="20"/>
          <w:szCs w:val="20"/>
        </w:rPr>
        <w:t xml:space="preserve">invaluable insights into </w:t>
      </w:r>
      <w:r w:rsidR="00B52DA5">
        <w:rPr>
          <w:rFonts w:ascii="Georgia" w:hAnsi="Georgia"/>
          <w:sz w:val="20"/>
          <w:szCs w:val="20"/>
        </w:rPr>
        <w:t xml:space="preserve">a </w:t>
      </w:r>
      <w:r w:rsidR="00A90FA0">
        <w:rPr>
          <w:rFonts w:ascii="Georgia" w:hAnsi="Georgia"/>
          <w:sz w:val="20"/>
          <w:szCs w:val="20"/>
        </w:rPr>
        <w:t>society’s</w:t>
      </w:r>
      <w:r w:rsidR="00B52DA5">
        <w:rPr>
          <w:rFonts w:ascii="Georgia" w:hAnsi="Georgia"/>
          <w:sz w:val="20"/>
          <w:szCs w:val="20"/>
        </w:rPr>
        <w:t xml:space="preserve"> treatment of the dead and of the living. The aim of these individuals is </w:t>
      </w:r>
      <w:r w:rsidR="00A90FA0">
        <w:rPr>
          <w:rFonts w:ascii="Georgia" w:hAnsi="Georgia"/>
          <w:sz w:val="20"/>
          <w:szCs w:val="20"/>
        </w:rPr>
        <w:t>using</w:t>
      </w:r>
      <w:r w:rsidR="00C56D34">
        <w:rPr>
          <w:rFonts w:ascii="Georgia" w:hAnsi="Georgia"/>
          <w:sz w:val="20"/>
          <w:szCs w:val="20"/>
        </w:rPr>
        <w:t xml:space="preserve"> this static evidence to gain an understanding of </w:t>
      </w:r>
      <w:r w:rsidR="0038225F">
        <w:rPr>
          <w:rFonts w:ascii="Georgia" w:hAnsi="Georgia"/>
          <w:sz w:val="20"/>
          <w:szCs w:val="20"/>
        </w:rPr>
        <w:t>the dy</w:t>
      </w:r>
      <w:r w:rsidR="00B55C8A">
        <w:rPr>
          <w:rFonts w:ascii="Georgia" w:hAnsi="Georgia"/>
          <w:sz w:val="20"/>
          <w:szCs w:val="20"/>
        </w:rPr>
        <w:t xml:space="preserve">namics of the past – the how and why behind an action. </w:t>
      </w:r>
      <w:r w:rsidR="006E2BEF">
        <w:rPr>
          <w:rFonts w:ascii="Georgia" w:hAnsi="Georgia"/>
          <w:sz w:val="20"/>
          <w:szCs w:val="20"/>
        </w:rPr>
        <w:t xml:space="preserve">Burial evidence is </w:t>
      </w:r>
      <w:r w:rsidR="00AE3144">
        <w:rPr>
          <w:rFonts w:ascii="Georgia" w:hAnsi="Georgia"/>
          <w:sz w:val="20"/>
          <w:szCs w:val="20"/>
        </w:rPr>
        <w:t xml:space="preserve">key to understanding any society, as </w:t>
      </w:r>
      <w:r w:rsidR="00732DC0">
        <w:rPr>
          <w:rFonts w:ascii="Georgia" w:hAnsi="Georgia"/>
          <w:sz w:val="20"/>
          <w:szCs w:val="20"/>
        </w:rPr>
        <w:t xml:space="preserve">it gives us a clear idea of what was important to that society, such as a Christian grave’s orientation towards </w:t>
      </w:r>
      <w:r w:rsidR="007F683E">
        <w:rPr>
          <w:rFonts w:ascii="Georgia" w:hAnsi="Georgia"/>
          <w:sz w:val="20"/>
          <w:szCs w:val="20"/>
        </w:rPr>
        <w:t xml:space="preserve">the east; </w:t>
      </w:r>
      <w:r w:rsidR="007A04B6">
        <w:rPr>
          <w:rFonts w:ascii="Georgia" w:hAnsi="Georgia"/>
          <w:sz w:val="20"/>
          <w:szCs w:val="20"/>
        </w:rPr>
        <w:t xml:space="preserve">which, </w:t>
      </w:r>
      <w:r w:rsidR="00E45F7C">
        <w:rPr>
          <w:rFonts w:ascii="Georgia" w:hAnsi="Georgia"/>
          <w:sz w:val="20"/>
          <w:szCs w:val="20"/>
        </w:rPr>
        <w:t>they</w:t>
      </w:r>
      <w:r w:rsidR="007A04B6">
        <w:rPr>
          <w:rFonts w:ascii="Georgia" w:hAnsi="Georgia"/>
          <w:sz w:val="20"/>
          <w:szCs w:val="20"/>
        </w:rPr>
        <w:t xml:space="preserve"> believe, </w:t>
      </w:r>
      <w:r w:rsidR="0041267C">
        <w:rPr>
          <w:rFonts w:ascii="Georgia" w:hAnsi="Georgia"/>
          <w:sz w:val="20"/>
          <w:szCs w:val="20"/>
        </w:rPr>
        <w:t xml:space="preserve">faces toward the direction of </w:t>
      </w:r>
      <w:r w:rsidR="00E45F7C">
        <w:rPr>
          <w:rFonts w:ascii="Georgia" w:hAnsi="Georgia"/>
          <w:sz w:val="20"/>
          <w:szCs w:val="20"/>
        </w:rPr>
        <w:t>the</w:t>
      </w:r>
      <w:r w:rsidR="0041267C">
        <w:rPr>
          <w:rFonts w:ascii="Georgia" w:hAnsi="Georgia"/>
          <w:sz w:val="20"/>
          <w:szCs w:val="20"/>
        </w:rPr>
        <w:t xml:space="preserve"> prophesised second coming</w:t>
      </w:r>
      <w:r w:rsidR="00E45F7C">
        <w:rPr>
          <w:rFonts w:ascii="Georgia" w:hAnsi="Georgia"/>
          <w:sz w:val="20"/>
          <w:szCs w:val="20"/>
        </w:rPr>
        <w:t xml:space="preserve"> of Christ</w:t>
      </w:r>
      <w:r w:rsidR="00303ED9">
        <w:rPr>
          <w:rFonts w:ascii="Georgia" w:hAnsi="Georgia"/>
          <w:sz w:val="20"/>
          <w:szCs w:val="20"/>
        </w:rPr>
        <w:t xml:space="preserve"> (has stirred up one from the east</w:t>
      </w:r>
      <w:r w:rsidR="00786909">
        <w:rPr>
          <w:rFonts w:ascii="Georgia" w:hAnsi="Georgia"/>
          <w:sz w:val="20"/>
          <w:szCs w:val="20"/>
        </w:rPr>
        <w:t>)</w:t>
      </w:r>
      <w:r w:rsidR="00786909">
        <w:rPr>
          <w:rStyle w:val="FootnoteReference"/>
          <w:rFonts w:ascii="Georgia" w:hAnsi="Georgia"/>
          <w:sz w:val="20"/>
          <w:szCs w:val="20"/>
        </w:rPr>
        <w:footnoteReference w:id="4"/>
      </w:r>
      <w:r w:rsidR="00685F63">
        <w:rPr>
          <w:rFonts w:ascii="Georgia" w:hAnsi="Georgia"/>
          <w:sz w:val="20"/>
          <w:szCs w:val="20"/>
        </w:rPr>
        <w:t>.</w:t>
      </w:r>
    </w:p>
    <w:p w14:paraId="2FB1873B" w14:textId="77777777" w:rsidR="00683D5E" w:rsidRPr="0038455F" w:rsidRDefault="00683D5E" w:rsidP="00D81D9B">
      <w:pPr>
        <w:jc w:val="both"/>
        <w:rPr>
          <w:rFonts w:ascii="Georgia" w:hAnsi="Georgia"/>
          <w:sz w:val="20"/>
          <w:szCs w:val="20"/>
        </w:rPr>
      </w:pPr>
    </w:p>
    <w:sectPr w:rsidR="00683D5E" w:rsidRPr="0038455F" w:rsidSect="00002CC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D3EF1" w14:textId="77777777" w:rsidR="004B0CFD" w:rsidRDefault="004B0CFD" w:rsidP="004B0CFD">
      <w:pPr>
        <w:spacing w:after="0" w:line="240" w:lineRule="auto"/>
      </w:pPr>
      <w:r>
        <w:separator/>
      </w:r>
    </w:p>
  </w:endnote>
  <w:endnote w:type="continuationSeparator" w:id="0">
    <w:p w14:paraId="25E8482E" w14:textId="77777777" w:rsidR="004B0CFD" w:rsidRDefault="004B0CFD" w:rsidP="004B0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A3338" w14:textId="77777777" w:rsidR="004B0CFD" w:rsidRDefault="004B0CFD" w:rsidP="004B0CFD">
      <w:pPr>
        <w:spacing w:after="0" w:line="240" w:lineRule="auto"/>
      </w:pPr>
      <w:r>
        <w:separator/>
      </w:r>
    </w:p>
  </w:footnote>
  <w:footnote w:type="continuationSeparator" w:id="0">
    <w:p w14:paraId="687129CB" w14:textId="77777777" w:rsidR="004B0CFD" w:rsidRDefault="004B0CFD" w:rsidP="004B0CFD">
      <w:pPr>
        <w:spacing w:after="0" w:line="240" w:lineRule="auto"/>
      </w:pPr>
      <w:r>
        <w:continuationSeparator/>
      </w:r>
    </w:p>
  </w:footnote>
  <w:footnote w:id="1">
    <w:p w14:paraId="056C4B49" w14:textId="51B96B0F" w:rsidR="004B0CFD" w:rsidRPr="00457FB6" w:rsidRDefault="004B0CFD" w:rsidP="00CA5F54">
      <w:pPr>
        <w:pStyle w:val="FootnoteText"/>
        <w:rPr>
          <w:rFonts w:ascii="Georgia" w:hAnsi="Georgia"/>
          <w:sz w:val="16"/>
          <w:szCs w:val="16"/>
        </w:rPr>
      </w:pPr>
      <w:r w:rsidRPr="00457FB6">
        <w:rPr>
          <w:rStyle w:val="FootnoteReference"/>
          <w:rFonts w:ascii="Georgia" w:hAnsi="Georgia"/>
          <w:sz w:val="16"/>
          <w:szCs w:val="16"/>
        </w:rPr>
        <w:footnoteRef/>
      </w:r>
      <w:r w:rsidRPr="00457FB6">
        <w:rPr>
          <w:rFonts w:ascii="Georgia" w:hAnsi="Georgia"/>
          <w:sz w:val="16"/>
          <w:szCs w:val="16"/>
        </w:rPr>
        <w:t xml:space="preserve"> </w:t>
      </w:r>
      <w:r w:rsidR="00CA5F54" w:rsidRPr="00457FB6">
        <w:rPr>
          <w:rFonts w:ascii="Georgia" w:hAnsi="Georgia"/>
          <w:sz w:val="16"/>
          <w:szCs w:val="16"/>
        </w:rPr>
        <w:t>The Haskins Society Journal 25: 2013. Studies in Medieval History</w:t>
      </w:r>
      <w:r w:rsidR="00CA5F54" w:rsidRPr="00457FB6">
        <w:rPr>
          <w:rFonts w:ascii="Georgia" w:hAnsi="Georgia"/>
          <w:sz w:val="16"/>
          <w:szCs w:val="16"/>
        </w:rPr>
        <w:t xml:space="preserve">, Laura L. </w:t>
      </w:r>
      <w:proofErr w:type="spellStart"/>
      <w:r w:rsidR="00CA5F54" w:rsidRPr="00457FB6">
        <w:rPr>
          <w:rFonts w:ascii="Georgia" w:hAnsi="Georgia"/>
          <w:sz w:val="16"/>
          <w:szCs w:val="16"/>
        </w:rPr>
        <w:t>Gathagan</w:t>
      </w:r>
      <w:proofErr w:type="spellEnd"/>
      <w:r w:rsidR="00CA5F54" w:rsidRPr="00457FB6">
        <w:rPr>
          <w:rFonts w:ascii="Georgia" w:hAnsi="Georgia"/>
          <w:sz w:val="16"/>
          <w:szCs w:val="16"/>
        </w:rPr>
        <w:t xml:space="preserve"> and William North</w:t>
      </w:r>
    </w:p>
  </w:footnote>
  <w:footnote w:id="2">
    <w:p w14:paraId="6F1F839C" w14:textId="3B76B3F6" w:rsidR="00DE5236" w:rsidRDefault="00DE5236">
      <w:pPr>
        <w:pStyle w:val="FootnoteText"/>
      </w:pPr>
      <w:r w:rsidRPr="00457FB6">
        <w:rPr>
          <w:rStyle w:val="FootnoteReference"/>
          <w:rFonts w:ascii="Georgia" w:hAnsi="Georgia"/>
          <w:sz w:val="16"/>
          <w:szCs w:val="16"/>
        </w:rPr>
        <w:footnoteRef/>
      </w:r>
      <w:r w:rsidRPr="00457FB6">
        <w:rPr>
          <w:rFonts w:ascii="Georgia" w:hAnsi="Georgia"/>
          <w:sz w:val="16"/>
          <w:szCs w:val="16"/>
        </w:rPr>
        <w:t xml:space="preserve"> </w:t>
      </w:r>
      <w:r w:rsidR="00082825" w:rsidRPr="00457FB6">
        <w:rPr>
          <w:rFonts w:ascii="Georgia" w:hAnsi="Georgia"/>
          <w:sz w:val="16"/>
          <w:szCs w:val="16"/>
        </w:rPr>
        <w:t>Deviant Burial in the Archaeological Record</w:t>
      </w:r>
      <w:r w:rsidR="00457FB6" w:rsidRPr="00457FB6">
        <w:rPr>
          <w:rFonts w:ascii="Georgia" w:hAnsi="Georgia"/>
          <w:sz w:val="16"/>
          <w:szCs w:val="16"/>
        </w:rPr>
        <w:t>, Eileen M. Murphy</w:t>
      </w:r>
      <w:r w:rsidR="00457FB6" w:rsidRPr="00457FB6">
        <w:rPr>
          <w:sz w:val="16"/>
          <w:szCs w:val="16"/>
        </w:rPr>
        <w:t xml:space="preserve"> </w:t>
      </w:r>
    </w:p>
  </w:footnote>
  <w:footnote w:id="3">
    <w:p w14:paraId="7C447DFA" w14:textId="2F316E20" w:rsidR="000066BE" w:rsidRPr="00FD6C81" w:rsidRDefault="000066BE" w:rsidP="00FC3EDA">
      <w:pPr>
        <w:pStyle w:val="FootnoteText"/>
        <w:rPr>
          <w:rFonts w:ascii="Georgia" w:hAnsi="Georgia"/>
        </w:rPr>
      </w:pPr>
      <w:r w:rsidRPr="00FD6C81">
        <w:rPr>
          <w:rStyle w:val="FootnoteReference"/>
          <w:rFonts w:ascii="Georgia" w:hAnsi="Georgia"/>
          <w:sz w:val="16"/>
          <w:szCs w:val="16"/>
        </w:rPr>
        <w:footnoteRef/>
      </w:r>
      <w:r w:rsidRPr="00FD6C81">
        <w:rPr>
          <w:rFonts w:ascii="Georgia" w:hAnsi="Georgia"/>
          <w:sz w:val="16"/>
          <w:szCs w:val="16"/>
        </w:rPr>
        <w:t xml:space="preserve"> </w:t>
      </w:r>
      <w:r w:rsidR="00FC3EDA" w:rsidRPr="00FD6C81">
        <w:rPr>
          <w:rFonts w:ascii="Georgia" w:hAnsi="Georgia"/>
          <w:sz w:val="16"/>
          <w:szCs w:val="16"/>
        </w:rPr>
        <w:t>Between belief and fear - Reinterpreting prone</w:t>
      </w:r>
      <w:r w:rsidR="00FC3EDA" w:rsidRPr="00FD6C81">
        <w:rPr>
          <w:rFonts w:ascii="Georgia" w:hAnsi="Georgia"/>
          <w:sz w:val="16"/>
          <w:szCs w:val="16"/>
        </w:rPr>
        <w:t xml:space="preserve"> </w:t>
      </w:r>
      <w:r w:rsidR="00FC3EDA" w:rsidRPr="00FD6C81">
        <w:rPr>
          <w:rFonts w:ascii="Georgia" w:hAnsi="Georgia"/>
          <w:sz w:val="16"/>
          <w:szCs w:val="16"/>
        </w:rPr>
        <w:t>burials during the Middle Ages and early</w:t>
      </w:r>
      <w:r w:rsidR="00FC3EDA" w:rsidRPr="00FD6C81">
        <w:rPr>
          <w:rFonts w:ascii="Georgia" w:hAnsi="Georgia"/>
          <w:sz w:val="16"/>
          <w:szCs w:val="16"/>
        </w:rPr>
        <w:t xml:space="preserve"> </w:t>
      </w:r>
      <w:r w:rsidR="00FC3EDA" w:rsidRPr="00FD6C81">
        <w:rPr>
          <w:rFonts w:ascii="Georgia" w:hAnsi="Georgia"/>
          <w:sz w:val="16"/>
          <w:szCs w:val="16"/>
        </w:rPr>
        <w:t>modern period in German-speaking Europe</w:t>
      </w:r>
      <w:r w:rsidR="00FC3EDA" w:rsidRPr="00FD6C81">
        <w:rPr>
          <w:rFonts w:ascii="Georgia" w:hAnsi="Georgia"/>
          <w:sz w:val="16"/>
          <w:szCs w:val="16"/>
        </w:rPr>
        <w:t xml:space="preserve">, </w:t>
      </w:r>
      <w:r w:rsidR="00FC3EDA" w:rsidRPr="00FD6C81">
        <w:rPr>
          <w:rFonts w:ascii="Georgia" w:hAnsi="Georgia"/>
          <w:sz w:val="16"/>
          <w:szCs w:val="16"/>
        </w:rPr>
        <w:t xml:space="preserve">Amelie </w:t>
      </w:r>
      <w:proofErr w:type="spellStart"/>
      <w:r w:rsidR="00FC3EDA" w:rsidRPr="00FD6C81">
        <w:rPr>
          <w:rFonts w:ascii="Georgia" w:hAnsi="Georgia"/>
          <w:sz w:val="16"/>
          <w:szCs w:val="16"/>
        </w:rPr>
        <w:t>Alterauge</w:t>
      </w:r>
      <w:proofErr w:type="spellEnd"/>
      <w:r w:rsidR="00FC3EDA" w:rsidRPr="00FD6C81">
        <w:rPr>
          <w:rFonts w:ascii="Georgia" w:hAnsi="Georgia"/>
          <w:sz w:val="16"/>
          <w:szCs w:val="16"/>
        </w:rPr>
        <w:t xml:space="preserve">, Thomas Meier, Bettina </w:t>
      </w:r>
      <w:proofErr w:type="spellStart"/>
      <w:r w:rsidR="00FC3EDA" w:rsidRPr="00FD6C81">
        <w:rPr>
          <w:rFonts w:ascii="Georgia" w:hAnsi="Georgia"/>
          <w:sz w:val="16"/>
          <w:szCs w:val="16"/>
        </w:rPr>
        <w:t>Jungklaus</w:t>
      </w:r>
      <w:proofErr w:type="spellEnd"/>
      <w:r w:rsidR="00FC3EDA" w:rsidRPr="00FD6C81">
        <w:rPr>
          <w:rFonts w:ascii="Georgia" w:hAnsi="Georgia"/>
          <w:sz w:val="16"/>
          <w:szCs w:val="16"/>
        </w:rPr>
        <w:t xml:space="preserve">, Marco </w:t>
      </w:r>
      <w:proofErr w:type="spellStart"/>
      <w:r w:rsidR="00FC3EDA" w:rsidRPr="00FD6C81">
        <w:rPr>
          <w:rFonts w:ascii="Georgia" w:hAnsi="Georgia"/>
          <w:sz w:val="16"/>
          <w:szCs w:val="16"/>
        </w:rPr>
        <w:t>Milella</w:t>
      </w:r>
      <w:proofErr w:type="spellEnd"/>
      <w:r w:rsidR="00FC3EDA" w:rsidRPr="00FD6C81">
        <w:rPr>
          <w:rFonts w:ascii="Georgia" w:hAnsi="Georgia"/>
          <w:sz w:val="16"/>
          <w:szCs w:val="16"/>
        </w:rPr>
        <w:t>,</w:t>
      </w:r>
      <w:r w:rsidR="00A4614D" w:rsidRPr="00FD6C81">
        <w:rPr>
          <w:rFonts w:ascii="Georgia" w:hAnsi="Georgia"/>
          <w:sz w:val="16"/>
          <w:szCs w:val="16"/>
        </w:rPr>
        <w:t xml:space="preserve"> </w:t>
      </w:r>
      <w:r w:rsidR="00FC3EDA" w:rsidRPr="00FD6C81">
        <w:rPr>
          <w:rFonts w:ascii="Georgia" w:hAnsi="Georgia"/>
          <w:sz w:val="16"/>
          <w:szCs w:val="16"/>
        </w:rPr>
        <w:t>Sandra L</w:t>
      </w:r>
      <m:oMath>
        <m:acc>
          <m:accPr>
            <m:chr m:val="̈"/>
            <m:ctrlPr>
              <w:rPr>
                <w:rFonts w:ascii="Cambria Math" w:hAnsi="Cambria Math"/>
                <w:sz w:val="16"/>
                <w:szCs w:val="16"/>
              </w:rPr>
            </m:ctrlPr>
          </m:accPr>
          <m:e>
            <m:r>
              <w:rPr>
                <w:rFonts w:ascii="Cambria Math" w:hAnsi="Cambria Math"/>
                <w:sz w:val="16"/>
                <w:szCs w:val="16"/>
              </w:rPr>
              <m:t>o</m:t>
            </m:r>
          </m:e>
        </m:acc>
      </m:oMath>
      <w:r w:rsidR="00FC3EDA" w:rsidRPr="00FD6C81">
        <w:rPr>
          <w:rFonts w:ascii="Georgia" w:hAnsi="Georgia"/>
          <w:sz w:val="16"/>
          <w:szCs w:val="16"/>
        </w:rPr>
        <w:t>sch</w:t>
      </w:r>
    </w:p>
  </w:footnote>
  <w:footnote w:id="4">
    <w:p w14:paraId="709D02B7" w14:textId="09691BE4" w:rsidR="00786909" w:rsidRDefault="0078690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85F63">
        <w:rPr>
          <w:rFonts w:ascii="Georgia" w:hAnsi="Georgia"/>
          <w:sz w:val="16"/>
          <w:szCs w:val="16"/>
        </w:rPr>
        <w:t>Bible Verse, Isaiah 42: 2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B90"/>
    <w:rsid w:val="00002CCB"/>
    <w:rsid w:val="000066BE"/>
    <w:rsid w:val="0003142D"/>
    <w:rsid w:val="00053EF0"/>
    <w:rsid w:val="000665F8"/>
    <w:rsid w:val="00082825"/>
    <w:rsid w:val="000A4C99"/>
    <w:rsid w:val="000E51DC"/>
    <w:rsid w:val="00104A78"/>
    <w:rsid w:val="001A644E"/>
    <w:rsid w:val="00222A6B"/>
    <w:rsid w:val="00223DDD"/>
    <w:rsid w:val="0027256C"/>
    <w:rsid w:val="002D2753"/>
    <w:rsid w:val="002E1DCB"/>
    <w:rsid w:val="002E70D5"/>
    <w:rsid w:val="002F466B"/>
    <w:rsid w:val="00303ED9"/>
    <w:rsid w:val="00321DEF"/>
    <w:rsid w:val="003608CB"/>
    <w:rsid w:val="003818C2"/>
    <w:rsid w:val="0038225F"/>
    <w:rsid w:val="0038455F"/>
    <w:rsid w:val="00396296"/>
    <w:rsid w:val="003A6B90"/>
    <w:rsid w:val="003D0F03"/>
    <w:rsid w:val="0041267C"/>
    <w:rsid w:val="00457FB6"/>
    <w:rsid w:val="004B0CFD"/>
    <w:rsid w:val="004B62F0"/>
    <w:rsid w:val="004C7CB4"/>
    <w:rsid w:val="00506CCF"/>
    <w:rsid w:val="005400B0"/>
    <w:rsid w:val="00546FCB"/>
    <w:rsid w:val="00567EB5"/>
    <w:rsid w:val="005817F2"/>
    <w:rsid w:val="0058748B"/>
    <w:rsid w:val="005B3E35"/>
    <w:rsid w:val="005B7FF1"/>
    <w:rsid w:val="005D5D1A"/>
    <w:rsid w:val="00601800"/>
    <w:rsid w:val="00606E7D"/>
    <w:rsid w:val="0064691C"/>
    <w:rsid w:val="00681222"/>
    <w:rsid w:val="00683D5E"/>
    <w:rsid w:val="00685F63"/>
    <w:rsid w:val="006C6AFA"/>
    <w:rsid w:val="006E2BEF"/>
    <w:rsid w:val="006E2E44"/>
    <w:rsid w:val="00710854"/>
    <w:rsid w:val="00732DC0"/>
    <w:rsid w:val="00744232"/>
    <w:rsid w:val="007742BF"/>
    <w:rsid w:val="00786909"/>
    <w:rsid w:val="007A04B6"/>
    <w:rsid w:val="007B329D"/>
    <w:rsid w:val="007F683E"/>
    <w:rsid w:val="00816877"/>
    <w:rsid w:val="0087786F"/>
    <w:rsid w:val="0094127C"/>
    <w:rsid w:val="009843E9"/>
    <w:rsid w:val="00990F45"/>
    <w:rsid w:val="009A7A17"/>
    <w:rsid w:val="009B24B3"/>
    <w:rsid w:val="009E2C3C"/>
    <w:rsid w:val="009F51A4"/>
    <w:rsid w:val="00A121E2"/>
    <w:rsid w:val="00A35405"/>
    <w:rsid w:val="00A437CF"/>
    <w:rsid w:val="00A4614D"/>
    <w:rsid w:val="00A469D5"/>
    <w:rsid w:val="00A51CFB"/>
    <w:rsid w:val="00A6485D"/>
    <w:rsid w:val="00A737F3"/>
    <w:rsid w:val="00A90FA0"/>
    <w:rsid w:val="00A94EE5"/>
    <w:rsid w:val="00A963AA"/>
    <w:rsid w:val="00AE3144"/>
    <w:rsid w:val="00B237D8"/>
    <w:rsid w:val="00B37506"/>
    <w:rsid w:val="00B4440C"/>
    <w:rsid w:val="00B448F4"/>
    <w:rsid w:val="00B52DA5"/>
    <w:rsid w:val="00B53C9A"/>
    <w:rsid w:val="00B55C8A"/>
    <w:rsid w:val="00C11AA6"/>
    <w:rsid w:val="00C36767"/>
    <w:rsid w:val="00C375A7"/>
    <w:rsid w:val="00C55C8E"/>
    <w:rsid w:val="00C56D34"/>
    <w:rsid w:val="00C630DD"/>
    <w:rsid w:val="00C81904"/>
    <w:rsid w:val="00C866DF"/>
    <w:rsid w:val="00CA5F54"/>
    <w:rsid w:val="00CE2E23"/>
    <w:rsid w:val="00CF4C8D"/>
    <w:rsid w:val="00D05A83"/>
    <w:rsid w:val="00D07D28"/>
    <w:rsid w:val="00D12E60"/>
    <w:rsid w:val="00D470AD"/>
    <w:rsid w:val="00D81D9B"/>
    <w:rsid w:val="00DC285F"/>
    <w:rsid w:val="00DC4A6D"/>
    <w:rsid w:val="00DD5DF2"/>
    <w:rsid w:val="00DE5236"/>
    <w:rsid w:val="00E06498"/>
    <w:rsid w:val="00E2711A"/>
    <w:rsid w:val="00E45F7C"/>
    <w:rsid w:val="00E574DC"/>
    <w:rsid w:val="00E72200"/>
    <w:rsid w:val="00E8559E"/>
    <w:rsid w:val="00EA09BD"/>
    <w:rsid w:val="00EC0BBE"/>
    <w:rsid w:val="00ED5148"/>
    <w:rsid w:val="00ED5502"/>
    <w:rsid w:val="00EF0DA0"/>
    <w:rsid w:val="00EF1705"/>
    <w:rsid w:val="00EF5DC5"/>
    <w:rsid w:val="00F02363"/>
    <w:rsid w:val="00F14A48"/>
    <w:rsid w:val="00F24803"/>
    <w:rsid w:val="00F34EA6"/>
    <w:rsid w:val="00F41D59"/>
    <w:rsid w:val="00F74298"/>
    <w:rsid w:val="00F779D6"/>
    <w:rsid w:val="00F90EF4"/>
    <w:rsid w:val="00FA6480"/>
    <w:rsid w:val="00FB4B34"/>
    <w:rsid w:val="00FC3EDA"/>
    <w:rsid w:val="00FD6C81"/>
    <w:rsid w:val="00FF4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51AD7"/>
  <w15:chartTrackingRefBased/>
  <w15:docId w15:val="{E64A45D0-FB8D-4DA1-8711-795A9D07D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A963A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B0CF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B0CF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B0CF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1776</TotalTime>
  <Pages>2</Pages>
  <Words>754</Words>
  <Characters>4301</Characters>
  <Application>Microsoft Office Word</Application>
  <DocSecurity>0</DocSecurity>
  <Lines>35</Lines>
  <Paragraphs>10</Paragraphs>
  <ScaleCrop>false</ScaleCrop>
  <Company/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Emery Futer</dc:creator>
  <cp:keywords/>
  <dc:description/>
  <cp:lastModifiedBy>Emery Futer</cp:lastModifiedBy>
  <cp:revision>135</cp:revision>
  <dcterms:created xsi:type="dcterms:W3CDTF">2022-10-14T20:54:00Z</dcterms:created>
  <dcterms:modified xsi:type="dcterms:W3CDTF">2022-10-16T17:58:00Z</dcterms:modified>
</cp:coreProperties>
</file>