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798FA" w14:textId="1464D3BD" w:rsidR="00A038A9" w:rsidRPr="00BB0B6F" w:rsidRDefault="00A038A9" w:rsidP="00BB0B6F">
      <w:pPr>
        <w:rPr>
          <w:rFonts w:ascii="Arial" w:hAnsi="Arial" w:cs="Arial"/>
          <w:szCs w:val="22"/>
        </w:rPr>
      </w:pPr>
    </w:p>
    <w:p w14:paraId="213CCA49" w14:textId="77777777" w:rsidR="00F324A6" w:rsidRPr="00BB0B6F" w:rsidRDefault="00F324A6" w:rsidP="00BB0B6F">
      <w:pPr>
        <w:rPr>
          <w:rFonts w:ascii="Arial" w:hAnsi="Arial" w:cs="Arial"/>
          <w:szCs w:val="22"/>
        </w:rPr>
      </w:pPr>
    </w:p>
    <w:p w14:paraId="2F058281" w14:textId="77777777" w:rsidR="00F324A6" w:rsidRPr="00BB0B6F" w:rsidRDefault="00F324A6" w:rsidP="00BB0B6F">
      <w:pPr>
        <w:rPr>
          <w:rFonts w:ascii="Arial" w:hAnsi="Arial" w:cs="Arial"/>
          <w:szCs w:val="22"/>
        </w:rPr>
      </w:pPr>
    </w:p>
    <w:p w14:paraId="346487D0" w14:textId="77777777" w:rsidR="00F324A6" w:rsidRPr="00BB0B6F" w:rsidRDefault="00F324A6" w:rsidP="00BB0B6F">
      <w:pPr>
        <w:rPr>
          <w:rFonts w:ascii="Arial" w:hAnsi="Arial" w:cs="Arial"/>
          <w:szCs w:val="22"/>
        </w:rPr>
      </w:pPr>
    </w:p>
    <w:p w14:paraId="1354E06B" w14:textId="77777777" w:rsidR="00F324A6" w:rsidRPr="00BB0B6F" w:rsidRDefault="00F324A6" w:rsidP="00BB0B6F">
      <w:pPr>
        <w:rPr>
          <w:rFonts w:ascii="Arial" w:hAnsi="Arial" w:cs="Arial"/>
          <w:szCs w:val="22"/>
        </w:rPr>
      </w:pPr>
    </w:p>
    <w:p w14:paraId="302FBBAA" w14:textId="77777777" w:rsidR="00F324A6" w:rsidRPr="00BB0B6F" w:rsidRDefault="00F324A6" w:rsidP="00BB0B6F">
      <w:pPr>
        <w:rPr>
          <w:rFonts w:ascii="Arial" w:hAnsi="Arial" w:cs="Arial"/>
          <w:szCs w:val="22"/>
        </w:rPr>
      </w:pPr>
    </w:p>
    <w:p w14:paraId="3D63F65A" w14:textId="77777777" w:rsidR="00F324A6" w:rsidRPr="00BB0B6F" w:rsidRDefault="00F324A6" w:rsidP="00BB0B6F">
      <w:pPr>
        <w:rPr>
          <w:rFonts w:ascii="Arial" w:hAnsi="Arial" w:cs="Arial"/>
          <w:szCs w:val="22"/>
        </w:rPr>
      </w:pPr>
    </w:p>
    <w:p w14:paraId="27DA36A7" w14:textId="7C94CF65" w:rsidR="00F324A6" w:rsidRPr="00BB0B6F" w:rsidRDefault="00F324A6" w:rsidP="00BB0B6F">
      <w:pPr>
        <w:jc w:val="center"/>
        <w:rPr>
          <w:rFonts w:ascii="Arial" w:hAnsi="Arial" w:cs="Arial"/>
          <w:b/>
          <w:bCs/>
          <w:sz w:val="32"/>
          <w:szCs w:val="28"/>
        </w:rPr>
      </w:pPr>
      <w:r w:rsidRPr="00BB0B6F">
        <w:rPr>
          <w:rFonts w:ascii="Arial" w:hAnsi="Arial" w:cs="Arial"/>
          <w:b/>
          <w:bCs/>
          <w:sz w:val="32"/>
          <w:szCs w:val="28"/>
        </w:rPr>
        <w:t>Sustainable Hospitality &amp; Tourism Management (BMIH5006)</w:t>
      </w:r>
    </w:p>
    <w:p w14:paraId="1C2E924C" w14:textId="77777777" w:rsidR="00F324A6" w:rsidRPr="00BB0B6F" w:rsidRDefault="00F324A6" w:rsidP="00BB0B6F">
      <w:pPr>
        <w:jc w:val="center"/>
        <w:rPr>
          <w:rFonts w:ascii="Arial" w:hAnsi="Arial" w:cs="Arial"/>
          <w:b/>
          <w:bCs/>
          <w:sz w:val="32"/>
          <w:szCs w:val="28"/>
        </w:rPr>
      </w:pPr>
    </w:p>
    <w:p w14:paraId="365F7EB5" w14:textId="38472259" w:rsidR="00F324A6" w:rsidRPr="00BB0B6F" w:rsidRDefault="00F324A6" w:rsidP="00BB0B6F">
      <w:pPr>
        <w:jc w:val="center"/>
        <w:rPr>
          <w:rFonts w:ascii="Arial" w:hAnsi="Arial" w:cs="Arial"/>
          <w:b/>
          <w:bCs/>
          <w:sz w:val="32"/>
          <w:szCs w:val="28"/>
        </w:rPr>
      </w:pPr>
      <w:r w:rsidRPr="00BB0B6F">
        <w:rPr>
          <w:rFonts w:ascii="Arial" w:hAnsi="Arial" w:cs="Arial"/>
          <w:b/>
          <w:bCs/>
          <w:sz w:val="32"/>
          <w:szCs w:val="28"/>
        </w:rPr>
        <w:t>Essay</w:t>
      </w:r>
    </w:p>
    <w:p w14:paraId="03591F16" w14:textId="77777777" w:rsidR="00F324A6" w:rsidRPr="00BB0B6F" w:rsidRDefault="00F324A6" w:rsidP="00BB0B6F">
      <w:pPr>
        <w:rPr>
          <w:rFonts w:ascii="Arial" w:hAnsi="Arial" w:cs="Arial"/>
          <w:szCs w:val="22"/>
        </w:rPr>
      </w:pPr>
    </w:p>
    <w:p w14:paraId="4F0B3E51" w14:textId="77777777" w:rsidR="00BB4910" w:rsidRPr="00BB0B6F" w:rsidRDefault="00BB4910" w:rsidP="00BB0B6F">
      <w:pPr>
        <w:jc w:val="center"/>
        <w:rPr>
          <w:rFonts w:ascii="Arial" w:hAnsi="Arial" w:cs="Arial"/>
          <w:bCs/>
          <w:color w:val="002060"/>
        </w:rPr>
      </w:pPr>
      <w:r w:rsidRPr="00BB0B6F">
        <w:rPr>
          <w:rFonts w:ascii="Arial" w:hAnsi="Arial" w:cs="Arial"/>
          <w:bCs/>
          <w:color w:val="002060"/>
        </w:rPr>
        <w:t>Name: Badrul Jamal</w:t>
      </w:r>
    </w:p>
    <w:p w14:paraId="7D628DAD" w14:textId="77777777" w:rsidR="00BB4910" w:rsidRPr="00BB0B6F" w:rsidRDefault="00BB4910" w:rsidP="00BB0B6F">
      <w:pPr>
        <w:jc w:val="center"/>
        <w:rPr>
          <w:rFonts w:ascii="Arial" w:hAnsi="Arial" w:cs="Arial"/>
          <w:bCs/>
          <w:color w:val="002060"/>
        </w:rPr>
      </w:pPr>
      <w:r w:rsidRPr="00BB0B6F">
        <w:rPr>
          <w:rFonts w:ascii="Arial" w:hAnsi="Arial" w:cs="Arial"/>
          <w:bCs/>
          <w:color w:val="002060"/>
        </w:rPr>
        <w:t>Student ID numbers: 2126642</w:t>
      </w:r>
    </w:p>
    <w:p w14:paraId="48E22766" w14:textId="11A22911" w:rsidR="00BB4910" w:rsidRPr="00BB0B6F" w:rsidRDefault="00BB4910" w:rsidP="00BB0B6F">
      <w:pPr>
        <w:jc w:val="center"/>
        <w:rPr>
          <w:rFonts w:ascii="Arial" w:hAnsi="Arial" w:cs="Arial"/>
          <w:bCs/>
        </w:rPr>
      </w:pPr>
      <w:r w:rsidRPr="00BB0B6F">
        <w:rPr>
          <w:rFonts w:ascii="Arial" w:hAnsi="Arial" w:cs="Arial"/>
          <w:bCs/>
        </w:rPr>
        <w:t>Word count: 21</w:t>
      </w:r>
      <w:r w:rsidR="00BB0B6F">
        <w:rPr>
          <w:rFonts w:ascii="Arial" w:hAnsi="Arial" w:cs="Arial"/>
          <w:bCs/>
        </w:rPr>
        <w:t>69</w:t>
      </w:r>
    </w:p>
    <w:p w14:paraId="1460C34C" w14:textId="77777777" w:rsidR="00F324A6" w:rsidRPr="00BB0B6F" w:rsidRDefault="00F324A6" w:rsidP="00BB0B6F">
      <w:pPr>
        <w:rPr>
          <w:rFonts w:ascii="Arial" w:hAnsi="Arial" w:cs="Arial"/>
          <w:szCs w:val="22"/>
        </w:rPr>
      </w:pPr>
    </w:p>
    <w:p w14:paraId="05514DA9" w14:textId="77777777" w:rsidR="00F324A6" w:rsidRPr="00BB0B6F" w:rsidRDefault="00F324A6" w:rsidP="00BB0B6F">
      <w:pPr>
        <w:rPr>
          <w:rFonts w:ascii="Arial" w:hAnsi="Arial" w:cs="Arial"/>
          <w:szCs w:val="22"/>
        </w:rPr>
      </w:pPr>
    </w:p>
    <w:p w14:paraId="4573F4E2" w14:textId="77777777" w:rsidR="00F324A6" w:rsidRPr="00BB0B6F" w:rsidRDefault="00F324A6" w:rsidP="00BB0B6F">
      <w:pPr>
        <w:rPr>
          <w:rFonts w:ascii="Arial" w:hAnsi="Arial" w:cs="Arial"/>
          <w:szCs w:val="22"/>
        </w:rPr>
      </w:pPr>
    </w:p>
    <w:p w14:paraId="6E34D84F" w14:textId="77777777" w:rsidR="00F324A6" w:rsidRPr="00BB0B6F" w:rsidRDefault="00F324A6" w:rsidP="00BB0B6F">
      <w:pPr>
        <w:rPr>
          <w:rFonts w:ascii="Arial" w:hAnsi="Arial" w:cs="Arial"/>
          <w:szCs w:val="22"/>
        </w:rPr>
      </w:pPr>
    </w:p>
    <w:p w14:paraId="232793C2" w14:textId="77777777" w:rsidR="00F324A6" w:rsidRPr="00BB0B6F" w:rsidRDefault="00F324A6" w:rsidP="00BB0B6F">
      <w:pPr>
        <w:rPr>
          <w:rFonts w:ascii="Arial" w:hAnsi="Arial" w:cs="Arial"/>
          <w:szCs w:val="22"/>
        </w:rPr>
      </w:pPr>
    </w:p>
    <w:p w14:paraId="6B35D5E4" w14:textId="77777777" w:rsidR="00F324A6" w:rsidRPr="00BB0B6F" w:rsidRDefault="00F324A6" w:rsidP="00BB0B6F">
      <w:pPr>
        <w:rPr>
          <w:rFonts w:ascii="Arial" w:hAnsi="Arial" w:cs="Arial"/>
          <w:szCs w:val="22"/>
        </w:rPr>
      </w:pPr>
    </w:p>
    <w:p w14:paraId="0C6604CB" w14:textId="77777777" w:rsidR="00F324A6" w:rsidRPr="00BB0B6F" w:rsidRDefault="00F324A6" w:rsidP="00BB0B6F">
      <w:pPr>
        <w:rPr>
          <w:rFonts w:ascii="Arial" w:hAnsi="Arial" w:cs="Arial"/>
          <w:szCs w:val="22"/>
        </w:rPr>
      </w:pPr>
    </w:p>
    <w:p w14:paraId="7A36F9D2" w14:textId="77777777" w:rsidR="00F324A6" w:rsidRPr="00BB0B6F" w:rsidRDefault="00F324A6" w:rsidP="00BB0B6F">
      <w:pPr>
        <w:rPr>
          <w:rFonts w:ascii="Arial" w:hAnsi="Arial" w:cs="Arial"/>
          <w:szCs w:val="22"/>
        </w:rPr>
      </w:pPr>
    </w:p>
    <w:p w14:paraId="33FEEBCE" w14:textId="77777777" w:rsidR="00F324A6" w:rsidRPr="00BB0B6F" w:rsidRDefault="00F324A6" w:rsidP="00BB0B6F">
      <w:pPr>
        <w:rPr>
          <w:rFonts w:ascii="Arial" w:hAnsi="Arial" w:cs="Arial"/>
          <w:szCs w:val="22"/>
        </w:rPr>
      </w:pPr>
    </w:p>
    <w:p w14:paraId="4F4ACB48" w14:textId="77777777" w:rsidR="00F324A6" w:rsidRPr="00BB0B6F" w:rsidRDefault="00F324A6" w:rsidP="00BB0B6F">
      <w:pPr>
        <w:rPr>
          <w:rFonts w:ascii="Arial" w:hAnsi="Arial" w:cs="Arial"/>
          <w:szCs w:val="22"/>
        </w:rPr>
      </w:pPr>
    </w:p>
    <w:p w14:paraId="5299B1BB" w14:textId="77777777" w:rsidR="00F324A6" w:rsidRPr="00BB0B6F" w:rsidRDefault="00F324A6" w:rsidP="00BB0B6F">
      <w:pPr>
        <w:rPr>
          <w:rFonts w:ascii="Arial" w:hAnsi="Arial" w:cs="Arial"/>
          <w:szCs w:val="22"/>
        </w:rPr>
      </w:pPr>
    </w:p>
    <w:p w14:paraId="06D4A80C" w14:textId="77777777" w:rsidR="00F324A6" w:rsidRPr="00BB0B6F" w:rsidRDefault="00F324A6" w:rsidP="00BB0B6F">
      <w:pPr>
        <w:rPr>
          <w:rFonts w:ascii="Arial" w:hAnsi="Arial" w:cs="Arial"/>
          <w:szCs w:val="22"/>
        </w:rPr>
      </w:pPr>
    </w:p>
    <w:p w14:paraId="7294E1B7" w14:textId="77777777" w:rsidR="00F324A6" w:rsidRPr="00BB0B6F" w:rsidRDefault="00F324A6" w:rsidP="00BB0B6F">
      <w:pPr>
        <w:rPr>
          <w:rFonts w:ascii="Arial" w:hAnsi="Arial" w:cs="Arial"/>
          <w:szCs w:val="22"/>
        </w:rPr>
      </w:pPr>
    </w:p>
    <w:p w14:paraId="760F16EF" w14:textId="77777777" w:rsidR="00F324A6" w:rsidRPr="00BB0B6F" w:rsidRDefault="00F324A6" w:rsidP="00BB0B6F">
      <w:pPr>
        <w:rPr>
          <w:rFonts w:ascii="Arial" w:hAnsi="Arial" w:cs="Arial"/>
          <w:szCs w:val="22"/>
        </w:rPr>
      </w:pPr>
    </w:p>
    <w:p w14:paraId="6D3821CE" w14:textId="77777777" w:rsidR="00F324A6" w:rsidRPr="00BB0B6F" w:rsidRDefault="00F324A6" w:rsidP="00BB0B6F">
      <w:pPr>
        <w:rPr>
          <w:rFonts w:ascii="Arial" w:hAnsi="Arial" w:cs="Arial"/>
          <w:szCs w:val="22"/>
        </w:rPr>
      </w:pPr>
    </w:p>
    <w:p w14:paraId="6CC84BE5" w14:textId="77777777" w:rsidR="00F324A6" w:rsidRPr="00BB0B6F" w:rsidRDefault="00F324A6" w:rsidP="00BB0B6F">
      <w:pPr>
        <w:rPr>
          <w:rFonts w:ascii="Arial" w:hAnsi="Arial" w:cs="Arial"/>
          <w:szCs w:val="22"/>
        </w:rPr>
      </w:pPr>
    </w:p>
    <w:p w14:paraId="31B2DECF" w14:textId="77777777" w:rsidR="00F324A6" w:rsidRPr="00BB0B6F" w:rsidRDefault="00F324A6" w:rsidP="00BB0B6F">
      <w:pPr>
        <w:rPr>
          <w:rFonts w:ascii="Arial" w:hAnsi="Arial" w:cs="Arial"/>
          <w:szCs w:val="22"/>
        </w:rPr>
      </w:pPr>
    </w:p>
    <w:p w14:paraId="3C8777FF" w14:textId="781CA04F" w:rsidR="00670837" w:rsidRPr="00BB0B6F" w:rsidRDefault="006647CF" w:rsidP="00BB0B6F">
      <w:pPr>
        <w:pStyle w:val="Heading1"/>
        <w:rPr>
          <w:rFonts w:ascii="Arial" w:hAnsi="Arial" w:cs="Arial"/>
        </w:rPr>
      </w:pPr>
      <w:bookmarkStart w:id="0" w:name="_Toc156432478"/>
      <w:r w:rsidRPr="00BB0B6F">
        <w:rPr>
          <w:rFonts w:ascii="Arial" w:hAnsi="Arial" w:cs="Arial"/>
        </w:rPr>
        <w:lastRenderedPageBreak/>
        <w:t>Introduction</w:t>
      </w:r>
      <w:bookmarkEnd w:id="0"/>
    </w:p>
    <w:p w14:paraId="55792B19" w14:textId="44F7982A" w:rsidR="00670837" w:rsidRPr="00BB0B6F" w:rsidRDefault="00C9212C" w:rsidP="00BB0B6F">
      <w:pPr>
        <w:rPr>
          <w:rFonts w:ascii="Arial" w:hAnsi="Arial" w:cs="Arial"/>
        </w:rPr>
      </w:pPr>
      <w:r w:rsidRPr="00BB0B6F">
        <w:rPr>
          <w:rFonts w:ascii="Arial" w:hAnsi="Arial" w:cs="Arial"/>
        </w:rPr>
        <w:t xml:space="preserve">The circular economy allows numerous valuable social benefits, economic stability, and also environmental sustainability to be provided by the companies (Barreiro-Gen </w:t>
      </w:r>
      <w:r w:rsidR="00BB4910" w:rsidRPr="00BB0B6F">
        <w:rPr>
          <w:rFonts w:ascii="Arial" w:hAnsi="Arial" w:cs="Arial"/>
        </w:rPr>
        <w:t>and</w:t>
      </w:r>
      <w:r w:rsidRPr="00BB0B6F">
        <w:rPr>
          <w:rFonts w:ascii="Arial" w:hAnsi="Arial" w:cs="Arial"/>
        </w:rPr>
        <w:t xml:space="preserve"> Lozano, 2020). </w:t>
      </w:r>
      <w:r w:rsidR="00794F89" w:rsidRPr="00BB0B6F">
        <w:rPr>
          <w:rFonts w:ascii="Arial" w:hAnsi="Arial" w:cs="Arial"/>
        </w:rPr>
        <w:t>This essay analyses the way in which Premier Inn, a widely recognized division of Whitbread PLC, uses the concepts of the circular economy in its Corporate Social Responsibility (CSR) programme. It focuses on the aspirational goals of the Premier Inn, including reaching the net-zero emissions and eradicating single-use plastics, and details the company’s commitment to sustainability through waste management, sustainable sourcing, and energy efficiency. The essay also contrasts the Premier Inns circular economy initiatives with those of its own competitors in the industry. It also provides innovative ideas that might help Premier Inn to become even more sustainable</w:t>
      </w:r>
      <w:r w:rsidRPr="00BB0B6F">
        <w:rPr>
          <w:rFonts w:ascii="Arial" w:hAnsi="Arial" w:cs="Arial"/>
        </w:rPr>
        <w:t>.</w:t>
      </w:r>
    </w:p>
    <w:p w14:paraId="3393362A" w14:textId="672173FE" w:rsidR="00E3684A" w:rsidRPr="00BB0B6F" w:rsidRDefault="003F3DCC" w:rsidP="00BB0B6F">
      <w:pPr>
        <w:pStyle w:val="Heading1"/>
        <w:rPr>
          <w:rFonts w:ascii="Arial" w:hAnsi="Arial" w:cs="Arial"/>
        </w:rPr>
      </w:pPr>
      <w:r w:rsidRPr="00BB0B6F">
        <w:rPr>
          <w:rFonts w:ascii="Arial" w:hAnsi="Arial" w:cs="Arial"/>
        </w:rPr>
        <w:t xml:space="preserve">Circular Economy &amp; </w:t>
      </w:r>
      <w:r w:rsidR="00E3684A" w:rsidRPr="00BB0B6F">
        <w:rPr>
          <w:rFonts w:ascii="Arial" w:hAnsi="Arial" w:cs="Arial"/>
        </w:rPr>
        <w:t>Premier Inn's CSR Policy Overview</w:t>
      </w:r>
    </w:p>
    <w:p w14:paraId="7C4C7E56" w14:textId="01A0AAF1" w:rsidR="00C9212C" w:rsidRPr="00BB0B6F" w:rsidRDefault="00794F89" w:rsidP="00BB0B6F">
      <w:pPr>
        <w:rPr>
          <w:rFonts w:ascii="Arial" w:hAnsi="Arial" w:cs="Arial"/>
        </w:rPr>
      </w:pPr>
      <w:r w:rsidRPr="00BB0B6F">
        <w:rPr>
          <w:rFonts w:ascii="Arial" w:hAnsi="Arial" w:cs="Arial"/>
        </w:rPr>
        <w:t>The circular economy is an economic concept that seeks to eliminate the waste and facilitate the continuous resource reuse</w:t>
      </w:r>
      <w:r w:rsidR="00C9212C" w:rsidRPr="00BB0B6F">
        <w:rPr>
          <w:rFonts w:ascii="Arial" w:hAnsi="Arial" w:cs="Arial"/>
        </w:rPr>
        <w:t>. It is founded upon the principles of minimizing the wastes, maximising the value of resources and products, and restoring the natural systems. The regenerative approach stands in opposition to the dominating linear economic paradigm of take, make, use, and then dispose (Corvellec et al., 2022). It is extremely important to implement the reuse, sharing, repair, refurbishing, remanufacturing, and recycling across the product and material flows to move toward a circular economy. Regarding the CSR projects, the circular economy is a very significant source of sustainable opportunities. Through radical reduction in the carbon emissions and waste, it enables the businesses to produce additional output from each unit of the resource consumption. The regenerative circular model is shown to facilitate the resilience, innovation, job creation, and also sustainable economic growth that preserves the resources and restores the ecosystems (De Pascale et al., 2021).</w:t>
      </w:r>
    </w:p>
    <w:p w14:paraId="5E634B20" w14:textId="77777777" w:rsidR="00C9212C" w:rsidRPr="00BB0B6F" w:rsidRDefault="00C9212C" w:rsidP="00BB0B6F">
      <w:pPr>
        <w:rPr>
          <w:rFonts w:ascii="Arial" w:hAnsi="Arial" w:cs="Arial"/>
        </w:rPr>
      </w:pPr>
    </w:p>
    <w:p w14:paraId="7B212FCF" w14:textId="4DE4B7EC" w:rsidR="00116391" w:rsidRPr="00BB0B6F" w:rsidRDefault="003F3DCC" w:rsidP="00BB0B6F">
      <w:pPr>
        <w:rPr>
          <w:rFonts w:ascii="Arial" w:hAnsi="Arial" w:cs="Arial"/>
        </w:rPr>
      </w:pPr>
      <w:r w:rsidRPr="00BB0B6F">
        <w:rPr>
          <w:rFonts w:ascii="Arial" w:hAnsi="Arial" w:cs="Arial"/>
        </w:rPr>
        <w:t xml:space="preserve">Combining circular reasoning with a stakeholder-based corporate social responsibility approach allows the businesses to incorporate social justice and the environmental stewardship into every aspect of the operations </w:t>
      </w:r>
      <w:r w:rsidR="007C7C90" w:rsidRPr="00BB0B6F">
        <w:rPr>
          <w:rFonts w:ascii="Arial" w:hAnsi="Arial" w:cs="Arial"/>
        </w:rPr>
        <w:t>to</w:t>
      </w:r>
      <w:r w:rsidRPr="00BB0B6F">
        <w:rPr>
          <w:rFonts w:ascii="Arial" w:hAnsi="Arial" w:cs="Arial"/>
        </w:rPr>
        <w:t xml:space="preserve"> create wide, ethical value</w:t>
      </w:r>
      <w:r w:rsidR="00BB4910" w:rsidRPr="00BB0B6F">
        <w:rPr>
          <w:rFonts w:ascii="Arial" w:hAnsi="Arial" w:cs="Arial"/>
        </w:rPr>
        <w:t xml:space="preserve"> (</w:t>
      </w:r>
      <w:r w:rsidR="00BB4910" w:rsidRPr="00BB0B6F">
        <w:rPr>
          <w:rFonts w:ascii="Arial" w:hAnsi="Arial" w:cs="Arial"/>
          <w:color w:val="222222"/>
          <w:shd w:val="clear" w:color="auto" w:fill="FFFFFF"/>
        </w:rPr>
        <w:t>Milošević, Arsić and Stojanović, 2023</w:t>
      </w:r>
      <w:r w:rsidR="00BB4910" w:rsidRPr="00BB0B6F">
        <w:rPr>
          <w:rFonts w:ascii="Arial" w:hAnsi="Arial" w:cs="Arial"/>
          <w:color w:val="222222"/>
          <w:shd w:val="clear" w:color="auto" w:fill="FFFFFF"/>
        </w:rPr>
        <w:t>)</w:t>
      </w:r>
      <w:r w:rsidRPr="00BB0B6F">
        <w:rPr>
          <w:rFonts w:ascii="Arial" w:hAnsi="Arial" w:cs="Arial"/>
        </w:rPr>
        <w:t xml:space="preserve">. Premier Inn’s CSR strategy focuses primarily on the sustainability and social responsibility, reflecting a high level of commitment to </w:t>
      </w:r>
      <w:r w:rsidRPr="00BB0B6F">
        <w:rPr>
          <w:rFonts w:ascii="Arial" w:hAnsi="Arial" w:cs="Arial"/>
        </w:rPr>
        <w:lastRenderedPageBreak/>
        <w:t>responsible business conduct, community engagement, and environmental stewardship. Environmental sustainability, social responsibility, and economic responsibility for the three key pillars of their CSR initiatives. As part of the environmental sustainability programmes adopted by the company, it is pursuing the reduction of its carbon footprint through the energy-saving initiatives, expanding renewable energy, and energy-efficient operations in all its hotels. This commitment includes a bold goal of achieving net-zero emissions, which really reflects a proactive approach to the climate change</w:t>
      </w:r>
      <w:r w:rsidR="00BB4910" w:rsidRPr="00BB0B6F">
        <w:rPr>
          <w:rFonts w:ascii="Arial" w:hAnsi="Arial" w:cs="Arial"/>
        </w:rPr>
        <w:t xml:space="preserve"> (</w:t>
      </w:r>
      <w:r w:rsidR="00BB4910" w:rsidRPr="00BB0B6F">
        <w:rPr>
          <w:rFonts w:ascii="Arial" w:hAnsi="Arial" w:cs="Arial"/>
          <w:color w:val="222222"/>
          <w:shd w:val="clear" w:color="auto" w:fill="FFFFFF"/>
        </w:rPr>
        <w:t>Levin</w:t>
      </w:r>
      <w:r w:rsidR="00BB4910" w:rsidRPr="00BB0B6F">
        <w:rPr>
          <w:rFonts w:ascii="Arial" w:hAnsi="Arial" w:cs="Arial"/>
          <w:color w:val="222222"/>
          <w:shd w:val="clear" w:color="auto" w:fill="FFFFFF"/>
        </w:rPr>
        <w:t xml:space="preserve"> et al., </w:t>
      </w:r>
      <w:r w:rsidR="00BB4910" w:rsidRPr="00BB0B6F">
        <w:rPr>
          <w:rFonts w:ascii="Arial" w:hAnsi="Arial" w:cs="Arial"/>
          <w:color w:val="222222"/>
          <w:shd w:val="clear" w:color="auto" w:fill="FFFFFF"/>
        </w:rPr>
        <w:t>2020</w:t>
      </w:r>
      <w:r w:rsidR="00BB4910" w:rsidRPr="00BB0B6F">
        <w:rPr>
          <w:rFonts w:ascii="Arial" w:hAnsi="Arial" w:cs="Arial"/>
          <w:color w:val="222222"/>
          <w:shd w:val="clear" w:color="auto" w:fill="FFFFFF"/>
        </w:rPr>
        <w:t xml:space="preserve">). </w:t>
      </w:r>
      <w:r w:rsidRPr="00BB0B6F">
        <w:rPr>
          <w:rFonts w:ascii="Arial" w:hAnsi="Arial" w:cs="Arial"/>
        </w:rPr>
        <w:t xml:space="preserve">While Premier Inn is very socially responsible through its commitment to worker well-being and promotion of an equitable, diverse, </w:t>
      </w:r>
      <w:r w:rsidR="007C7C90" w:rsidRPr="00BB0B6F">
        <w:rPr>
          <w:rFonts w:ascii="Arial" w:hAnsi="Arial" w:cs="Arial"/>
        </w:rPr>
        <w:t>and</w:t>
      </w:r>
      <w:r w:rsidRPr="00BB0B6F">
        <w:rPr>
          <w:rFonts w:ascii="Arial" w:hAnsi="Arial" w:cs="Arial"/>
        </w:rPr>
        <w:t xml:space="preserve"> inclusive workplace.</w:t>
      </w:r>
    </w:p>
    <w:p w14:paraId="3AB09026" w14:textId="77777777" w:rsidR="003F3DCC" w:rsidRPr="00BB0B6F" w:rsidRDefault="003F3DCC" w:rsidP="00BB0B6F">
      <w:pPr>
        <w:rPr>
          <w:rFonts w:ascii="Arial" w:hAnsi="Arial" w:cs="Arial"/>
        </w:rPr>
      </w:pPr>
    </w:p>
    <w:p w14:paraId="1592630C" w14:textId="2573C2CD" w:rsidR="003F3DCC" w:rsidRPr="00BB0B6F" w:rsidRDefault="003F3DCC" w:rsidP="00BB0B6F">
      <w:pPr>
        <w:rPr>
          <w:rFonts w:ascii="Arial" w:hAnsi="Arial" w:cs="Arial"/>
        </w:rPr>
      </w:pPr>
      <w:r w:rsidRPr="00BB0B6F">
        <w:rPr>
          <w:rFonts w:ascii="Arial" w:hAnsi="Arial" w:cs="Arial"/>
        </w:rPr>
        <w:t>The CSR strategy implemented by Premier Inn includes the circular economy, and it is emphasized that the sustainable sourcing, waste reduction, and resource efficiency are very important factors</w:t>
      </w:r>
      <w:r w:rsidR="00BB4910" w:rsidRPr="00BB0B6F">
        <w:rPr>
          <w:rFonts w:ascii="Arial" w:hAnsi="Arial" w:cs="Arial"/>
        </w:rPr>
        <w:t xml:space="preserve"> (Evans, 2019)</w:t>
      </w:r>
      <w:r w:rsidRPr="00BB0B6F">
        <w:rPr>
          <w:rFonts w:ascii="Arial" w:hAnsi="Arial" w:cs="Arial"/>
        </w:rPr>
        <w:t xml:space="preserve">. By promoting the elimination of single-use plastics and ensuring the adoption of very effective waste management practices, Premier Inn aims to reduce the waste production within its operations by implementing the reduce, reuse, and recycle principles. Another important element of their strategy is the sustainable sourcing, in which the company focuses on acquiring materials that are ethically and environmentally sound from the food offered in its restaurants to the building materials used in its hotels. Premier Inn relies on lifecycle assessments to evaluate and to reduce the impact on the environment of its products </w:t>
      </w:r>
      <w:r w:rsidR="00670837" w:rsidRPr="00BB0B6F">
        <w:rPr>
          <w:rFonts w:ascii="Arial" w:hAnsi="Arial" w:cs="Arial"/>
        </w:rPr>
        <w:t>and</w:t>
      </w:r>
      <w:r w:rsidRPr="00BB0B6F">
        <w:rPr>
          <w:rFonts w:ascii="Arial" w:hAnsi="Arial" w:cs="Arial"/>
        </w:rPr>
        <w:t xml:space="preserve"> services. </w:t>
      </w:r>
      <w:r w:rsidR="00C9212C" w:rsidRPr="00BB0B6F">
        <w:rPr>
          <w:rFonts w:ascii="Arial" w:hAnsi="Arial" w:cs="Arial"/>
        </w:rPr>
        <w:t>This holistic approach, which not only enables the Premier Inn to reduce its ecological footprint but also sets a great standard for ethical business conduct in the hotel business, shows the Premier Inn’s commitment to a sustainable and fair future</w:t>
      </w:r>
      <w:r w:rsidRPr="00BB0B6F">
        <w:rPr>
          <w:rFonts w:ascii="Arial" w:hAnsi="Arial" w:cs="Arial"/>
        </w:rPr>
        <w:t>.</w:t>
      </w:r>
    </w:p>
    <w:p w14:paraId="57542562" w14:textId="1A453AFA" w:rsidR="00E3684A" w:rsidRPr="00BB0B6F" w:rsidRDefault="00E3684A" w:rsidP="00BB0B6F">
      <w:pPr>
        <w:pStyle w:val="Heading1"/>
        <w:rPr>
          <w:rFonts w:ascii="Arial" w:hAnsi="Arial" w:cs="Arial"/>
        </w:rPr>
      </w:pPr>
      <w:r w:rsidRPr="00BB0B6F">
        <w:rPr>
          <w:rFonts w:ascii="Arial" w:hAnsi="Arial" w:cs="Arial"/>
        </w:rPr>
        <w:t>Implementation of Circular Economy Practices</w:t>
      </w:r>
    </w:p>
    <w:p w14:paraId="589C527F" w14:textId="7068CD6D" w:rsidR="007C7C90" w:rsidRPr="00BB0B6F" w:rsidRDefault="00C9212C" w:rsidP="00BB0B6F">
      <w:pPr>
        <w:rPr>
          <w:rFonts w:ascii="Arial" w:hAnsi="Arial" w:cs="Arial"/>
        </w:rPr>
      </w:pPr>
      <w:r w:rsidRPr="00BB0B6F">
        <w:rPr>
          <w:rFonts w:ascii="Arial" w:hAnsi="Arial" w:cs="Arial"/>
        </w:rPr>
        <w:t>The CSR policy of Premier Inn adopts the circular economy by some initiatives focused on the sustainable sourcing, waste reduction, resource efficiency, and lifecycle approach to its products and services (Barreiro</w:t>
      </w:r>
      <w:r w:rsidRPr="00BB0B6F">
        <w:rPr>
          <w:rFonts w:ascii="Cambria Math" w:hAnsi="Cambria Math" w:cs="Cambria Math"/>
        </w:rPr>
        <w:t>‐</w:t>
      </w:r>
      <w:r w:rsidRPr="00BB0B6F">
        <w:rPr>
          <w:rFonts w:ascii="Arial" w:hAnsi="Arial" w:cs="Arial"/>
        </w:rPr>
        <w:t xml:space="preserve">Gen and Lozano, 2020). The Premier Inn is one of the most popular subsidiaries of the very famous Whitbread PLC. All these activities are part of their sustainability plan ‘Force for Good’ based on the three pillars of opportunity, community, and responsibility, and the CSR is treated in a holistic manner addressing the social and economic factors beyond the environmental ones (Grafström and Aasma, 2021). Premier Inn has also set high goals for waste </w:t>
      </w:r>
      <w:r w:rsidRPr="00BB0B6F">
        <w:rPr>
          <w:rFonts w:ascii="Arial" w:hAnsi="Arial" w:cs="Arial"/>
        </w:rPr>
        <w:lastRenderedPageBreak/>
        <w:t xml:space="preserve">reduction and management, including eliminating redundant single-use plastics by 2025 and a 50% reduction in food waste by 2030. </w:t>
      </w:r>
      <w:r w:rsidR="007C7C90" w:rsidRPr="00BB0B6F">
        <w:rPr>
          <w:rFonts w:ascii="Arial" w:hAnsi="Arial" w:cs="Arial"/>
        </w:rPr>
        <w:t xml:space="preserve"> As for reducing waste </w:t>
      </w:r>
      <w:r w:rsidRPr="00BB0B6F">
        <w:rPr>
          <w:rFonts w:ascii="Arial" w:hAnsi="Arial" w:cs="Arial"/>
        </w:rPr>
        <w:t>and</w:t>
      </w:r>
      <w:r w:rsidR="007C7C90" w:rsidRPr="00BB0B6F">
        <w:rPr>
          <w:rFonts w:ascii="Arial" w:hAnsi="Arial" w:cs="Arial"/>
        </w:rPr>
        <w:t xml:space="preserve"> promoting recycling and reuse in their operations, these goals demonstrate a proactive stance. In the hotel industry, where such items are often applied, the elimination of single-use plastics is particularly very important. Premier Inn addresses a very significant issue that impacts the social justice, also food security, </w:t>
      </w:r>
      <w:r w:rsidRPr="00BB0B6F">
        <w:rPr>
          <w:rFonts w:ascii="Arial" w:hAnsi="Arial" w:cs="Arial"/>
        </w:rPr>
        <w:t>and</w:t>
      </w:r>
      <w:r w:rsidR="007C7C90" w:rsidRPr="00BB0B6F">
        <w:rPr>
          <w:rFonts w:ascii="Arial" w:hAnsi="Arial" w:cs="Arial"/>
        </w:rPr>
        <w:t xml:space="preserve"> environmental sustainability through its focus on the food waste</w:t>
      </w:r>
      <w:r w:rsidR="00457AA6" w:rsidRPr="00BB0B6F">
        <w:rPr>
          <w:rFonts w:ascii="Arial" w:hAnsi="Arial" w:cs="Arial"/>
        </w:rPr>
        <w:t xml:space="preserve"> (Bucknall, 2020).</w:t>
      </w:r>
    </w:p>
    <w:p w14:paraId="0015ADDA" w14:textId="77777777" w:rsidR="007C7C90" w:rsidRPr="00BB0B6F" w:rsidRDefault="007C7C90" w:rsidP="00BB0B6F">
      <w:pPr>
        <w:rPr>
          <w:rFonts w:ascii="Arial" w:hAnsi="Arial" w:cs="Arial"/>
        </w:rPr>
      </w:pPr>
    </w:p>
    <w:p w14:paraId="71DA63E8" w14:textId="60F80F00" w:rsidR="00585ED9" w:rsidRPr="00BB0B6F" w:rsidRDefault="007C7C90" w:rsidP="00BB0B6F">
      <w:pPr>
        <w:rPr>
          <w:rFonts w:ascii="Arial" w:hAnsi="Arial" w:cs="Arial"/>
        </w:rPr>
      </w:pPr>
      <w:r w:rsidRPr="00BB0B6F">
        <w:rPr>
          <w:rFonts w:ascii="Arial" w:hAnsi="Arial" w:cs="Arial"/>
        </w:rPr>
        <w:t>Premier Inn’s approach is very focused on sustainability and also resource efficiency, where the company managed to really reduce its carbon emissions intensity by 52.5% in just 6 years</w:t>
      </w:r>
      <w:r w:rsidR="00BB4910" w:rsidRPr="00BB0B6F">
        <w:rPr>
          <w:rFonts w:ascii="Arial" w:hAnsi="Arial" w:cs="Arial"/>
        </w:rPr>
        <w:t xml:space="preserve"> (</w:t>
      </w:r>
      <w:r w:rsidR="00BB4910" w:rsidRPr="00BB0B6F">
        <w:rPr>
          <w:rFonts w:ascii="Arial" w:hAnsi="Arial" w:cs="Arial"/>
          <w:color w:val="222222"/>
          <w:shd w:val="clear" w:color="auto" w:fill="FFFFFF"/>
        </w:rPr>
        <w:t>Leal-Arcas,</w:t>
      </w:r>
      <w:r w:rsidR="00BB4910" w:rsidRPr="00BB0B6F">
        <w:rPr>
          <w:rFonts w:ascii="Arial" w:hAnsi="Arial" w:cs="Arial"/>
          <w:color w:val="222222"/>
          <w:shd w:val="clear" w:color="auto" w:fill="FFFFFF"/>
        </w:rPr>
        <w:t xml:space="preserve"> et al., 2019). </w:t>
      </w:r>
      <w:r w:rsidRPr="00BB0B6F">
        <w:rPr>
          <w:rFonts w:ascii="Arial" w:hAnsi="Arial" w:cs="Arial"/>
        </w:rPr>
        <w:t>To some extent, this has been achieved by using the renewable energy sources and energy-saving strategies. For instance, the Premier Inn opened its first all-electric hotel in Swindon powered by the renewable energy, making the news and moving the industry towards the sustainability. This programme aligns with their net zero commitment as it has certified targets by the Science-Based Targets project (SBTi), which proves a clear and science-driven approach to reducing the greenhouse gas emissions.</w:t>
      </w:r>
    </w:p>
    <w:p w14:paraId="116B44E2" w14:textId="77777777" w:rsidR="00585ED9" w:rsidRPr="00BB0B6F" w:rsidRDefault="00585ED9" w:rsidP="00BB0B6F">
      <w:pPr>
        <w:rPr>
          <w:rFonts w:ascii="Arial" w:hAnsi="Arial" w:cs="Arial"/>
        </w:rPr>
      </w:pPr>
    </w:p>
    <w:p w14:paraId="11C896B5" w14:textId="6A28AF22" w:rsidR="00585ED9" w:rsidRPr="00BB0B6F" w:rsidRDefault="00585ED9" w:rsidP="00BB0B6F">
      <w:pPr>
        <w:rPr>
          <w:rFonts w:ascii="Arial" w:hAnsi="Arial" w:cs="Arial"/>
        </w:rPr>
      </w:pPr>
      <w:r w:rsidRPr="00BB0B6F">
        <w:rPr>
          <w:rFonts w:ascii="Arial" w:hAnsi="Arial" w:cs="Arial"/>
        </w:rPr>
        <w:t>One of the other key aspects of Premier Inn’s approach to CSR is sustainable sourcing because the company assesses the sustainability risks posed by each of its suppliers. These include policies on ethical and sustainable sourcing of commodities such as sugar, pork, cotton, cocoa, soy, palm oil, and lumber. Besides reducing the environmental impact, ensuring ethical labour practices throughout the supply chain, and promoting biodiversity, these regulations help to promote the biodiversity. In addition, Premier Inn has further developed the sustainability as a part of the bedrock of their business model with its investment in Green Bonds and the allocation of close to £400 million to green projects to fund sustainable activities</w:t>
      </w:r>
      <w:r w:rsidR="00457AA6" w:rsidRPr="00BB0B6F">
        <w:rPr>
          <w:rFonts w:ascii="Arial" w:hAnsi="Arial" w:cs="Arial"/>
        </w:rPr>
        <w:t xml:space="preserve"> (Corvellec et al.,2022).</w:t>
      </w:r>
    </w:p>
    <w:p w14:paraId="574A5EA4" w14:textId="77777777" w:rsidR="00585ED9" w:rsidRPr="00BB0B6F" w:rsidRDefault="00585ED9" w:rsidP="00BB0B6F">
      <w:pPr>
        <w:rPr>
          <w:rFonts w:ascii="Arial" w:hAnsi="Arial" w:cs="Arial"/>
        </w:rPr>
      </w:pPr>
    </w:p>
    <w:p w14:paraId="556C3782" w14:textId="144FA30A" w:rsidR="00E3684A" w:rsidRPr="00BB0B6F" w:rsidRDefault="00585ED9" w:rsidP="00BB0B6F">
      <w:pPr>
        <w:rPr>
          <w:rFonts w:ascii="Arial" w:hAnsi="Arial" w:cs="Arial"/>
        </w:rPr>
      </w:pPr>
      <w:r w:rsidRPr="00BB0B6F">
        <w:rPr>
          <w:rFonts w:ascii="Arial" w:hAnsi="Arial" w:cs="Arial"/>
        </w:rPr>
        <w:t xml:space="preserve">Premier Inn has a lifespan approach to its products and services that focuses on their durability, repairability, and recyclability or refurbishing. Their aim to fulfil the stringent environmental standards during the construction and maintenance of their hotels reflects how they pursue these criteria </w:t>
      </w:r>
      <w:r w:rsidR="00670837" w:rsidRPr="00BB0B6F">
        <w:rPr>
          <w:rFonts w:ascii="Arial" w:hAnsi="Arial" w:cs="Arial"/>
        </w:rPr>
        <w:t>and</w:t>
      </w:r>
      <w:r w:rsidRPr="00BB0B6F">
        <w:rPr>
          <w:rFonts w:ascii="Arial" w:hAnsi="Arial" w:cs="Arial"/>
        </w:rPr>
        <w:t xml:space="preserve"> reduce the environmental impact of their activities</w:t>
      </w:r>
      <w:r w:rsidR="00457AA6" w:rsidRPr="00BB0B6F">
        <w:rPr>
          <w:rFonts w:ascii="Arial" w:hAnsi="Arial" w:cs="Arial"/>
        </w:rPr>
        <w:t xml:space="preserve"> (De Pascale et al., 2021).</w:t>
      </w:r>
      <w:r w:rsidRPr="00BB0B6F">
        <w:rPr>
          <w:rFonts w:ascii="Arial" w:hAnsi="Arial" w:cs="Arial"/>
        </w:rPr>
        <w:t xml:space="preserve"> The focus on building hotels to high environmental </w:t>
      </w:r>
      <w:r w:rsidRPr="00BB0B6F">
        <w:rPr>
          <w:rFonts w:ascii="Arial" w:hAnsi="Arial" w:cs="Arial"/>
        </w:rPr>
        <w:lastRenderedPageBreak/>
        <w:t>standards not only reduces the carbon footprint of the operations but also ensures that the physical structure of the hotels supports the company’s long-term sustainability goals.</w:t>
      </w:r>
    </w:p>
    <w:p w14:paraId="41C7D04E" w14:textId="66A0EF02" w:rsidR="00E3684A" w:rsidRPr="00BB0B6F" w:rsidRDefault="00E3684A" w:rsidP="00BB0B6F">
      <w:pPr>
        <w:pStyle w:val="Heading1"/>
        <w:rPr>
          <w:rFonts w:ascii="Arial" w:hAnsi="Arial" w:cs="Arial"/>
        </w:rPr>
      </w:pPr>
      <w:r w:rsidRPr="00BB0B6F">
        <w:rPr>
          <w:rFonts w:ascii="Arial" w:hAnsi="Arial" w:cs="Arial"/>
        </w:rPr>
        <w:t>Challenges and Opportunities</w:t>
      </w:r>
    </w:p>
    <w:p w14:paraId="781AAEE5" w14:textId="25215C06" w:rsidR="00585ED9" w:rsidRPr="00BB0B6F" w:rsidRDefault="00585ED9" w:rsidP="00BB0B6F">
      <w:pPr>
        <w:rPr>
          <w:rFonts w:ascii="Arial" w:hAnsi="Arial" w:cs="Arial"/>
        </w:rPr>
      </w:pPr>
      <w:r w:rsidRPr="00BB0B6F">
        <w:rPr>
          <w:rFonts w:ascii="Arial" w:hAnsi="Arial" w:cs="Arial"/>
        </w:rPr>
        <w:t>Premier Inn, which is a subsidiary of Whitbread PLC, has promised to integrate the principles of the circular economy into its CSR policies. This commitment manifests itself in the form of waste-saving programmes, operational sustainability improvement, and the adoption of responsible sourcing standards. Waste reduction, energy efficiency, and also sustainable sourcing are among the top priorities of Premier Inn’s environment policy which is an important element of Whitbread’s wider corporate social responsibility framework. Such policies include many policies for commodities such as soy, cotton, cocoa, and also palm oil that are acquired ethically</w:t>
      </w:r>
      <w:r w:rsidR="00457AA6" w:rsidRPr="00BB0B6F">
        <w:rPr>
          <w:rFonts w:ascii="Arial" w:hAnsi="Arial" w:cs="Arial"/>
        </w:rPr>
        <w:t xml:space="preserve"> (Morseletto, 2020).</w:t>
      </w:r>
      <w:r w:rsidRPr="00BB0B6F">
        <w:rPr>
          <w:rFonts w:ascii="Arial" w:hAnsi="Arial" w:cs="Arial"/>
        </w:rPr>
        <w:t xml:space="preserve"> These projects reflect a move towards a circular economy model, which emphasizes the reuse and recycling of the resources to minimize the wastes and environmental impacts.</w:t>
      </w:r>
    </w:p>
    <w:p w14:paraId="32B4897E" w14:textId="77777777" w:rsidR="00585ED9" w:rsidRPr="00BB0B6F" w:rsidRDefault="00585ED9" w:rsidP="00BB0B6F">
      <w:pPr>
        <w:rPr>
          <w:rFonts w:ascii="Arial" w:hAnsi="Arial" w:cs="Arial"/>
        </w:rPr>
      </w:pPr>
    </w:p>
    <w:p w14:paraId="3D320D97" w14:textId="43D55E35" w:rsidR="00585ED9" w:rsidRPr="00BB0B6F" w:rsidRDefault="00585ED9" w:rsidP="00BB0B6F">
      <w:pPr>
        <w:rPr>
          <w:rFonts w:ascii="Arial" w:hAnsi="Arial" w:cs="Arial"/>
        </w:rPr>
      </w:pPr>
      <w:r w:rsidRPr="00BB0B6F">
        <w:rPr>
          <w:rFonts w:ascii="Arial" w:hAnsi="Arial" w:cs="Arial"/>
        </w:rPr>
        <w:t>Premier Inn has several challenges that it faces as it transitions to a fully integrated circular economy</w:t>
      </w:r>
      <w:r w:rsidR="00BB4910" w:rsidRPr="00BB0B6F">
        <w:rPr>
          <w:rFonts w:ascii="Arial" w:hAnsi="Arial" w:cs="Arial"/>
        </w:rPr>
        <w:t xml:space="preserve"> (</w:t>
      </w:r>
      <w:r w:rsidR="00BB4910" w:rsidRPr="00BB0B6F">
        <w:rPr>
          <w:rFonts w:ascii="Arial" w:hAnsi="Arial" w:cs="Arial"/>
          <w:color w:val="222222"/>
          <w:shd w:val="clear" w:color="auto" w:fill="FFFFFF"/>
        </w:rPr>
        <w:t>Hassanien and Dale, 2019</w:t>
      </w:r>
      <w:r w:rsidR="00BB4910" w:rsidRPr="00BB0B6F">
        <w:rPr>
          <w:rFonts w:ascii="Arial" w:hAnsi="Arial" w:cs="Arial"/>
          <w:color w:val="222222"/>
          <w:shd w:val="clear" w:color="auto" w:fill="FFFFFF"/>
        </w:rPr>
        <w:t>).</w:t>
      </w:r>
      <w:r w:rsidRPr="00BB0B6F">
        <w:rPr>
          <w:rFonts w:ascii="Arial" w:hAnsi="Arial" w:cs="Arial"/>
        </w:rPr>
        <w:t xml:space="preserve"> In terms of economy, the upfront cost of the sustainable equipment and processes may be high, which could affect the short-term performance figures. Regulatory challenges may come from the fact that there are many different environmental requirements at different locations, and this may complicate the operations. Logistically, it might be very challenging and also cumbersome to work with the suppliers and partners in order to convert the supply chains into much more sustainable ones. The adoption of circular practices, which usually involve changes to the operational processes and customer behaviour, is further compounded by the hotel industry’s reliance on high volumes of consumables and also the requirement of high service standards</w:t>
      </w:r>
      <w:r w:rsidR="00457AA6" w:rsidRPr="00BB0B6F">
        <w:rPr>
          <w:rFonts w:ascii="Arial" w:hAnsi="Arial" w:cs="Arial"/>
        </w:rPr>
        <w:t xml:space="preserve"> (Padilla-Rivera et al., 2020). </w:t>
      </w:r>
      <w:r w:rsidRPr="00BB0B6F">
        <w:rPr>
          <w:rFonts w:ascii="Arial" w:hAnsi="Arial" w:cs="Arial"/>
        </w:rPr>
        <w:t xml:space="preserve"> However, these challenges are far outweighed by the many strategic advantages of adopting the circular economy practices. If more efficient use of the resources is pursued and less waste is produced, the cost savings may be achieved leading to a better bottom line in the long run. Another significant benefit is an enhanced brand recognition, because the customers begin to prefer the companies that promote environmental sustainability. This may lead to increased guest loyalty as the guest will </w:t>
      </w:r>
      <w:r w:rsidRPr="00BB0B6F">
        <w:rPr>
          <w:rFonts w:ascii="Arial" w:hAnsi="Arial" w:cs="Arial"/>
        </w:rPr>
        <w:lastRenderedPageBreak/>
        <w:t>be alot more likely to recommend or revisit a hotel that shares their own values. It can be very challenging to stick to the environmental standards, but they can also be a very strategic advantage because they can help avoid penalties and also future disruptions</w:t>
      </w:r>
      <w:r w:rsidR="00457AA6" w:rsidRPr="00BB0B6F">
        <w:rPr>
          <w:rFonts w:ascii="Arial" w:hAnsi="Arial" w:cs="Arial"/>
        </w:rPr>
        <w:t xml:space="preserve"> (Velenturf and Purnell, 2021). </w:t>
      </w:r>
      <w:r w:rsidRPr="00BB0B6F">
        <w:rPr>
          <w:rFonts w:ascii="Arial" w:hAnsi="Arial" w:cs="Arial"/>
        </w:rPr>
        <w:t>Moreover, through the application of the circular economy principles, the Premier Inn can become an industry leader in sustainability within the hospitality industry, setting a high benchmark for the competition and also contributing to the broader global movement towards the environmental responsibility and sustainable development.</w:t>
      </w:r>
    </w:p>
    <w:p w14:paraId="441C1FC8" w14:textId="6771EC75" w:rsidR="00E3684A" w:rsidRPr="00BB0B6F" w:rsidRDefault="00585ED9" w:rsidP="00BB0B6F">
      <w:pPr>
        <w:pStyle w:val="Heading1"/>
        <w:rPr>
          <w:rFonts w:ascii="Arial" w:hAnsi="Arial" w:cs="Arial"/>
        </w:rPr>
      </w:pPr>
      <w:r w:rsidRPr="00BB0B6F">
        <w:rPr>
          <w:rFonts w:ascii="Arial" w:hAnsi="Arial" w:cs="Arial"/>
        </w:rPr>
        <w:t xml:space="preserve">UK </w:t>
      </w:r>
      <w:r w:rsidR="00E3684A" w:rsidRPr="00BB0B6F">
        <w:rPr>
          <w:rFonts w:ascii="Arial" w:hAnsi="Arial" w:cs="Arial"/>
        </w:rPr>
        <w:t>Industry Context and Examples</w:t>
      </w:r>
    </w:p>
    <w:p w14:paraId="60157A17" w14:textId="1BA4719E" w:rsidR="00C9212C" w:rsidRPr="00BB0B6F" w:rsidRDefault="00585ED9" w:rsidP="00BB0B6F">
      <w:pPr>
        <w:rPr>
          <w:rFonts w:ascii="Arial" w:hAnsi="Arial" w:cs="Arial"/>
        </w:rPr>
      </w:pPr>
      <w:r w:rsidRPr="00BB0B6F">
        <w:rPr>
          <w:rFonts w:ascii="Arial" w:hAnsi="Arial" w:cs="Arial"/>
        </w:rPr>
        <w:t xml:space="preserve">Premier Inn adopts the principles of the circular economy in its CSR Policy to enhance the sustainability </w:t>
      </w:r>
      <w:r w:rsidR="00670837" w:rsidRPr="00BB0B6F">
        <w:rPr>
          <w:rFonts w:ascii="Arial" w:hAnsi="Arial" w:cs="Arial"/>
        </w:rPr>
        <w:t>and</w:t>
      </w:r>
      <w:r w:rsidRPr="00BB0B6F">
        <w:rPr>
          <w:rFonts w:ascii="Arial" w:hAnsi="Arial" w:cs="Arial"/>
        </w:rPr>
        <w:t xml:space="preserve"> reduce its impact on the environment. While Premier Inn is a company that prides itself on environmental stewardship, one of the most important aspects of the circular economy concept is the maximisation of the resources and minimisation of waste. Their efforts to reduce the carbon emissions, increase energy efficiency, and also recycle materials throughout their operations are representative of this approach in practice</w:t>
      </w:r>
      <w:r w:rsidR="00457AA6" w:rsidRPr="00BB0B6F">
        <w:rPr>
          <w:rFonts w:ascii="Arial" w:hAnsi="Arial" w:cs="Arial"/>
        </w:rPr>
        <w:t xml:space="preserve"> (Grafström and Aasma, 2021).</w:t>
      </w:r>
      <w:r w:rsidRPr="00BB0B6F">
        <w:rPr>
          <w:rFonts w:ascii="Arial" w:hAnsi="Arial" w:cs="Arial"/>
        </w:rPr>
        <w:t xml:space="preserve"> </w:t>
      </w:r>
      <w:r w:rsidR="00C9212C" w:rsidRPr="00BB0B6F">
        <w:rPr>
          <w:rFonts w:ascii="Arial" w:hAnsi="Arial" w:cs="Arial"/>
        </w:rPr>
        <w:t>For instance, the Premier Inn, as a hospitality corporation that has adopted ambitious environmental objectives in its operations, has set emission reduction targets to help mitigate its carbon footprint. The carbon emissions intensity reduction target of the hotel chain is 50% by the year 2025 as compared to the year 2015 levels</w:t>
      </w:r>
      <w:r w:rsidR="00BB0B6F" w:rsidRPr="00BB0B6F">
        <w:rPr>
          <w:rFonts w:ascii="Arial" w:hAnsi="Arial" w:cs="Arial"/>
        </w:rPr>
        <w:t xml:space="preserve"> (</w:t>
      </w:r>
      <w:r w:rsidR="00BB0B6F" w:rsidRPr="00BB0B6F">
        <w:rPr>
          <w:rFonts w:ascii="Arial" w:hAnsi="Arial" w:cs="Arial"/>
          <w:color w:val="222222"/>
          <w:shd w:val="clear" w:color="auto" w:fill="FFFFFF"/>
        </w:rPr>
        <w:t>Gössling, Humpe and Sun, 2024</w:t>
      </w:r>
      <w:r w:rsidR="00BB0B6F" w:rsidRPr="00BB0B6F">
        <w:rPr>
          <w:rFonts w:ascii="Arial" w:hAnsi="Arial" w:cs="Arial"/>
          <w:color w:val="222222"/>
          <w:shd w:val="clear" w:color="auto" w:fill="FFFFFF"/>
        </w:rPr>
        <w:t xml:space="preserve">). </w:t>
      </w:r>
      <w:r w:rsidR="00C9212C" w:rsidRPr="00BB0B6F">
        <w:rPr>
          <w:rFonts w:ascii="Arial" w:hAnsi="Arial" w:cs="Arial"/>
        </w:rPr>
        <w:t>In addition, by 2050, Premier Inn aims to decrease its overall emissions intensity by up to 88 % alot. To achieve these aims, Premier Inn is introducing energy-efficient technologies, is switching to renewable energy sources throughout the hotel, is reducing food waste in the kitchen, and promoting staff and also visitors to opt for sustainable transport methods.</w:t>
      </w:r>
    </w:p>
    <w:p w14:paraId="32F9B499" w14:textId="77777777" w:rsidR="00C9212C" w:rsidRPr="00BB0B6F" w:rsidRDefault="00C9212C" w:rsidP="00BB0B6F">
      <w:pPr>
        <w:rPr>
          <w:rFonts w:ascii="Arial" w:hAnsi="Arial" w:cs="Arial"/>
        </w:rPr>
      </w:pPr>
    </w:p>
    <w:p w14:paraId="4523E984" w14:textId="5FADB7E6" w:rsidR="00585ED9" w:rsidRPr="00BB0B6F" w:rsidRDefault="00C9212C" w:rsidP="00BB0B6F">
      <w:pPr>
        <w:rPr>
          <w:rFonts w:ascii="Arial" w:hAnsi="Arial" w:cs="Arial"/>
        </w:rPr>
      </w:pPr>
      <w:r w:rsidRPr="00BB0B6F">
        <w:rPr>
          <w:rFonts w:ascii="Arial" w:hAnsi="Arial" w:cs="Arial"/>
        </w:rPr>
        <w:t>Premier Inn aims at reducing its carbon footprint significantly in accordance with the scientific recommendations on climate change mitigation thus engaging in active decarbonisation investments and monitoring both in its properties and corporate operations</w:t>
      </w:r>
      <w:r w:rsidR="00BB0B6F" w:rsidRPr="00BB0B6F">
        <w:rPr>
          <w:rFonts w:ascii="Arial" w:hAnsi="Arial" w:cs="Arial"/>
        </w:rPr>
        <w:t xml:space="preserve"> (</w:t>
      </w:r>
      <w:r w:rsidR="00BB0B6F" w:rsidRPr="00BB0B6F">
        <w:rPr>
          <w:rFonts w:ascii="Arial" w:hAnsi="Arial" w:cs="Arial"/>
          <w:color w:val="222222"/>
          <w:shd w:val="clear" w:color="auto" w:fill="FFFFFF"/>
        </w:rPr>
        <w:t>Tarricone, 2023</w:t>
      </w:r>
      <w:r w:rsidR="00BB0B6F" w:rsidRPr="00BB0B6F">
        <w:rPr>
          <w:rFonts w:ascii="Arial" w:hAnsi="Arial" w:cs="Arial"/>
          <w:color w:val="222222"/>
          <w:shd w:val="clear" w:color="auto" w:fill="FFFFFF"/>
        </w:rPr>
        <w:t xml:space="preserve">). </w:t>
      </w:r>
      <w:r w:rsidRPr="00BB0B6F">
        <w:rPr>
          <w:rFonts w:ascii="Arial" w:hAnsi="Arial" w:cs="Arial"/>
        </w:rPr>
        <w:t xml:space="preserve">The leading hospitality businesses should lead the way in introducing the renewable, low-carbon technology and breaking the link between corporate performance and wasted resource use by using eco-friendly buildings and operations. This is since the hospitality industry is one of the sectors that need a lot of </w:t>
      </w:r>
      <w:r w:rsidRPr="00BB0B6F">
        <w:rPr>
          <w:rFonts w:ascii="Arial" w:hAnsi="Arial" w:cs="Arial"/>
        </w:rPr>
        <w:lastRenderedPageBreak/>
        <w:t>infrastructure and also produce a lot of emissions. If big players such as Premier Inn manage to achieve their very ambitious emission objectives, it could drive the innovation, increase brand equity, lower long-term costs, and boost the shifts towards more sustainable travel in the sector.</w:t>
      </w:r>
    </w:p>
    <w:p w14:paraId="0DC23F74" w14:textId="77777777" w:rsidR="00585ED9" w:rsidRPr="00BB0B6F" w:rsidRDefault="00585ED9" w:rsidP="00BB0B6F">
      <w:pPr>
        <w:rPr>
          <w:rFonts w:ascii="Arial" w:hAnsi="Arial" w:cs="Arial"/>
        </w:rPr>
      </w:pPr>
    </w:p>
    <w:p w14:paraId="6E64213B" w14:textId="446649CE" w:rsidR="00116391" w:rsidRPr="00BB0B6F" w:rsidRDefault="00585ED9" w:rsidP="00BB0B6F">
      <w:pPr>
        <w:rPr>
          <w:rFonts w:ascii="Arial" w:hAnsi="Arial" w:cs="Arial"/>
        </w:rPr>
      </w:pPr>
      <w:r w:rsidRPr="00BB0B6F">
        <w:rPr>
          <w:rFonts w:ascii="Arial" w:hAnsi="Arial" w:cs="Arial"/>
        </w:rPr>
        <w:t xml:space="preserve">Premier Inn has a deep commitment to the circular economy as compared to the other companies in the same industry. While the nature and focus of the other hospitality-related businesses' programs may vary, most of them also adopt the circular economy principles. For instance, others could concentrate on recycling or on food donation initiatives to cut down on the food waste, while others would emphasize water or on energy conservation. Some of the best practices among the Premier Inn’s competitors include the introduction of comprehensive recycling programmes, investments in renewable energy sources, </w:t>
      </w:r>
      <w:r w:rsidR="00457AA6" w:rsidRPr="00BB0B6F">
        <w:rPr>
          <w:rFonts w:ascii="Arial" w:hAnsi="Arial" w:cs="Arial"/>
        </w:rPr>
        <w:t>and</w:t>
      </w:r>
      <w:r w:rsidRPr="00BB0B6F">
        <w:rPr>
          <w:rFonts w:ascii="Arial" w:hAnsi="Arial" w:cs="Arial"/>
        </w:rPr>
        <w:t xml:space="preserve"> green buildings that meet strict environmental standards</w:t>
      </w:r>
      <w:r w:rsidR="00457AA6" w:rsidRPr="00BB0B6F">
        <w:rPr>
          <w:rFonts w:ascii="Arial" w:hAnsi="Arial" w:cs="Arial"/>
        </w:rPr>
        <w:t xml:space="preserve"> (Herrador and Van, 2024).</w:t>
      </w:r>
      <w:r w:rsidRPr="00BB0B6F">
        <w:rPr>
          <w:rFonts w:ascii="Arial" w:hAnsi="Arial" w:cs="Arial"/>
        </w:rPr>
        <w:t xml:space="preserve"> There are </w:t>
      </w:r>
      <w:r w:rsidR="00457AA6" w:rsidRPr="00BB0B6F">
        <w:rPr>
          <w:rFonts w:ascii="Arial" w:hAnsi="Arial" w:cs="Arial"/>
        </w:rPr>
        <w:t>several</w:t>
      </w:r>
      <w:r w:rsidRPr="00BB0B6F">
        <w:rPr>
          <w:rFonts w:ascii="Arial" w:hAnsi="Arial" w:cs="Arial"/>
        </w:rPr>
        <w:t xml:space="preserve"> other creative practices that Premier Inn should consider, such as adopting zero-waste kitchens, using sustainable building materials, and implementing guest engagement programmes that encourage sustainable behaviour during their stay. These practices not only enhance the overall travel experience of the visitors but also contribute to saving the environment by fulfilling the growing demand of the customers for environmentally friendly </w:t>
      </w:r>
      <w:r w:rsidR="00457AA6" w:rsidRPr="00BB0B6F">
        <w:rPr>
          <w:rFonts w:ascii="Arial" w:hAnsi="Arial" w:cs="Arial"/>
        </w:rPr>
        <w:t>and</w:t>
      </w:r>
      <w:r w:rsidRPr="00BB0B6F">
        <w:rPr>
          <w:rFonts w:ascii="Arial" w:hAnsi="Arial" w:cs="Arial"/>
        </w:rPr>
        <w:t xml:space="preserve"> sustainable travel options.</w:t>
      </w:r>
    </w:p>
    <w:p w14:paraId="6062D949" w14:textId="6B97AFDA" w:rsidR="006645FE" w:rsidRPr="00BB0B6F" w:rsidRDefault="009609FC" w:rsidP="00BB0B6F">
      <w:pPr>
        <w:pStyle w:val="Heading1"/>
        <w:rPr>
          <w:rFonts w:ascii="Arial" w:hAnsi="Arial" w:cs="Arial"/>
        </w:rPr>
      </w:pPr>
      <w:bookmarkStart w:id="1" w:name="_Toc156432488"/>
      <w:r w:rsidRPr="00BB0B6F">
        <w:rPr>
          <w:rFonts w:ascii="Arial" w:hAnsi="Arial" w:cs="Arial"/>
        </w:rPr>
        <w:t>Conclusion</w:t>
      </w:r>
      <w:bookmarkEnd w:id="1"/>
    </w:p>
    <w:p w14:paraId="3AA6C40E" w14:textId="640B2392" w:rsidR="009609FC" w:rsidRPr="00BB0B6F" w:rsidRDefault="00670837" w:rsidP="00BB0B6F">
      <w:pPr>
        <w:rPr>
          <w:rFonts w:ascii="Arial" w:hAnsi="Arial" w:cs="Arial"/>
        </w:rPr>
      </w:pPr>
      <w:r w:rsidRPr="00BB0B6F">
        <w:rPr>
          <w:rFonts w:ascii="Arial" w:hAnsi="Arial" w:cs="Arial"/>
        </w:rPr>
        <w:t>Premier Inn can be viewed as a good example of a progressive approach to CSR strategy implementation, as it has integrated the principles of circular economy into its CSR strategy and focuses on reducing the environmental impact and promoting sustainable development. Energy reduction, sustainable sourcing, and waste management serve as a standard for the company’s industry counterparts. The essay highlights the importance of such sustainable practices in promoting a more resilient and ecologically aware hospitality sector. Similarly, it suggests that the Premier Inn can reinforce its role as a leader in the sustainability by adopting more advanced practices, thus promoting a broader movement towards a more responsible and sustainable worldwide hospitality industry.</w:t>
      </w:r>
    </w:p>
    <w:p w14:paraId="41C29932" w14:textId="77777777" w:rsidR="00C9212C" w:rsidRPr="00BB0B6F" w:rsidRDefault="00C9212C" w:rsidP="00BB0B6F">
      <w:pPr>
        <w:rPr>
          <w:rFonts w:ascii="Arial" w:hAnsi="Arial" w:cs="Arial"/>
        </w:rPr>
      </w:pPr>
    </w:p>
    <w:p w14:paraId="381E4324" w14:textId="67B9DF43" w:rsidR="000D6484" w:rsidRPr="00BB0B6F" w:rsidRDefault="00E877B4" w:rsidP="00BB0B6F">
      <w:pPr>
        <w:pStyle w:val="Heading1"/>
        <w:rPr>
          <w:rFonts w:ascii="Arial" w:eastAsiaTheme="minorHAnsi" w:hAnsi="Arial" w:cs="Arial"/>
          <w:sz w:val="24"/>
          <w:szCs w:val="24"/>
        </w:rPr>
      </w:pPr>
      <w:bookmarkStart w:id="2" w:name="_Toc156432489"/>
      <w:r w:rsidRPr="00BB0B6F">
        <w:rPr>
          <w:rFonts w:ascii="Arial" w:hAnsi="Arial" w:cs="Arial"/>
          <w:bCs/>
        </w:rPr>
        <w:lastRenderedPageBreak/>
        <w:t>References</w:t>
      </w:r>
      <w:bookmarkEnd w:id="2"/>
    </w:p>
    <w:p w14:paraId="731FB264" w14:textId="77777777" w:rsidR="00BB0B6F" w:rsidRPr="00BB0B6F" w:rsidRDefault="00BB0B6F" w:rsidP="00BB0B6F">
      <w:pPr>
        <w:rPr>
          <w:rFonts w:ascii="Arial" w:hAnsi="Arial" w:cs="Arial"/>
        </w:rPr>
      </w:pPr>
      <w:r w:rsidRPr="00BB0B6F">
        <w:rPr>
          <w:rFonts w:ascii="Arial" w:hAnsi="Arial" w:cs="Arial"/>
        </w:rPr>
        <w:t>Barreiro</w:t>
      </w:r>
      <w:r w:rsidRPr="00BB0B6F">
        <w:rPr>
          <w:rFonts w:ascii="Cambria Math" w:hAnsi="Cambria Math" w:cs="Cambria Math"/>
        </w:rPr>
        <w:t>‐</w:t>
      </w:r>
      <w:r w:rsidRPr="00BB0B6F">
        <w:rPr>
          <w:rFonts w:ascii="Arial" w:hAnsi="Arial" w:cs="Arial"/>
        </w:rPr>
        <w:t>Gen, M. and Lozano, R., 2020. How circular is the circular economy? Analysing the implementation of circular economy in organisations. </w:t>
      </w:r>
      <w:r w:rsidRPr="00BB0B6F">
        <w:rPr>
          <w:rFonts w:ascii="Arial" w:hAnsi="Arial" w:cs="Arial"/>
          <w:i/>
          <w:iCs/>
        </w:rPr>
        <w:t>Business Strategy and the Environment</w:t>
      </w:r>
      <w:r w:rsidRPr="00BB0B6F">
        <w:rPr>
          <w:rFonts w:ascii="Arial" w:hAnsi="Arial" w:cs="Arial"/>
        </w:rPr>
        <w:t>, </w:t>
      </w:r>
      <w:r w:rsidRPr="00BB0B6F">
        <w:rPr>
          <w:rFonts w:ascii="Arial" w:hAnsi="Arial" w:cs="Arial"/>
          <w:i/>
          <w:iCs/>
        </w:rPr>
        <w:t>29</w:t>
      </w:r>
      <w:r w:rsidRPr="00BB0B6F">
        <w:rPr>
          <w:rFonts w:ascii="Arial" w:hAnsi="Arial" w:cs="Arial"/>
        </w:rPr>
        <w:t>(8), pp.3484-3494.</w:t>
      </w:r>
    </w:p>
    <w:p w14:paraId="220B9E11" w14:textId="77777777" w:rsidR="00BB0B6F" w:rsidRPr="00BB0B6F" w:rsidRDefault="00BB0B6F" w:rsidP="00BB0B6F">
      <w:pPr>
        <w:rPr>
          <w:rFonts w:ascii="Arial" w:hAnsi="Arial" w:cs="Arial"/>
        </w:rPr>
      </w:pPr>
      <w:r w:rsidRPr="00BB0B6F">
        <w:rPr>
          <w:rFonts w:ascii="Arial" w:hAnsi="Arial" w:cs="Arial"/>
        </w:rPr>
        <w:t>Bucknall, D.G., 2020. Plastics as a materials system in a circular economy. </w:t>
      </w:r>
      <w:r w:rsidRPr="00BB0B6F">
        <w:rPr>
          <w:rFonts w:ascii="Arial" w:hAnsi="Arial" w:cs="Arial"/>
          <w:i/>
          <w:iCs/>
        </w:rPr>
        <w:t>Philosophical Transactions of the Royal Society A</w:t>
      </w:r>
      <w:r w:rsidRPr="00BB0B6F">
        <w:rPr>
          <w:rFonts w:ascii="Arial" w:hAnsi="Arial" w:cs="Arial"/>
        </w:rPr>
        <w:t>, </w:t>
      </w:r>
      <w:r w:rsidRPr="00BB0B6F">
        <w:rPr>
          <w:rFonts w:ascii="Arial" w:hAnsi="Arial" w:cs="Arial"/>
          <w:i/>
          <w:iCs/>
        </w:rPr>
        <w:t>378</w:t>
      </w:r>
      <w:r w:rsidRPr="00BB0B6F">
        <w:rPr>
          <w:rFonts w:ascii="Arial" w:hAnsi="Arial" w:cs="Arial"/>
        </w:rPr>
        <w:t>(2176), p.20190268.</w:t>
      </w:r>
    </w:p>
    <w:p w14:paraId="32BBAFD8" w14:textId="77777777" w:rsidR="00BB0B6F" w:rsidRPr="00BB0B6F" w:rsidRDefault="00BB0B6F" w:rsidP="00BB0B6F">
      <w:pPr>
        <w:rPr>
          <w:rFonts w:ascii="Arial" w:hAnsi="Arial" w:cs="Arial"/>
        </w:rPr>
      </w:pPr>
      <w:r w:rsidRPr="00BB0B6F">
        <w:rPr>
          <w:rFonts w:ascii="Arial" w:hAnsi="Arial" w:cs="Arial"/>
        </w:rPr>
        <w:t>Corvellec, H., Stowell, A.F. and Johansson, N., 2022. Critiques of the circular economy. </w:t>
      </w:r>
      <w:r w:rsidRPr="00BB0B6F">
        <w:rPr>
          <w:rFonts w:ascii="Arial" w:hAnsi="Arial" w:cs="Arial"/>
          <w:i/>
          <w:iCs/>
        </w:rPr>
        <w:t>Journal of industrial ecology</w:t>
      </w:r>
      <w:r w:rsidRPr="00BB0B6F">
        <w:rPr>
          <w:rFonts w:ascii="Arial" w:hAnsi="Arial" w:cs="Arial"/>
        </w:rPr>
        <w:t>, </w:t>
      </w:r>
      <w:r w:rsidRPr="00BB0B6F">
        <w:rPr>
          <w:rFonts w:ascii="Arial" w:hAnsi="Arial" w:cs="Arial"/>
          <w:i/>
          <w:iCs/>
        </w:rPr>
        <w:t>26</w:t>
      </w:r>
      <w:r w:rsidRPr="00BB0B6F">
        <w:rPr>
          <w:rFonts w:ascii="Arial" w:hAnsi="Arial" w:cs="Arial"/>
        </w:rPr>
        <w:t>(2), pp.421-432.</w:t>
      </w:r>
    </w:p>
    <w:p w14:paraId="6555B7C0" w14:textId="77777777" w:rsidR="00BB0B6F" w:rsidRPr="00BB0B6F" w:rsidRDefault="00BB0B6F" w:rsidP="00BB0B6F">
      <w:pPr>
        <w:rPr>
          <w:rFonts w:ascii="Arial" w:hAnsi="Arial" w:cs="Arial"/>
        </w:rPr>
      </w:pPr>
      <w:r w:rsidRPr="00BB0B6F">
        <w:rPr>
          <w:rFonts w:ascii="Arial" w:hAnsi="Arial" w:cs="Arial"/>
        </w:rPr>
        <w:t>De Pascale, A., Arbolino, R., Szopik-Depczyńska, K., Limosani, M. and Ioppolo, G., 2021. A systematic review for measuring circular economy: The 61 indicators. </w:t>
      </w:r>
      <w:r w:rsidRPr="00BB0B6F">
        <w:rPr>
          <w:rFonts w:ascii="Arial" w:hAnsi="Arial" w:cs="Arial"/>
          <w:i/>
          <w:iCs/>
        </w:rPr>
        <w:t>Journal of cleaner production</w:t>
      </w:r>
      <w:r w:rsidRPr="00BB0B6F">
        <w:rPr>
          <w:rFonts w:ascii="Arial" w:hAnsi="Arial" w:cs="Arial"/>
        </w:rPr>
        <w:t>, </w:t>
      </w:r>
      <w:r w:rsidRPr="00BB0B6F">
        <w:rPr>
          <w:rFonts w:ascii="Arial" w:hAnsi="Arial" w:cs="Arial"/>
          <w:i/>
          <w:iCs/>
        </w:rPr>
        <w:t>281</w:t>
      </w:r>
      <w:r w:rsidRPr="00BB0B6F">
        <w:rPr>
          <w:rFonts w:ascii="Arial" w:hAnsi="Arial" w:cs="Arial"/>
        </w:rPr>
        <w:t>, p.124942.</w:t>
      </w:r>
    </w:p>
    <w:p w14:paraId="24772921"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Evans, N.G., 2019. </w:t>
      </w:r>
      <w:r w:rsidRPr="00BB0B6F">
        <w:rPr>
          <w:rFonts w:ascii="Arial" w:hAnsi="Arial" w:cs="Arial"/>
          <w:i/>
          <w:iCs/>
          <w:color w:val="222222"/>
          <w:shd w:val="clear" w:color="auto" w:fill="FFFFFF"/>
        </w:rPr>
        <w:t>Strategic management for tourism, hospitality and events</w:t>
      </w:r>
      <w:r w:rsidRPr="00BB0B6F">
        <w:rPr>
          <w:rFonts w:ascii="Arial" w:hAnsi="Arial" w:cs="Arial"/>
          <w:color w:val="222222"/>
          <w:shd w:val="clear" w:color="auto" w:fill="FFFFFF"/>
        </w:rPr>
        <w:t>. Routledge.</w:t>
      </w:r>
      <w:r w:rsidRPr="00BB0B6F">
        <w:rPr>
          <w:rFonts w:ascii="Arial" w:hAnsi="Arial" w:cs="Arial"/>
          <w:color w:val="222222"/>
          <w:shd w:val="clear" w:color="auto" w:fill="FFFFFF"/>
        </w:rPr>
        <w:t xml:space="preserve"> </w:t>
      </w:r>
    </w:p>
    <w:p w14:paraId="0A718B71"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Gössling, S., Humpe, A. and Sun, Y.Y., 2024. On track to net-zero? Large tourism enterprises and climate change. </w:t>
      </w:r>
      <w:r w:rsidRPr="00BB0B6F">
        <w:rPr>
          <w:rFonts w:ascii="Arial" w:hAnsi="Arial" w:cs="Arial"/>
          <w:i/>
          <w:iCs/>
          <w:color w:val="222222"/>
          <w:shd w:val="clear" w:color="auto" w:fill="FFFFFF"/>
        </w:rPr>
        <w:t>Tourism Management</w:t>
      </w:r>
      <w:r w:rsidRPr="00BB0B6F">
        <w:rPr>
          <w:rFonts w:ascii="Arial" w:hAnsi="Arial" w:cs="Arial"/>
          <w:color w:val="222222"/>
          <w:shd w:val="clear" w:color="auto" w:fill="FFFFFF"/>
        </w:rPr>
        <w:t>, </w:t>
      </w:r>
      <w:r w:rsidRPr="00BB0B6F">
        <w:rPr>
          <w:rFonts w:ascii="Arial" w:hAnsi="Arial" w:cs="Arial"/>
          <w:i/>
          <w:iCs/>
          <w:color w:val="222222"/>
          <w:shd w:val="clear" w:color="auto" w:fill="FFFFFF"/>
        </w:rPr>
        <w:t>100</w:t>
      </w:r>
      <w:r w:rsidRPr="00BB0B6F">
        <w:rPr>
          <w:rFonts w:ascii="Arial" w:hAnsi="Arial" w:cs="Arial"/>
          <w:color w:val="222222"/>
          <w:shd w:val="clear" w:color="auto" w:fill="FFFFFF"/>
        </w:rPr>
        <w:t>, p.104842.</w:t>
      </w:r>
      <w:r w:rsidRPr="00BB0B6F">
        <w:rPr>
          <w:rFonts w:ascii="Arial" w:hAnsi="Arial" w:cs="Arial"/>
          <w:color w:val="222222"/>
          <w:shd w:val="clear" w:color="auto" w:fill="FFFFFF"/>
        </w:rPr>
        <w:t xml:space="preserve"> </w:t>
      </w:r>
    </w:p>
    <w:p w14:paraId="40FF2739"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Gössling, S., Scott, D. and Hall, C.M., 2013. Challenges of tourism in a low</w:t>
      </w:r>
      <w:r w:rsidRPr="00BB0B6F">
        <w:rPr>
          <w:rFonts w:ascii="Cambria Math" w:hAnsi="Cambria Math" w:cs="Cambria Math"/>
          <w:color w:val="222222"/>
          <w:shd w:val="clear" w:color="auto" w:fill="FFFFFF"/>
        </w:rPr>
        <w:t>‐</w:t>
      </w:r>
      <w:r w:rsidRPr="00BB0B6F">
        <w:rPr>
          <w:rFonts w:ascii="Arial" w:hAnsi="Arial" w:cs="Arial"/>
          <w:color w:val="222222"/>
          <w:shd w:val="clear" w:color="auto" w:fill="FFFFFF"/>
        </w:rPr>
        <w:t>carbon economy. </w:t>
      </w:r>
      <w:r w:rsidRPr="00BB0B6F">
        <w:rPr>
          <w:rFonts w:ascii="Arial" w:hAnsi="Arial" w:cs="Arial"/>
          <w:i/>
          <w:iCs/>
          <w:color w:val="222222"/>
          <w:shd w:val="clear" w:color="auto" w:fill="FFFFFF"/>
        </w:rPr>
        <w:t>Wiley interdisciplinary reviews: Climate change</w:t>
      </w:r>
      <w:r w:rsidRPr="00BB0B6F">
        <w:rPr>
          <w:rFonts w:ascii="Arial" w:hAnsi="Arial" w:cs="Arial"/>
          <w:color w:val="222222"/>
          <w:shd w:val="clear" w:color="auto" w:fill="FFFFFF"/>
        </w:rPr>
        <w:t>, </w:t>
      </w:r>
      <w:r w:rsidRPr="00BB0B6F">
        <w:rPr>
          <w:rFonts w:ascii="Arial" w:hAnsi="Arial" w:cs="Arial"/>
          <w:i/>
          <w:iCs/>
          <w:color w:val="222222"/>
          <w:shd w:val="clear" w:color="auto" w:fill="FFFFFF"/>
        </w:rPr>
        <w:t>4</w:t>
      </w:r>
      <w:r w:rsidRPr="00BB0B6F">
        <w:rPr>
          <w:rFonts w:ascii="Arial" w:hAnsi="Arial" w:cs="Arial"/>
          <w:color w:val="222222"/>
          <w:shd w:val="clear" w:color="auto" w:fill="FFFFFF"/>
        </w:rPr>
        <w:t>(6), pp.525-538.</w:t>
      </w:r>
      <w:r w:rsidRPr="00BB0B6F">
        <w:rPr>
          <w:rFonts w:ascii="Arial" w:hAnsi="Arial" w:cs="Arial"/>
          <w:color w:val="222222"/>
          <w:shd w:val="clear" w:color="auto" w:fill="FFFFFF"/>
        </w:rPr>
        <w:t xml:space="preserve"> </w:t>
      </w:r>
    </w:p>
    <w:p w14:paraId="17907FE4" w14:textId="77777777" w:rsidR="00BB0B6F" w:rsidRPr="00BB0B6F" w:rsidRDefault="00BB0B6F" w:rsidP="00BB0B6F">
      <w:pPr>
        <w:rPr>
          <w:rFonts w:ascii="Arial" w:hAnsi="Arial" w:cs="Arial"/>
        </w:rPr>
      </w:pPr>
      <w:r w:rsidRPr="00BB0B6F">
        <w:rPr>
          <w:rFonts w:ascii="Arial" w:hAnsi="Arial" w:cs="Arial"/>
        </w:rPr>
        <w:t>Grafström, J. and Aasma, S., 2021. Breaking circular economy barriers. </w:t>
      </w:r>
      <w:r w:rsidRPr="00BB0B6F">
        <w:rPr>
          <w:rFonts w:ascii="Arial" w:hAnsi="Arial" w:cs="Arial"/>
          <w:i/>
          <w:iCs/>
        </w:rPr>
        <w:t>Journal of Cleaner Production</w:t>
      </w:r>
      <w:r w:rsidRPr="00BB0B6F">
        <w:rPr>
          <w:rFonts w:ascii="Arial" w:hAnsi="Arial" w:cs="Arial"/>
        </w:rPr>
        <w:t>, </w:t>
      </w:r>
      <w:r w:rsidRPr="00BB0B6F">
        <w:rPr>
          <w:rFonts w:ascii="Arial" w:hAnsi="Arial" w:cs="Arial"/>
          <w:i/>
          <w:iCs/>
        </w:rPr>
        <w:t>292</w:t>
      </w:r>
      <w:r w:rsidRPr="00BB0B6F">
        <w:rPr>
          <w:rFonts w:ascii="Arial" w:hAnsi="Arial" w:cs="Arial"/>
        </w:rPr>
        <w:t>, p.126002.</w:t>
      </w:r>
    </w:p>
    <w:p w14:paraId="1D86FA90" w14:textId="77777777" w:rsidR="00BB0B6F" w:rsidRPr="00BB0B6F" w:rsidRDefault="00BB0B6F" w:rsidP="00BB0B6F">
      <w:pPr>
        <w:rPr>
          <w:rFonts w:ascii="Arial" w:hAnsi="Arial" w:cs="Arial"/>
        </w:rPr>
      </w:pPr>
      <w:r w:rsidRPr="00BB0B6F">
        <w:rPr>
          <w:rFonts w:ascii="Arial" w:hAnsi="Arial" w:cs="Arial"/>
        </w:rPr>
        <w:t>Halkos, G.E. and Aslanidis, P.S.C., 2024. How Waste Crisis Altered the Common Understanding: From Fordism to Circular Economy and Sustainable Development. </w:t>
      </w:r>
      <w:r w:rsidRPr="00BB0B6F">
        <w:rPr>
          <w:rFonts w:ascii="Arial" w:hAnsi="Arial" w:cs="Arial"/>
          <w:i/>
          <w:iCs/>
        </w:rPr>
        <w:t>Circular Economy and Sustainability</w:t>
      </w:r>
      <w:r w:rsidRPr="00BB0B6F">
        <w:rPr>
          <w:rFonts w:ascii="Arial" w:hAnsi="Arial" w:cs="Arial"/>
        </w:rPr>
        <w:t>, pp.1-25.</w:t>
      </w:r>
    </w:p>
    <w:p w14:paraId="5E472AA5"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Hassanien, A. and Dale, C., 2019. </w:t>
      </w:r>
      <w:r w:rsidRPr="00BB0B6F">
        <w:rPr>
          <w:rFonts w:ascii="Arial" w:hAnsi="Arial" w:cs="Arial"/>
          <w:i/>
          <w:iCs/>
          <w:color w:val="222222"/>
          <w:shd w:val="clear" w:color="auto" w:fill="FFFFFF"/>
        </w:rPr>
        <w:t>Hospitality business development</w:t>
      </w:r>
      <w:r w:rsidRPr="00BB0B6F">
        <w:rPr>
          <w:rFonts w:ascii="Arial" w:hAnsi="Arial" w:cs="Arial"/>
          <w:color w:val="222222"/>
          <w:shd w:val="clear" w:color="auto" w:fill="FFFFFF"/>
        </w:rPr>
        <w:t>. Routledge.</w:t>
      </w:r>
      <w:r w:rsidRPr="00BB0B6F">
        <w:rPr>
          <w:rFonts w:ascii="Arial" w:hAnsi="Arial" w:cs="Arial"/>
          <w:color w:val="222222"/>
          <w:shd w:val="clear" w:color="auto" w:fill="FFFFFF"/>
        </w:rPr>
        <w:t xml:space="preserve"> </w:t>
      </w:r>
    </w:p>
    <w:p w14:paraId="6B3BEEF4" w14:textId="77777777" w:rsidR="00BB0B6F" w:rsidRPr="00BB0B6F" w:rsidRDefault="00BB0B6F" w:rsidP="00BB0B6F">
      <w:pPr>
        <w:rPr>
          <w:rFonts w:ascii="Arial" w:hAnsi="Arial" w:cs="Arial"/>
        </w:rPr>
      </w:pPr>
      <w:r w:rsidRPr="00BB0B6F">
        <w:rPr>
          <w:rFonts w:ascii="Arial" w:hAnsi="Arial" w:cs="Arial"/>
        </w:rPr>
        <w:t>Herrador, M. and Van, M.L., 2024. Circular economy strategies in the ASEAN region: A comparative study. </w:t>
      </w:r>
      <w:r w:rsidRPr="00BB0B6F">
        <w:rPr>
          <w:rFonts w:ascii="Arial" w:hAnsi="Arial" w:cs="Arial"/>
          <w:i/>
          <w:iCs/>
        </w:rPr>
        <w:t>Science of The Total Environment</w:t>
      </w:r>
      <w:r w:rsidRPr="00BB0B6F">
        <w:rPr>
          <w:rFonts w:ascii="Arial" w:hAnsi="Arial" w:cs="Arial"/>
        </w:rPr>
        <w:t>, </w:t>
      </w:r>
      <w:r w:rsidRPr="00BB0B6F">
        <w:rPr>
          <w:rFonts w:ascii="Arial" w:hAnsi="Arial" w:cs="Arial"/>
          <w:i/>
          <w:iCs/>
        </w:rPr>
        <w:t>908</w:t>
      </w:r>
      <w:r w:rsidRPr="00BB0B6F">
        <w:rPr>
          <w:rFonts w:ascii="Arial" w:hAnsi="Arial" w:cs="Arial"/>
        </w:rPr>
        <w:t>, p.168280.</w:t>
      </w:r>
    </w:p>
    <w:p w14:paraId="754AFFDF"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Jamieson, D., 2014. </w:t>
      </w:r>
      <w:r w:rsidRPr="00BB0B6F">
        <w:rPr>
          <w:rFonts w:ascii="Arial" w:hAnsi="Arial" w:cs="Arial"/>
          <w:i/>
          <w:iCs/>
          <w:color w:val="222222"/>
          <w:shd w:val="clear" w:color="auto" w:fill="FFFFFF"/>
        </w:rPr>
        <w:t>Reason in a dark time: why the struggle against climate change failed--and what it means for our future</w:t>
      </w:r>
      <w:r w:rsidRPr="00BB0B6F">
        <w:rPr>
          <w:rFonts w:ascii="Arial" w:hAnsi="Arial" w:cs="Arial"/>
          <w:color w:val="222222"/>
          <w:shd w:val="clear" w:color="auto" w:fill="FFFFFF"/>
        </w:rPr>
        <w:t>. Oxford University Press.</w:t>
      </w:r>
      <w:r w:rsidRPr="00BB0B6F">
        <w:rPr>
          <w:rFonts w:ascii="Arial" w:hAnsi="Arial" w:cs="Arial"/>
          <w:color w:val="222222"/>
          <w:shd w:val="clear" w:color="auto" w:fill="FFFFFF"/>
        </w:rPr>
        <w:t xml:space="preserve"> </w:t>
      </w:r>
    </w:p>
    <w:p w14:paraId="59470A51"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Leal-Arcas, R., Peykova, M., Nalule, V. and Kara, P., 2019. Decarbonizing the energy sector. </w:t>
      </w:r>
      <w:r w:rsidRPr="00BB0B6F">
        <w:rPr>
          <w:rFonts w:ascii="Arial" w:hAnsi="Arial" w:cs="Arial"/>
          <w:i/>
          <w:iCs/>
          <w:color w:val="222222"/>
          <w:shd w:val="clear" w:color="auto" w:fill="FFFFFF"/>
        </w:rPr>
        <w:t>J. Animal &amp; Nat. Resource L.</w:t>
      </w:r>
      <w:r w:rsidRPr="00BB0B6F">
        <w:rPr>
          <w:rFonts w:ascii="Arial" w:hAnsi="Arial" w:cs="Arial"/>
          <w:color w:val="222222"/>
          <w:shd w:val="clear" w:color="auto" w:fill="FFFFFF"/>
        </w:rPr>
        <w:t>, </w:t>
      </w:r>
      <w:r w:rsidRPr="00BB0B6F">
        <w:rPr>
          <w:rFonts w:ascii="Arial" w:hAnsi="Arial" w:cs="Arial"/>
          <w:i/>
          <w:iCs/>
          <w:color w:val="222222"/>
          <w:shd w:val="clear" w:color="auto" w:fill="FFFFFF"/>
        </w:rPr>
        <w:t>15</w:t>
      </w:r>
      <w:r w:rsidRPr="00BB0B6F">
        <w:rPr>
          <w:rFonts w:ascii="Arial" w:hAnsi="Arial" w:cs="Arial"/>
          <w:color w:val="222222"/>
          <w:shd w:val="clear" w:color="auto" w:fill="FFFFFF"/>
        </w:rPr>
        <w:t>, p.173.</w:t>
      </w:r>
      <w:r w:rsidRPr="00BB0B6F">
        <w:rPr>
          <w:rFonts w:ascii="Arial" w:hAnsi="Arial" w:cs="Arial"/>
          <w:color w:val="222222"/>
          <w:shd w:val="clear" w:color="auto" w:fill="FFFFFF"/>
        </w:rPr>
        <w:t xml:space="preserve"> </w:t>
      </w:r>
    </w:p>
    <w:p w14:paraId="1563AC75"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Levin, K., Rich, D., Ross, K., Fransen, T. and Elliott, C., 2020. Designing and communicating net-zero targets.</w:t>
      </w:r>
      <w:r w:rsidRPr="00BB0B6F">
        <w:rPr>
          <w:rFonts w:ascii="Arial" w:hAnsi="Arial" w:cs="Arial"/>
          <w:color w:val="222222"/>
          <w:shd w:val="clear" w:color="auto" w:fill="FFFFFF"/>
        </w:rPr>
        <w:t xml:space="preserve"> </w:t>
      </w:r>
    </w:p>
    <w:p w14:paraId="2BDBAE9D"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Levin, K., Rich, D., Ross, K., Fransen, T. and Elliott, C., 2020. Designing and communicating net-zero targets.</w:t>
      </w:r>
      <w:r w:rsidRPr="00BB0B6F">
        <w:rPr>
          <w:rFonts w:ascii="Arial" w:hAnsi="Arial" w:cs="Arial"/>
          <w:color w:val="222222"/>
          <w:shd w:val="clear" w:color="auto" w:fill="FFFFFF"/>
        </w:rPr>
        <w:t xml:space="preserve"> </w:t>
      </w:r>
    </w:p>
    <w:p w14:paraId="25C69A06" w14:textId="77777777" w:rsidR="00BB0B6F" w:rsidRPr="00BB0B6F" w:rsidRDefault="00BB0B6F" w:rsidP="00BB0B6F">
      <w:pPr>
        <w:rPr>
          <w:rFonts w:ascii="Arial" w:hAnsi="Arial" w:cs="Arial"/>
        </w:rPr>
      </w:pPr>
      <w:r w:rsidRPr="00BB0B6F">
        <w:rPr>
          <w:rFonts w:ascii="Arial" w:hAnsi="Arial" w:cs="Arial"/>
          <w:color w:val="222222"/>
          <w:shd w:val="clear" w:color="auto" w:fill="FFFFFF"/>
        </w:rPr>
        <w:lastRenderedPageBreak/>
        <w:t>Milošević, I., Arsić, S. and Stojanović, A., 2023. Corporate Social Responsibility, Circular Economy and Sustainable Development: Business Changes and Implications in Project-Oriented Companies. In </w:t>
      </w:r>
      <w:r w:rsidRPr="00BB0B6F">
        <w:rPr>
          <w:rFonts w:ascii="Arial" w:hAnsi="Arial" w:cs="Arial"/>
          <w:i/>
          <w:iCs/>
          <w:color w:val="222222"/>
          <w:shd w:val="clear" w:color="auto" w:fill="FFFFFF"/>
        </w:rPr>
        <w:t>Sustainable Business Change: Project Management Toward Circular Economy</w:t>
      </w:r>
      <w:r w:rsidRPr="00BB0B6F">
        <w:rPr>
          <w:rFonts w:ascii="Arial" w:hAnsi="Arial" w:cs="Arial"/>
          <w:color w:val="222222"/>
          <w:shd w:val="clear" w:color="auto" w:fill="FFFFFF"/>
        </w:rPr>
        <w:t> (pp. 111-143). Cham: Springer International Publishing.</w:t>
      </w:r>
      <w:r w:rsidRPr="00BB0B6F">
        <w:rPr>
          <w:rFonts w:ascii="Arial" w:hAnsi="Arial" w:cs="Arial"/>
        </w:rPr>
        <w:t xml:space="preserve"> </w:t>
      </w:r>
    </w:p>
    <w:p w14:paraId="4F0F9B9D" w14:textId="77777777" w:rsidR="00BB0B6F" w:rsidRPr="00BB0B6F" w:rsidRDefault="00BB0B6F" w:rsidP="00BB0B6F">
      <w:pPr>
        <w:rPr>
          <w:rFonts w:ascii="Arial" w:hAnsi="Arial" w:cs="Arial"/>
        </w:rPr>
      </w:pPr>
      <w:r w:rsidRPr="00BB0B6F">
        <w:rPr>
          <w:rFonts w:ascii="Arial" w:hAnsi="Arial" w:cs="Arial"/>
        </w:rPr>
        <w:t>Morseletto, P., 2020. Targets for a circular economy. </w:t>
      </w:r>
      <w:r w:rsidRPr="00BB0B6F">
        <w:rPr>
          <w:rFonts w:ascii="Arial" w:hAnsi="Arial" w:cs="Arial"/>
          <w:i/>
          <w:iCs/>
        </w:rPr>
        <w:t>Resources, Conservation and Recycling</w:t>
      </w:r>
      <w:r w:rsidRPr="00BB0B6F">
        <w:rPr>
          <w:rFonts w:ascii="Arial" w:hAnsi="Arial" w:cs="Arial"/>
        </w:rPr>
        <w:t>, </w:t>
      </w:r>
      <w:r w:rsidRPr="00BB0B6F">
        <w:rPr>
          <w:rFonts w:ascii="Arial" w:hAnsi="Arial" w:cs="Arial"/>
          <w:i/>
          <w:iCs/>
        </w:rPr>
        <w:t>153</w:t>
      </w:r>
      <w:r w:rsidRPr="00BB0B6F">
        <w:rPr>
          <w:rFonts w:ascii="Arial" w:hAnsi="Arial" w:cs="Arial"/>
        </w:rPr>
        <w:t>, p.104553.</w:t>
      </w:r>
    </w:p>
    <w:p w14:paraId="24D1C229" w14:textId="77777777" w:rsidR="00BB0B6F" w:rsidRPr="00BB0B6F" w:rsidRDefault="00BB0B6F" w:rsidP="00BB0B6F">
      <w:pPr>
        <w:rPr>
          <w:rFonts w:ascii="Arial" w:hAnsi="Arial" w:cs="Arial"/>
        </w:rPr>
      </w:pPr>
      <w:r w:rsidRPr="00BB0B6F">
        <w:rPr>
          <w:rFonts w:ascii="Arial" w:hAnsi="Arial" w:cs="Arial"/>
        </w:rPr>
        <w:t>Padilla-Rivera, A., Russo-Garrido, S. and Merveille, N., 2020. Addressing the social aspects of a circular economy: A systematic literature review. </w:t>
      </w:r>
      <w:r w:rsidRPr="00BB0B6F">
        <w:rPr>
          <w:rFonts w:ascii="Arial" w:hAnsi="Arial" w:cs="Arial"/>
          <w:i/>
          <w:iCs/>
        </w:rPr>
        <w:t>Sustainability</w:t>
      </w:r>
      <w:r w:rsidRPr="00BB0B6F">
        <w:rPr>
          <w:rFonts w:ascii="Arial" w:hAnsi="Arial" w:cs="Arial"/>
        </w:rPr>
        <w:t>, </w:t>
      </w:r>
      <w:r w:rsidRPr="00BB0B6F">
        <w:rPr>
          <w:rFonts w:ascii="Arial" w:hAnsi="Arial" w:cs="Arial"/>
          <w:i/>
          <w:iCs/>
        </w:rPr>
        <w:t>12</w:t>
      </w:r>
      <w:r w:rsidRPr="00BB0B6F">
        <w:rPr>
          <w:rFonts w:ascii="Arial" w:hAnsi="Arial" w:cs="Arial"/>
        </w:rPr>
        <w:t>(19), p.7912.</w:t>
      </w:r>
    </w:p>
    <w:p w14:paraId="1E12567E" w14:textId="77777777" w:rsidR="00BB0B6F" w:rsidRPr="00BB0B6F" w:rsidRDefault="00BB0B6F" w:rsidP="00BB0B6F">
      <w:pPr>
        <w:rPr>
          <w:rFonts w:ascii="Arial" w:hAnsi="Arial" w:cs="Arial"/>
          <w:color w:val="222222"/>
          <w:shd w:val="clear" w:color="auto" w:fill="FFFFFF"/>
        </w:rPr>
      </w:pPr>
      <w:r w:rsidRPr="00BB0B6F">
        <w:rPr>
          <w:rFonts w:ascii="Arial" w:hAnsi="Arial" w:cs="Arial"/>
          <w:color w:val="222222"/>
          <w:shd w:val="clear" w:color="auto" w:fill="FFFFFF"/>
        </w:rPr>
        <w:t>Tarricone, T., 2023. The Race Toward Carbon Neutral Ecotourism: Leveraging Life Cycle Analysis and Natural Climate Solutions for a Community Adventure Event.</w:t>
      </w:r>
      <w:r w:rsidRPr="00BB0B6F">
        <w:rPr>
          <w:rFonts w:ascii="Arial" w:hAnsi="Arial" w:cs="Arial"/>
          <w:color w:val="222222"/>
          <w:shd w:val="clear" w:color="auto" w:fill="FFFFFF"/>
        </w:rPr>
        <w:t xml:space="preserve"> </w:t>
      </w:r>
    </w:p>
    <w:p w14:paraId="408CF112" w14:textId="77777777" w:rsidR="00BB0B6F" w:rsidRPr="00BB0B6F" w:rsidRDefault="00BB0B6F" w:rsidP="00BB0B6F">
      <w:pPr>
        <w:rPr>
          <w:rFonts w:ascii="Arial" w:hAnsi="Arial" w:cs="Arial"/>
        </w:rPr>
      </w:pPr>
      <w:r w:rsidRPr="00BB0B6F">
        <w:rPr>
          <w:rFonts w:ascii="Arial" w:hAnsi="Arial" w:cs="Arial"/>
        </w:rPr>
        <w:t>Velenturf, A.P. and Purnell, P., 2021. Principles for a sustainable circular economy. </w:t>
      </w:r>
      <w:r w:rsidRPr="00BB0B6F">
        <w:rPr>
          <w:rFonts w:ascii="Arial" w:hAnsi="Arial" w:cs="Arial"/>
          <w:i/>
          <w:iCs/>
        </w:rPr>
        <w:t>Sustainable Production and Consumption</w:t>
      </w:r>
      <w:r w:rsidRPr="00BB0B6F">
        <w:rPr>
          <w:rFonts w:ascii="Arial" w:hAnsi="Arial" w:cs="Arial"/>
        </w:rPr>
        <w:t>, </w:t>
      </w:r>
      <w:r w:rsidRPr="00BB0B6F">
        <w:rPr>
          <w:rFonts w:ascii="Arial" w:hAnsi="Arial" w:cs="Arial"/>
          <w:i/>
          <w:iCs/>
        </w:rPr>
        <w:t>27</w:t>
      </w:r>
      <w:r w:rsidRPr="00BB0B6F">
        <w:rPr>
          <w:rFonts w:ascii="Arial" w:hAnsi="Arial" w:cs="Arial"/>
        </w:rPr>
        <w:t>, pp.1437-1457.</w:t>
      </w:r>
    </w:p>
    <w:sectPr w:rsidR="00BB0B6F" w:rsidRPr="00BB0B6F" w:rsidSect="0035014C">
      <w:footerReference w:type="default" r:id="rId8"/>
      <w:pgSz w:w="11906" w:h="16838" w:code="9"/>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511059" w14:textId="77777777" w:rsidR="005E2E99" w:rsidRDefault="005E2E99" w:rsidP="00A44089">
      <w:r>
        <w:separator/>
      </w:r>
    </w:p>
  </w:endnote>
  <w:endnote w:type="continuationSeparator" w:id="0">
    <w:p w14:paraId="42E8F08D" w14:textId="77777777" w:rsidR="005E2E99" w:rsidRDefault="005E2E99" w:rsidP="00A440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89992787"/>
      <w:docPartObj>
        <w:docPartGallery w:val="Page Numbers (Bottom of Page)"/>
        <w:docPartUnique/>
      </w:docPartObj>
    </w:sdtPr>
    <w:sdtEndPr>
      <w:rPr>
        <w:noProof/>
      </w:rPr>
    </w:sdtEndPr>
    <w:sdtContent>
      <w:p w14:paraId="6BB9D05D" w14:textId="75326580" w:rsidR="00AF01F7" w:rsidRDefault="00AF01F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DA31E36" w14:textId="2D9C9982" w:rsidR="00AB73E8" w:rsidRDefault="00AB73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53405E" w14:textId="77777777" w:rsidR="005E2E99" w:rsidRDefault="005E2E99" w:rsidP="00A44089">
      <w:r>
        <w:separator/>
      </w:r>
    </w:p>
  </w:footnote>
  <w:footnote w:type="continuationSeparator" w:id="0">
    <w:p w14:paraId="4B8E1200" w14:textId="77777777" w:rsidR="005E2E99" w:rsidRDefault="005E2E99" w:rsidP="00A4408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132" type="#_x0000_t75" style="width:169.2pt;height:169.2pt" o:bullet="t">
        <v:imagedata r:id="rId1" o:title="3"/>
      </v:shape>
    </w:pict>
  </w:numPicBullet>
  <w:abstractNum w:abstractNumId="0" w15:restartNumberingAfterBreak="0">
    <w:nsid w:val="01CF13DC"/>
    <w:multiLevelType w:val="hybridMultilevel"/>
    <w:tmpl w:val="6980E5FC"/>
    <w:lvl w:ilvl="0" w:tplc="F8383AD4">
      <w:start w:val="1"/>
      <w:numFmt w:val="bullet"/>
      <w:lvlText w:val=""/>
      <w:lvlPicBulletId w:val="0"/>
      <w:lvlJc w:val="left"/>
      <w:pPr>
        <w:ind w:left="720" w:hanging="360"/>
      </w:pPr>
      <w:rPr>
        <w:rFonts w:ascii="Symbol" w:hAnsi="Symbol"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2C1E63"/>
    <w:multiLevelType w:val="hybridMultilevel"/>
    <w:tmpl w:val="0A46836E"/>
    <w:lvl w:ilvl="0" w:tplc="04090015">
      <w:start w:val="1"/>
      <w:numFmt w:val="upperLetter"/>
      <w:lvlText w:val="%1."/>
      <w:lvlJc w:val="left"/>
      <w:pPr>
        <w:ind w:left="360" w:hanging="360"/>
      </w:pPr>
      <w:rPr>
        <w:rFonts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15:restartNumberingAfterBreak="0">
    <w:nsid w:val="08974BF9"/>
    <w:multiLevelType w:val="hybridMultilevel"/>
    <w:tmpl w:val="AE22FD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BE39BF"/>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AEB14C0"/>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665643F"/>
    <w:multiLevelType w:val="hybridMultilevel"/>
    <w:tmpl w:val="1092302E"/>
    <w:lvl w:ilvl="0" w:tplc="04090019">
      <w:start w:val="1"/>
      <w:numFmt w:val="lowerLetter"/>
      <w:lvlText w:val="%1."/>
      <w:lvlJc w:val="left"/>
      <w:pPr>
        <w:ind w:left="720" w:hanging="360"/>
      </w:pPr>
      <w:rPr>
        <w:rFonts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8F6C22"/>
    <w:multiLevelType w:val="hybridMultilevel"/>
    <w:tmpl w:val="3D6CE1E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F3C7264"/>
    <w:multiLevelType w:val="hybridMultilevel"/>
    <w:tmpl w:val="79D2DA4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2B6B7065"/>
    <w:multiLevelType w:val="hybridMultilevel"/>
    <w:tmpl w:val="2DC4FD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2C330F2"/>
    <w:multiLevelType w:val="hybridMultilevel"/>
    <w:tmpl w:val="D2769760"/>
    <w:lvl w:ilvl="0" w:tplc="E09E9C16">
      <w:start w:val="1"/>
      <w:numFmt w:val="decimal"/>
      <w:lvlText w:val="%1."/>
      <w:lvlJc w:val="left"/>
      <w:pPr>
        <w:ind w:left="360" w:hanging="360"/>
      </w:pPr>
      <w:rPr>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3ACB3418"/>
    <w:multiLevelType w:val="hybridMultilevel"/>
    <w:tmpl w:val="73804E68"/>
    <w:lvl w:ilvl="0" w:tplc="04090019">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F001A24"/>
    <w:multiLevelType w:val="hybridMultilevel"/>
    <w:tmpl w:val="FFECCEF8"/>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41C86240"/>
    <w:multiLevelType w:val="hybridMultilevel"/>
    <w:tmpl w:val="0234C976"/>
    <w:lvl w:ilvl="0" w:tplc="04090015">
      <w:start w:val="1"/>
      <w:numFmt w:val="upp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3" w15:restartNumberingAfterBreak="0">
    <w:nsid w:val="41E23F9F"/>
    <w:multiLevelType w:val="hybridMultilevel"/>
    <w:tmpl w:val="FD122C80"/>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46254D01"/>
    <w:multiLevelType w:val="hybridMultilevel"/>
    <w:tmpl w:val="B5868CE8"/>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46FA30EB"/>
    <w:multiLevelType w:val="hybridMultilevel"/>
    <w:tmpl w:val="C3F4050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D7F3A9B"/>
    <w:multiLevelType w:val="hybridMultilevel"/>
    <w:tmpl w:val="086C860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7" w15:restartNumberingAfterBreak="0">
    <w:nsid w:val="4E4A4019"/>
    <w:multiLevelType w:val="hybridMultilevel"/>
    <w:tmpl w:val="8D3A89B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66E76F4"/>
    <w:multiLevelType w:val="hybridMultilevel"/>
    <w:tmpl w:val="B6AA100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9" w15:restartNumberingAfterBreak="0">
    <w:nsid w:val="59FC5756"/>
    <w:multiLevelType w:val="hybridMultilevel"/>
    <w:tmpl w:val="7C5A077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0" w15:restartNumberingAfterBreak="0">
    <w:nsid w:val="5FBA1F0C"/>
    <w:multiLevelType w:val="hybridMultilevel"/>
    <w:tmpl w:val="97529656"/>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64600DEF"/>
    <w:multiLevelType w:val="hybridMultilevel"/>
    <w:tmpl w:val="99C24060"/>
    <w:lvl w:ilvl="0" w:tplc="F8383AD4">
      <w:start w:val="1"/>
      <w:numFmt w:val="bullet"/>
      <w:lvlText w:val=""/>
      <w:lvlPicBulletId w:val="0"/>
      <w:lvlJc w:val="left"/>
      <w:pPr>
        <w:ind w:left="360" w:hanging="360"/>
      </w:pPr>
      <w:rPr>
        <w:rFonts w:ascii="Symbol" w:hAnsi="Symbol" w:hint="default"/>
        <w:color w:val="auto"/>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6A1C02A9"/>
    <w:multiLevelType w:val="hybridMultilevel"/>
    <w:tmpl w:val="5D9473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B282A48"/>
    <w:multiLevelType w:val="hybridMultilevel"/>
    <w:tmpl w:val="7054B70E"/>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6CFE20F8"/>
    <w:multiLevelType w:val="hybridMultilevel"/>
    <w:tmpl w:val="1B340BD6"/>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70647AAE"/>
    <w:multiLevelType w:val="hybridMultilevel"/>
    <w:tmpl w:val="4A68F71C"/>
    <w:lvl w:ilvl="0" w:tplc="F8383AD4">
      <w:start w:val="1"/>
      <w:numFmt w:val="bullet"/>
      <w:lvlText w:val=""/>
      <w:lvlPicBulletId w:val="0"/>
      <w:lvlJc w:val="left"/>
      <w:pPr>
        <w:ind w:left="360" w:hanging="360"/>
      </w:pPr>
      <w:rPr>
        <w:rFonts w:ascii="Symbol" w:hAnsi="Symbol" w:hint="default"/>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15:restartNumberingAfterBreak="0">
    <w:nsid w:val="713C553F"/>
    <w:multiLevelType w:val="hybridMultilevel"/>
    <w:tmpl w:val="CE6CC382"/>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7" w15:restartNumberingAfterBreak="0">
    <w:nsid w:val="71F223CE"/>
    <w:multiLevelType w:val="hybridMultilevel"/>
    <w:tmpl w:val="B028711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8" w15:restartNumberingAfterBreak="0">
    <w:nsid w:val="7B7C0AD4"/>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CBB5FD9"/>
    <w:multiLevelType w:val="hybridMultilevel"/>
    <w:tmpl w:val="4B324E8A"/>
    <w:lvl w:ilvl="0" w:tplc="6E760212">
      <w:start w:val="1"/>
      <w:numFmt w:val="decimal"/>
      <w:lvlText w:val="%1."/>
      <w:lvlJc w:val="left"/>
      <w:pPr>
        <w:ind w:left="720" w:hanging="360"/>
      </w:pPr>
      <w:rPr>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4"/>
  </w:num>
  <w:num w:numId="2">
    <w:abstractNumId w:val="28"/>
  </w:num>
  <w:num w:numId="3">
    <w:abstractNumId w:val="3"/>
  </w:num>
  <w:num w:numId="4">
    <w:abstractNumId w:val="29"/>
  </w:num>
  <w:num w:numId="5">
    <w:abstractNumId w:val="9"/>
  </w:num>
  <w:num w:numId="6">
    <w:abstractNumId w:val="14"/>
  </w:num>
  <w:num w:numId="7">
    <w:abstractNumId w:val="13"/>
  </w:num>
  <w:num w:numId="8">
    <w:abstractNumId w:val="0"/>
  </w:num>
  <w:num w:numId="9">
    <w:abstractNumId w:val="26"/>
  </w:num>
  <w:num w:numId="10">
    <w:abstractNumId w:val="17"/>
  </w:num>
  <w:num w:numId="11">
    <w:abstractNumId w:val="20"/>
  </w:num>
  <w:num w:numId="12">
    <w:abstractNumId w:val="10"/>
  </w:num>
  <w:num w:numId="13">
    <w:abstractNumId w:val="19"/>
  </w:num>
  <w:num w:numId="14">
    <w:abstractNumId w:val="16"/>
  </w:num>
  <w:num w:numId="15">
    <w:abstractNumId w:val="5"/>
  </w:num>
  <w:num w:numId="16">
    <w:abstractNumId w:val="1"/>
  </w:num>
  <w:num w:numId="17">
    <w:abstractNumId w:val="12"/>
  </w:num>
  <w:num w:numId="18">
    <w:abstractNumId w:val="7"/>
  </w:num>
  <w:num w:numId="19">
    <w:abstractNumId w:val="23"/>
  </w:num>
  <w:num w:numId="20">
    <w:abstractNumId w:val="24"/>
  </w:num>
  <w:num w:numId="21">
    <w:abstractNumId w:val="25"/>
  </w:num>
  <w:num w:numId="22">
    <w:abstractNumId w:val="6"/>
  </w:num>
  <w:num w:numId="23">
    <w:abstractNumId w:val="21"/>
  </w:num>
  <w:num w:numId="24">
    <w:abstractNumId w:val="11"/>
  </w:num>
  <w:num w:numId="25">
    <w:abstractNumId w:val="18"/>
  </w:num>
  <w:num w:numId="26">
    <w:abstractNumId w:val="2"/>
  </w:num>
  <w:num w:numId="27">
    <w:abstractNumId w:val="22"/>
  </w:num>
  <w:num w:numId="28">
    <w:abstractNumId w:val="8"/>
  </w:num>
  <w:num w:numId="29">
    <w:abstractNumId w:val="15"/>
  </w:num>
  <w:num w:numId="30">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2C0B"/>
    <w:rsid w:val="00010209"/>
    <w:rsid w:val="000226C5"/>
    <w:rsid w:val="000265F9"/>
    <w:rsid w:val="00030061"/>
    <w:rsid w:val="00055798"/>
    <w:rsid w:val="00073E45"/>
    <w:rsid w:val="000D6484"/>
    <w:rsid w:val="000D6B41"/>
    <w:rsid w:val="000E1B41"/>
    <w:rsid w:val="000E7372"/>
    <w:rsid w:val="001133CF"/>
    <w:rsid w:val="00116391"/>
    <w:rsid w:val="00117ECE"/>
    <w:rsid w:val="00151D81"/>
    <w:rsid w:val="0015213D"/>
    <w:rsid w:val="00192397"/>
    <w:rsid w:val="001C0C62"/>
    <w:rsid w:val="002426EE"/>
    <w:rsid w:val="002460C4"/>
    <w:rsid w:val="002667A1"/>
    <w:rsid w:val="00276CB7"/>
    <w:rsid w:val="00281F74"/>
    <w:rsid w:val="002B18BC"/>
    <w:rsid w:val="002B66C8"/>
    <w:rsid w:val="002F73FA"/>
    <w:rsid w:val="00306A77"/>
    <w:rsid w:val="00314D70"/>
    <w:rsid w:val="0032007C"/>
    <w:rsid w:val="003428B7"/>
    <w:rsid w:val="0035014C"/>
    <w:rsid w:val="0036332E"/>
    <w:rsid w:val="003725E0"/>
    <w:rsid w:val="003971BA"/>
    <w:rsid w:val="003A1F71"/>
    <w:rsid w:val="003B2C0B"/>
    <w:rsid w:val="003D5827"/>
    <w:rsid w:val="003D58D4"/>
    <w:rsid w:val="003F37CA"/>
    <w:rsid w:val="003F3D7B"/>
    <w:rsid w:val="003F3DCC"/>
    <w:rsid w:val="00412207"/>
    <w:rsid w:val="00417B9F"/>
    <w:rsid w:val="00417E35"/>
    <w:rsid w:val="0045216B"/>
    <w:rsid w:val="00457AA6"/>
    <w:rsid w:val="00477A16"/>
    <w:rsid w:val="00494E38"/>
    <w:rsid w:val="004E0C92"/>
    <w:rsid w:val="0050056B"/>
    <w:rsid w:val="0050478E"/>
    <w:rsid w:val="0050759F"/>
    <w:rsid w:val="00510867"/>
    <w:rsid w:val="005176BA"/>
    <w:rsid w:val="00527F7F"/>
    <w:rsid w:val="00543801"/>
    <w:rsid w:val="00560E47"/>
    <w:rsid w:val="00561413"/>
    <w:rsid w:val="005619C0"/>
    <w:rsid w:val="00563DDA"/>
    <w:rsid w:val="005733DA"/>
    <w:rsid w:val="00585ED9"/>
    <w:rsid w:val="005B4718"/>
    <w:rsid w:val="005B4CAA"/>
    <w:rsid w:val="005C3616"/>
    <w:rsid w:val="005C623A"/>
    <w:rsid w:val="005E2E99"/>
    <w:rsid w:val="005E45BD"/>
    <w:rsid w:val="005F191C"/>
    <w:rsid w:val="00623054"/>
    <w:rsid w:val="006645FE"/>
    <w:rsid w:val="006647CF"/>
    <w:rsid w:val="00670837"/>
    <w:rsid w:val="006828C9"/>
    <w:rsid w:val="0068568C"/>
    <w:rsid w:val="00692C51"/>
    <w:rsid w:val="006A0E90"/>
    <w:rsid w:val="006A6E23"/>
    <w:rsid w:val="006D242F"/>
    <w:rsid w:val="00703375"/>
    <w:rsid w:val="007151BC"/>
    <w:rsid w:val="0073298C"/>
    <w:rsid w:val="00732E6E"/>
    <w:rsid w:val="0073416E"/>
    <w:rsid w:val="007404C1"/>
    <w:rsid w:val="00744F30"/>
    <w:rsid w:val="00752231"/>
    <w:rsid w:val="007535D8"/>
    <w:rsid w:val="0076299D"/>
    <w:rsid w:val="00763763"/>
    <w:rsid w:val="007845BA"/>
    <w:rsid w:val="00790E64"/>
    <w:rsid w:val="00794F89"/>
    <w:rsid w:val="007C7C90"/>
    <w:rsid w:val="007D34F0"/>
    <w:rsid w:val="008212D3"/>
    <w:rsid w:val="008213C4"/>
    <w:rsid w:val="00835EFE"/>
    <w:rsid w:val="00843CAF"/>
    <w:rsid w:val="008613EF"/>
    <w:rsid w:val="00873207"/>
    <w:rsid w:val="008A01C2"/>
    <w:rsid w:val="008C3B45"/>
    <w:rsid w:val="008C7A0C"/>
    <w:rsid w:val="008D7AA7"/>
    <w:rsid w:val="008D7FB4"/>
    <w:rsid w:val="00912C13"/>
    <w:rsid w:val="00917818"/>
    <w:rsid w:val="0095249D"/>
    <w:rsid w:val="0095390A"/>
    <w:rsid w:val="009609FC"/>
    <w:rsid w:val="00976934"/>
    <w:rsid w:val="00995809"/>
    <w:rsid w:val="009A6018"/>
    <w:rsid w:val="009B6F61"/>
    <w:rsid w:val="009C0683"/>
    <w:rsid w:val="009D655A"/>
    <w:rsid w:val="009E2932"/>
    <w:rsid w:val="009E53D6"/>
    <w:rsid w:val="00A038A9"/>
    <w:rsid w:val="00A32736"/>
    <w:rsid w:val="00A33163"/>
    <w:rsid w:val="00A44089"/>
    <w:rsid w:val="00AB0472"/>
    <w:rsid w:val="00AB73E8"/>
    <w:rsid w:val="00AB7721"/>
    <w:rsid w:val="00AD1021"/>
    <w:rsid w:val="00AE231A"/>
    <w:rsid w:val="00AF01F7"/>
    <w:rsid w:val="00B10134"/>
    <w:rsid w:val="00B47323"/>
    <w:rsid w:val="00B47B1B"/>
    <w:rsid w:val="00B76F92"/>
    <w:rsid w:val="00B90176"/>
    <w:rsid w:val="00B93588"/>
    <w:rsid w:val="00BA65E2"/>
    <w:rsid w:val="00BB0B6F"/>
    <w:rsid w:val="00BB4910"/>
    <w:rsid w:val="00BB72E3"/>
    <w:rsid w:val="00BD0324"/>
    <w:rsid w:val="00C122F8"/>
    <w:rsid w:val="00C128FA"/>
    <w:rsid w:val="00C1744B"/>
    <w:rsid w:val="00C24C05"/>
    <w:rsid w:val="00C264D5"/>
    <w:rsid w:val="00C46B75"/>
    <w:rsid w:val="00C52707"/>
    <w:rsid w:val="00C60B72"/>
    <w:rsid w:val="00C73E21"/>
    <w:rsid w:val="00C9212C"/>
    <w:rsid w:val="00CA0EF0"/>
    <w:rsid w:val="00CB1228"/>
    <w:rsid w:val="00CE3BEF"/>
    <w:rsid w:val="00CE503B"/>
    <w:rsid w:val="00CF3BA4"/>
    <w:rsid w:val="00D07020"/>
    <w:rsid w:val="00D13766"/>
    <w:rsid w:val="00D15918"/>
    <w:rsid w:val="00D240A8"/>
    <w:rsid w:val="00D33BC5"/>
    <w:rsid w:val="00D4657C"/>
    <w:rsid w:val="00DA56A5"/>
    <w:rsid w:val="00DD0C9F"/>
    <w:rsid w:val="00E04FE7"/>
    <w:rsid w:val="00E10FE2"/>
    <w:rsid w:val="00E313F4"/>
    <w:rsid w:val="00E316EA"/>
    <w:rsid w:val="00E358C2"/>
    <w:rsid w:val="00E3684A"/>
    <w:rsid w:val="00E43594"/>
    <w:rsid w:val="00E55AAF"/>
    <w:rsid w:val="00E71166"/>
    <w:rsid w:val="00E72355"/>
    <w:rsid w:val="00E877B4"/>
    <w:rsid w:val="00F05BCC"/>
    <w:rsid w:val="00F324A6"/>
    <w:rsid w:val="00F33A51"/>
    <w:rsid w:val="00F350F3"/>
    <w:rsid w:val="00F441DD"/>
    <w:rsid w:val="00F54008"/>
    <w:rsid w:val="00FB265F"/>
    <w:rsid w:val="00FC1787"/>
    <w:rsid w:val="00FE45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23EC45"/>
  <w15:chartTrackingRefBased/>
  <w15:docId w15:val="{4D561D07-CF04-40E7-951C-B2CBD0B62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7"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4"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3684A"/>
    <w:pPr>
      <w:spacing w:after="0" w:line="360" w:lineRule="auto"/>
      <w:jc w:val="both"/>
    </w:pPr>
    <w:rPr>
      <w:rFonts w:ascii="Times New Roman" w:hAnsi="Times New Roman"/>
      <w:sz w:val="24"/>
      <w:szCs w:val="24"/>
      <w:lang w:val="en-GB"/>
    </w:rPr>
  </w:style>
  <w:style w:type="paragraph" w:styleId="Heading1">
    <w:name w:val="heading 1"/>
    <w:basedOn w:val="Normal"/>
    <w:next w:val="Normal"/>
    <w:link w:val="Heading1Char"/>
    <w:uiPriority w:val="9"/>
    <w:qFormat/>
    <w:rsid w:val="00116391"/>
    <w:pPr>
      <w:keepNext/>
      <w:keepLines/>
      <w:spacing w:before="240"/>
      <w:outlineLvl w:val="0"/>
    </w:pPr>
    <w:rPr>
      <w:rFonts w:eastAsiaTheme="majorEastAsia" w:cstheme="majorBidi"/>
      <w:b/>
      <w:color w:val="1F3864" w:themeColor="accent1" w:themeShade="80"/>
      <w:sz w:val="28"/>
      <w:szCs w:val="32"/>
    </w:rPr>
  </w:style>
  <w:style w:type="paragraph" w:styleId="Heading2">
    <w:name w:val="heading 2"/>
    <w:basedOn w:val="Normal"/>
    <w:next w:val="Normal"/>
    <w:link w:val="Heading2Char"/>
    <w:uiPriority w:val="9"/>
    <w:unhideWhenUsed/>
    <w:qFormat/>
    <w:rsid w:val="009B6F61"/>
    <w:pPr>
      <w:keepNext/>
      <w:keepLines/>
      <w:spacing w:before="40"/>
      <w:outlineLvl w:val="1"/>
    </w:pPr>
    <w:rPr>
      <w:rFonts w:eastAsiaTheme="majorEastAsia" w:cstheme="majorBidi"/>
      <w:b/>
      <w:color w:val="385623" w:themeColor="accent6" w:themeShade="80"/>
      <w:sz w:val="28"/>
      <w:szCs w:val="26"/>
    </w:rPr>
  </w:style>
  <w:style w:type="paragraph" w:styleId="Heading3">
    <w:name w:val="heading 3"/>
    <w:basedOn w:val="Normal"/>
    <w:next w:val="Normal"/>
    <w:link w:val="Heading3Char"/>
    <w:uiPriority w:val="9"/>
    <w:unhideWhenUsed/>
    <w:qFormat/>
    <w:rsid w:val="009B6F61"/>
    <w:pPr>
      <w:keepNext/>
      <w:keepLines/>
      <w:spacing w:before="40"/>
      <w:outlineLvl w:val="2"/>
    </w:pPr>
    <w:rPr>
      <w:rFonts w:eastAsiaTheme="majorEastAsia" w:cstheme="majorBidi"/>
      <w:b/>
      <w:color w:val="2E74B5" w:themeColor="accent5" w:themeShade="BF"/>
    </w:rPr>
  </w:style>
  <w:style w:type="paragraph" w:styleId="Heading5">
    <w:name w:val="heading 5"/>
    <w:basedOn w:val="Normal"/>
    <w:next w:val="Normal"/>
    <w:link w:val="Heading5Char"/>
    <w:uiPriority w:val="4"/>
    <w:qFormat/>
    <w:rsid w:val="003B2C0B"/>
    <w:pPr>
      <w:keepNext/>
      <w:keepLines/>
      <w:spacing w:after="240"/>
      <w:outlineLvl w:val="4"/>
    </w:pPr>
    <w:rPr>
      <w:rFonts w:asciiTheme="majorHAnsi" w:eastAsiaTheme="majorEastAsia" w:hAnsiTheme="majorHAnsi" w:cstheme="majorBidi"/>
      <w:b/>
      <w:color w:val="4472C4" w:themeColor="accent1"/>
      <w:sz w:val="72"/>
    </w:rPr>
  </w:style>
  <w:style w:type="paragraph" w:styleId="Heading6">
    <w:name w:val="heading 6"/>
    <w:basedOn w:val="Normal"/>
    <w:next w:val="Normal"/>
    <w:link w:val="Heading6Char"/>
    <w:uiPriority w:val="9"/>
    <w:semiHidden/>
    <w:unhideWhenUsed/>
    <w:qFormat/>
    <w:rsid w:val="006A6E23"/>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4"/>
    <w:rsid w:val="003B2C0B"/>
    <w:rPr>
      <w:rFonts w:asciiTheme="majorHAnsi" w:eastAsiaTheme="majorEastAsia" w:hAnsiTheme="majorHAnsi" w:cstheme="majorBidi"/>
      <w:b/>
      <w:color w:val="4472C4" w:themeColor="accent1"/>
      <w:sz w:val="72"/>
      <w:szCs w:val="24"/>
    </w:rPr>
  </w:style>
  <w:style w:type="table" w:styleId="TableGrid">
    <w:name w:val="Table Grid"/>
    <w:basedOn w:val="TableNormal"/>
    <w:uiPriority w:val="59"/>
    <w:rsid w:val="003B2C0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raphicAnchor">
    <w:name w:val="Graphic Anchor"/>
    <w:basedOn w:val="Normal"/>
    <w:uiPriority w:val="8"/>
    <w:qFormat/>
    <w:rsid w:val="003B2C0B"/>
    <w:rPr>
      <w:noProof/>
      <w:sz w:val="10"/>
    </w:rPr>
  </w:style>
  <w:style w:type="paragraph" w:styleId="ListParagraph">
    <w:name w:val="List Paragraph"/>
    <w:basedOn w:val="Normal"/>
    <w:uiPriority w:val="34"/>
    <w:qFormat/>
    <w:rsid w:val="003B2C0B"/>
    <w:pPr>
      <w:ind w:left="720"/>
      <w:contextualSpacing/>
    </w:pPr>
  </w:style>
  <w:style w:type="table" w:styleId="GridTable4-Accent3">
    <w:name w:val="Grid Table 4 Accent 3"/>
    <w:basedOn w:val="TableNormal"/>
    <w:uiPriority w:val="49"/>
    <w:rsid w:val="0050056B"/>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
    <w:name w:val="Grid Table 4"/>
    <w:basedOn w:val="TableNormal"/>
    <w:uiPriority w:val="49"/>
    <w:rsid w:val="0050056B"/>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5Dark-Accent3">
    <w:name w:val="Grid Table 5 Dark Accent 3"/>
    <w:basedOn w:val="TableNormal"/>
    <w:uiPriority w:val="50"/>
    <w:rsid w:val="0050056B"/>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paragraph" w:styleId="Header">
    <w:name w:val="header"/>
    <w:basedOn w:val="Normal"/>
    <w:link w:val="HeaderChar"/>
    <w:uiPriority w:val="99"/>
    <w:unhideWhenUsed/>
    <w:rsid w:val="00A44089"/>
    <w:pPr>
      <w:tabs>
        <w:tab w:val="center" w:pos="4680"/>
        <w:tab w:val="right" w:pos="9360"/>
      </w:tabs>
    </w:pPr>
  </w:style>
  <w:style w:type="character" w:customStyle="1" w:styleId="HeaderChar">
    <w:name w:val="Header Char"/>
    <w:basedOn w:val="DefaultParagraphFont"/>
    <w:link w:val="Header"/>
    <w:uiPriority w:val="99"/>
    <w:rsid w:val="00A44089"/>
    <w:rPr>
      <w:sz w:val="28"/>
      <w:szCs w:val="24"/>
    </w:rPr>
  </w:style>
  <w:style w:type="paragraph" w:styleId="Footer">
    <w:name w:val="footer"/>
    <w:basedOn w:val="Normal"/>
    <w:link w:val="FooterChar"/>
    <w:uiPriority w:val="99"/>
    <w:unhideWhenUsed/>
    <w:rsid w:val="00A44089"/>
    <w:pPr>
      <w:tabs>
        <w:tab w:val="center" w:pos="4680"/>
        <w:tab w:val="right" w:pos="9360"/>
      </w:tabs>
    </w:pPr>
  </w:style>
  <w:style w:type="character" w:customStyle="1" w:styleId="FooterChar">
    <w:name w:val="Footer Char"/>
    <w:basedOn w:val="DefaultParagraphFont"/>
    <w:link w:val="Footer"/>
    <w:uiPriority w:val="99"/>
    <w:rsid w:val="00A44089"/>
    <w:rPr>
      <w:sz w:val="28"/>
      <w:szCs w:val="24"/>
    </w:rPr>
  </w:style>
  <w:style w:type="character" w:styleId="Hyperlink">
    <w:name w:val="Hyperlink"/>
    <w:basedOn w:val="DefaultParagraphFont"/>
    <w:uiPriority w:val="99"/>
    <w:unhideWhenUsed/>
    <w:rsid w:val="00030061"/>
    <w:rPr>
      <w:color w:val="0000FF"/>
      <w:u w:val="single"/>
    </w:rPr>
  </w:style>
  <w:style w:type="paragraph" w:styleId="TOC1">
    <w:name w:val="toc 1"/>
    <w:basedOn w:val="Normal"/>
    <w:next w:val="Normal"/>
    <w:autoRedefine/>
    <w:uiPriority w:val="39"/>
    <w:unhideWhenUsed/>
    <w:rsid w:val="00030061"/>
    <w:pPr>
      <w:spacing w:after="100" w:line="276" w:lineRule="auto"/>
    </w:pPr>
    <w:rPr>
      <w:sz w:val="22"/>
      <w:szCs w:val="22"/>
    </w:rPr>
  </w:style>
  <w:style w:type="paragraph" w:styleId="TOC2">
    <w:name w:val="toc 2"/>
    <w:basedOn w:val="Normal"/>
    <w:next w:val="Normal"/>
    <w:autoRedefine/>
    <w:uiPriority w:val="39"/>
    <w:unhideWhenUsed/>
    <w:rsid w:val="00030061"/>
    <w:pPr>
      <w:spacing w:after="100" w:line="276" w:lineRule="auto"/>
      <w:ind w:left="220"/>
    </w:pPr>
    <w:rPr>
      <w:sz w:val="22"/>
      <w:szCs w:val="22"/>
    </w:rPr>
  </w:style>
  <w:style w:type="character" w:customStyle="1" w:styleId="Heading1Char">
    <w:name w:val="Heading 1 Char"/>
    <w:basedOn w:val="DefaultParagraphFont"/>
    <w:link w:val="Heading1"/>
    <w:uiPriority w:val="9"/>
    <w:rsid w:val="00116391"/>
    <w:rPr>
      <w:rFonts w:ascii="Times New Roman" w:eastAsiaTheme="majorEastAsia" w:hAnsi="Times New Roman" w:cstheme="majorBidi"/>
      <w:b/>
      <w:color w:val="1F3864" w:themeColor="accent1" w:themeShade="80"/>
      <w:sz w:val="28"/>
      <w:szCs w:val="32"/>
    </w:rPr>
  </w:style>
  <w:style w:type="paragraph" w:styleId="TOCHeading">
    <w:name w:val="TOC Heading"/>
    <w:basedOn w:val="Heading1"/>
    <w:next w:val="Normal"/>
    <w:uiPriority w:val="39"/>
    <w:unhideWhenUsed/>
    <w:qFormat/>
    <w:rsid w:val="00030061"/>
    <w:pPr>
      <w:spacing w:before="480" w:line="276" w:lineRule="auto"/>
      <w:outlineLvl w:val="9"/>
    </w:pPr>
    <w:rPr>
      <w:b w:val="0"/>
      <w:bCs/>
      <w:szCs w:val="28"/>
      <w:lang w:eastAsia="ja-JP"/>
    </w:rPr>
  </w:style>
  <w:style w:type="character" w:customStyle="1" w:styleId="Heading2Char">
    <w:name w:val="Heading 2 Char"/>
    <w:basedOn w:val="DefaultParagraphFont"/>
    <w:link w:val="Heading2"/>
    <w:uiPriority w:val="9"/>
    <w:rsid w:val="009B6F61"/>
    <w:rPr>
      <w:rFonts w:ascii="Times New Roman" w:eastAsiaTheme="majorEastAsia" w:hAnsi="Times New Roman" w:cstheme="majorBidi"/>
      <w:b/>
      <w:color w:val="385623" w:themeColor="accent6" w:themeShade="80"/>
      <w:sz w:val="28"/>
      <w:szCs w:val="26"/>
    </w:rPr>
  </w:style>
  <w:style w:type="character" w:customStyle="1" w:styleId="Heading3Char">
    <w:name w:val="Heading 3 Char"/>
    <w:basedOn w:val="DefaultParagraphFont"/>
    <w:link w:val="Heading3"/>
    <w:uiPriority w:val="9"/>
    <w:rsid w:val="009B6F61"/>
    <w:rPr>
      <w:rFonts w:ascii="Times New Roman" w:eastAsiaTheme="majorEastAsia" w:hAnsi="Times New Roman" w:cstheme="majorBidi"/>
      <w:b/>
      <w:color w:val="2E74B5" w:themeColor="accent5" w:themeShade="BF"/>
      <w:sz w:val="24"/>
      <w:szCs w:val="24"/>
    </w:rPr>
  </w:style>
  <w:style w:type="character" w:customStyle="1" w:styleId="Heading6Char">
    <w:name w:val="Heading 6 Char"/>
    <w:basedOn w:val="DefaultParagraphFont"/>
    <w:link w:val="Heading6"/>
    <w:uiPriority w:val="9"/>
    <w:semiHidden/>
    <w:rsid w:val="006A6E23"/>
    <w:rPr>
      <w:rFonts w:asciiTheme="majorHAnsi" w:eastAsiaTheme="majorEastAsia" w:hAnsiTheme="majorHAnsi" w:cstheme="majorBidi"/>
      <w:color w:val="1F3763" w:themeColor="accent1" w:themeShade="7F"/>
      <w:sz w:val="28"/>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539910">
      <w:bodyDiv w:val="1"/>
      <w:marLeft w:val="0"/>
      <w:marRight w:val="0"/>
      <w:marTop w:val="0"/>
      <w:marBottom w:val="0"/>
      <w:divBdr>
        <w:top w:val="none" w:sz="0" w:space="0" w:color="auto"/>
        <w:left w:val="none" w:sz="0" w:space="0" w:color="auto"/>
        <w:bottom w:val="none" w:sz="0" w:space="0" w:color="auto"/>
        <w:right w:val="none" w:sz="0" w:space="0" w:color="auto"/>
      </w:divBdr>
    </w:div>
    <w:div w:id="267392900">
      <w:bodyDiv w:val="1"/>
      <w:marLeft w:val="0"/>
      <w:marRight w:val="0"/>
      <w:marTop w:val="0"/>
      <w:marBottom w:val="0"/>
      <w:divBdr>
        <w:top w:val="none" w:sz="0" w:space="0" w:color="auto"/>
        <w:left w:val="none" w:sz="0" w:space="0" w:color="auto"/>
        <w:bottom w:val="none" w:sz="0" w:space="0" w:color="auto"/>
        <w:right w:val="none" w:sz="0" w:space="0" w:color="auto"/>
      </w:divBdr>
    </w:div>
    <w:div w:id="358118081">
      <w:bodyDiv w:val="1"/>
      <w:marLeft w:val="0"/>
      <w:marRight w:val="0"/>
      <w:marTop w:val="0"/>
      <w:marBottom w:val="0"/>
      <w:divBdr>
        <w:top w:val="none" w:sz="0" w:space="0" w:color="auto"/>
        <w:left w:val="none" w:sz="0" w:space="0" w:color="auto"/>
        <w:bottom w:val="none" w:sz="0" w:space="0" w:color="auto"/>
        <w:right w:val="none" w:sz="0" w:space="0" w:color="auto"/>
      </w:divBdr>
    </w:div>
    <w:div w:id="377248077">
      <w:bodyDiv w:val="1"/>
      <w:marLeft w:val="0"/>
      <w:marRight w:val="0"/>
      <w:marTop w:val="0"/>
      <w:marBottom w:val="0"/>
      <w:divBdr>
        <w:top w:val="none" w:sz="0" w:space="0" w:color="auto"/>
        <w:left w:val="none" w:sz="0" w:space="0" w:color="auto"/>
        <w:bottom w:val="none" w:sz="0" w:space="0" w:color="auto"/>
        <w:right w:val="none" w:sz="0" w:space="0" w:color="auto"/>
      </w:divBdr>
    </w:div>
    <w:div w:id="701825903">
      <w:bodyDiv w:val="1"/>
      <w:marLeft w:val="0"/>
      <w:marRight w:val="0"/>
      <w:marTop w:val="0"/>
      <w:marBottom w:val="0"/>
      <w:divBdr>
        <w:top w:val="none" w:sz="0" w:space="0" w:color="auto"/>
        <w:left w:val="none" w:sz="0" w:space="0" w:color="auto"/>
        <w:bottom w:val="none" w:sz="0" w:space="0" w:color="auto"/>
        <w:right w:val="none" w:sz="0" w:space="0" w:color="auto"/>
      </w:divBdr>
    </w:div>
    <w:div w:id="814488291">
      <w:bodyDiv w:val="1"/>
      <w:marLeft w:val="0"/>
      <w:marRight w:val="0"/>
      <w:marTop w:val="0"/>
      <w:marBottom w:val="0"/>
      <w:divBdr>
        <w:top w:val="none" w:sz="0" w:space="0" w:color="auto"/>
        <w:left w:val="none" w:sz="0" w:space="0" w:color="auto"/>
        <w:bottom w:val="none" w:sz="0" w:space="0" w:color="auto"/>
        <w:right w:val="none" w:sz="0" w:space="0" w:color="auto"/>
      </w:divBdr>
    </w:div>
    <w:div w:id="1022900375">
      <w:bodyDiv w:val="1"/>
      <w:marLeft w:val="0"/>
      <w:marRight w:val="0"/>
      <w:marTop w:val="0"/>
      <w:marBottom w:val="0"/>
      <w:divBdr>
        <w:top w:val="none" w:sz="0" w:space="0" w:color="auto"/>
        <w:left w:val="none" w:sz="0" w:space="0" w:color="auto"/>
        <w:bottom w:val="none" w:sz="0" w:space="0" w:color="auto"/>
        <w:right w:val="none" w:sz="0" w:space="0" w:color="auto"/>
      </w:divBdr>
    </w:div>
    <w:div w:id="1110970672">
      <w:bodyDiv w:val="1"/>
      <w:marLeft w:val="0"/>
      <w:marRight w:val="0"/>
      <w:marTop w:val="0"/>
      <w:marBottom w:val="0"/>
      <w:divBdr>
        <w:top w:val="none" w:sz="0" w:space="0" w:color="auto"/>
        <w:left w:val="none" w:sz="0" w:space="0" w:color="auto"/>
        <w:bottom w:val="none" w:sz="0" w:space="0" w:color="auto"/>
        <w:right w:val="none" w:sz="0" w:space="0" w:color="auto"/>
      </w:divBdr>
    </w:div>
    <w:div w:id="1242371327">
      <w:bodyDiv w:val="1"/>
      <w:marLeft w:val="0"/>
      <w:marRight w:val="0"/>
      <w:marTop w:val="0"/>
      <w:marBottom w:val="0"/>
      <w:divBdr>
        <w:top w:val="none" w:sz="0" w:space="0" w:color="auto"/>
        <w:left w:val="none" w:sz="0" w:space="0" w:color="auto"/>
        <w:bottom w:val="none" w:sz="0" w:space="0" w:color="auto"/>
        <w:right w:val="none" w:sz="0" w:space="0" w:color="auto"/>
      </w:divBdr>
    </w:div>
    <w:div w:id="1272981095">
      <w:bodyDiv w:val="1"/>
      <w:marLeft w:val="0"/>
      <w:marRight w:val="0"/>
      <w:marTop w:val="0"/>
      <w:marBottom w:val="0"/>
      <w:divBdr>
        <w:top w:val="none" w:sz="0" w:space="0" w:color="auto"/>
        <w:left w:val="none" w:sz="0" w:space="0" w:color="auto"/>
        <w:bottom w:val="none" w:sz="0" w:space="0" w:color="auto"/>
        <w:right w:val="none" w:sz="0" w:space="0" w:color="auto"/>
      </w:divBdr>
    </w:div>
    <w:div w:id="1409765671">
      <w:bodyDiv w:val="1"/>
      <w:marLeft w:val="0"/>
      <w:marRight w:val="0"/>
      <w:marTop w:val="0"/>
      <w:marBottom w:val="0"/>
      <w:divBdr>
        <w:top w:val="none" w:sz="0" w:space="0" w:color="auto"/>
        <w:left w:val="none" w:sz="0" w:space="0" w:color="auto"/>
        <w:bottom w:val="none" w:sz="0" w:space="0" w:color="auto"/>
        <w:right w:val="none" w:sz="0" w:space="0" w:color="auto"/>
      </w:divBdr>
    </w:div>
    <w:div w:id="153650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E55DB1-BB2F-4F8B-A7BE-66B0F4D4A2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367</TotalTime>
  <Pages>9</Pages>
  <Words>2693</Words>
  <Characters>15353</Characters>
  <Application>Microsoft Office Word</Application>
  <DocSecurity>0</DocSecurity>
  <Lines>127</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17</cp:revision>
  <dcterms:created xsi:type="dcterms:W3CDTF">2022-10-05T08:10:00Z</dcterms:created>
  <dcterms:modified xsi:type="dcterms:W3CDTF">2024-01-25T19:33:00Z</dcterms:modified>
</cp:coreProperties>
</file>