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0"/>
        <w:jc w:val="center"/>
        <w:rPr>
          <w:b/>
          <w:lang w:val="en-GB"/>
        </w:rPr>
      </w:pPr>
    </w:p>
    <w:p>
      <w:pPr>
        <w:ind w:firstLine="1681" w:firstLineChars="700"/>
        <w:jc w:val="both"/>
        <w:rPr>
          <w:b/>
          <w:lang w:val="en-GB"/>
        </w:rPr>
      </w:pPr>
      <w:r>
        <w:rPr>
          <w:b/>
          <w:lang w:val="en-GB"/>
        </w:rPr>
        <w:t>INVESTIGATING CSR IN COCA-COLA</w:t>
      </w:r>
    </w:p>
    <w:p>
      <w:pPr>
        <w:keepNext w:val="0"/>
        <w:keepLines w:val="0"/>
        <w:widowControl/>
        <w:suppressLineNumbers w:val="0"/>
        <w:jc w:val="left"/>
        <w:rPr>
          <w:color w:val="auto"/>
        </w:rPr>
      </w:pPr>
      <w:r>
        <w:rPr>
          <w:rFonts w:ascii="Segoe UI" w:hAnsi="Segoe UI" w:eastAsia="Segoe UI" w:cs="Segoe UI"/>
          <w:i w:val="0"/>
          <w:caps w:val="0"/>
          <w:color w:val="auto"/>
          <w:spacing w:val="0"/>
          <w:kern w:val="0"/>
          <w:sz w:val="22"/>
          <w:szCs w:val="22"/>
          <w:u w:val="none"/>
          <w:lang w:val="en-US" w:eastAsia="zh-CN" w:bidi="ar"/>
        </w:rPr>
        <w:fldChar w:fldCharType="begin"/>
      </w:r>
      <w:r>
        <w:rPr>
          <w:rFonts w:ascii="Segoe UI" w:hAnsi="Segoe UI" w:eastAsia="Segoe UI" w:cs="Segoe UI"/>
          <w:i w:val="0"/>
          <w:caps w:val="0"/>
          <w:color w:val="auto"/>
          <w:spacing w:val="0"/>
          <w:kern w:val="0"/>
          <w:sz w:val="22"/>
          <w:szCs w:val="22"/>
          <w:u w:val="none"/>
          <w:lang w:val="en-US" w:eastAsia="zh-CN" w:bidi="ar"/>
        </w:rPr>
        <w:instrText xml:space="preserve"> HYPERLINK "https://moodle.uwtsd.ac.uk/course/view.php?id=4024" </w:instrText>
      </w:r>
      <w:r>
        <w:rPr>
          <w:rFonts w:ascii="Segoe UI" w:hAnsi="Segoe UI" w:eastAsia="Segoe UI" w:cs="Segoe UI"/>
          <w:i w:val="0"/>
          <w:caps w:val="0"/>
          <w:color w:val="auto"/>
          <w:spacing w:val="0"/>
          <w:kern w:val="0"/>
          <w:sz w:val="22"/>
          <w:szCs w:val="22"/>
          <w:u w:val="none"/>
          <w:lang w:val="en-US" w:eastAsia="zh-CN" w:bidi="ar"/>
        </w:rPr>
        <w:fldChar w:fldCharType="separate"/>
      </w:r>
    </w:p>
    <w:p>
      <w:pPr>
        <w:pStyle w:val="5"/>
        <w:keepNext w:val="0"/>
        <w:keepLines w:val="0"/>
        <w:widowControl/>
        <w:suppressLineNumbers w:val="0"/>
        <w:spacing w:before="0" w:beforeAutospacing="0" w:line="18" w:lineRule="atLeast"/>
        <w:ind w:firstLine="1446" w:firstLineChars="600"/>
        <w:jc w:val="both"/>
        <w:rPr>
          <w:rFonts w:hint="default" w:ascii="Times New Roman" w:hAnsi="Times New Roman" w:cs="Times New Roman"/>
          <w:color w:val="auto"/>
        </w:rPr>
      </w:pPr>
      <w:r>
        <w:rPr>
          <w:rStyle w:val="15"/>
          <w:rFonts w:hint="default" w:ascii="Times New Roman" w:hAnsi="Times New Roman" w:cs="Times New Roman"/>
          <w:i w:val="0"/>
          <w:caps w:val="0"/>
          <w:color w:val="auto"/>
          <w:spacing w:val="0"/>
          <w:u w:val="none"/>
        </w:rPr>
        <w:t>Corporate Social Responsibility in the Public Sector</w:t>
      </w:r>
    </w:p>
    <w:p>
      <w:pPr>
        <w:keepNext w:val="0"/>
        <w:keepLines w:val="0"/>
        <w:widowControl/>
        <w:suppressLineNumbers w:val="0"/>
        <w:jc w:val="left"/>
      </w:pPr>
      <w:r>
        <w:rPr>
          <w:rFonts w:hint="default" w:ascii="Segoe UI" w:hAnsi="Segoe UI" w:eastAsia="Segoe UI" w:cs="Segoe UI"/>
          <w:i w:val="0"/>
          <w:caps w:val="0"/>
          <w:color w:val="auto"/>
          <w:spacing w:val="0"/>
          <w:kern w:val="0"/>
          <w:sz w:val="22"/>
          <w:szCs w:val="22"/>
          <w:u w:val="none"/>
          <w:lang w:val="en-US" w:eastAsia="zh-CN" w:bidi="ar"/>
        </w:rPr>
        <w:fldChar w:fldCharType="end"/>
      </w:r>
    </w:p>
    <w:p>
      <w:pPr>
        <w:keepNext w:val="0"/>
        <w:keepLines w:val="0"/>
        <w:widowControl/>
        <w:suppressLineNumbers w:val="0"/>
        <w:ind w:left="0" w:leftChars="0" w:firstLine="3132" w:firstLineChars="1300"/>
        <w:jc w:val="left"/>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pP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Name:</w:t>
      </w:r>
      <w:r>
        <w:rPr>
          <w:rFonts w:hint="default" w:ascii="Times New Roman" w:hAnsi="Times New Roman" w:cs="Times New Roman"/>
          <w:b/>
          <w:bCs/>
          <w:i w:val="0"/>
          <w:smallCaps w:val="0"/>
          <w:strike w:val="0"/>
          <w:color w:val="000000"/>
          <w:kern w:val="0"/>
          <w:sz w:val="24"/>
          <w:szCs w:val="24"/>
          <w:u w:val="none"/>
          <w:vertAlign w:val="baseline"/>
          <w:lang w:val="en-US" w:eastAsia="zh-CN" w:bidi="ar"/>
        </w:rPr>
        <w:t>MingFei Xie</w:t>
      </w:r>
    </w:p>
    <w:p>
      <w:pPr>
        <w:keepNext w:val="0"/>
        <w:keepLines w:val="0"/>
        <w:widowControl/>
        <w:suppressLineNumbers w:val="0"/>
        <w:ind w:firstLine="3132" w:firstLineChars="1300"/>
        <w:jc w:val="left"/>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pP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Student</w:t>
      </w:r>
      <w:r>
        <w:rPr>
          <w:rFonts w:hint="default" w:ascii="Times New Roman" w:hAnsi="Times New Roman" w:cs="Times New Roman"/>
          <w:b/>
          <w:bCs/>
          <w:i w:val="0"/>
          <w:smallCaps w:val="0"/>
          <w:strike w:val="0"/>
          <w:color w:val="000000"/>
          <w:kern w:val="0"/>
          <w:sz w:val="24"/>
          <w:szCs w:val="24"/>
          <w:u w:val="none"/>
          <w:vertAlign w:val="baseline"/>
          <w:lang w:val="en-US" w:eastAsia="zh-CN" w:bidi="ar"/>
        </w:rPr>
        <w:t xml:space="preserve"> </w:t>
      </w: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ID:</w:t>
      </w:r>
      <w:r>
        <w:rPr>
          <w:rFonts w:hint="default" w:ascii="Times New Roman" w:hAnsi="Times New Roman" w:cs="Times New Roman"/>
          <w:b/>
          <w:bCs/>
          <w:i w:val="0"/>
          <w:smallCaps w:val="0"/>
          <w:strike w:val="0"/>
          <w:color w:val="000000"/>
          <w:kern w:val="0"/>
          <w:sz w:val="24"/>
          <w:szCs w:val="24"/>
          <w:u w:val="none"/>
          <w:vertAlign w:val="baseline"/>
          <w:lang w:val="en-US" w:eastAsia="zh-CN" w:bidi="ar"/>
        </w:rPr>
        <w:t>1903731</w:t>
      </w:r>
    </w:p>
    <w:p>
      <w:pPr>
        <w:keepNext w:val="0"/>
        <w:keepLines w:val="0"/>
        <w:widowControl/>
        <w:suppressLineNumbers w:val="0"/>
        <w:ind w:firstLine="3132" w:firstLineChars="1300"/>
        <w:jc w:val="left"/>
        <w:rPr>
          <w:rFonts w:hint="default" w:ascii="Times New Roman" w:hAnsi="Times New Roman" w:eastAsia="Times New Roman" w:cs="Times New Roman"/>
          <w:b/>
          <w:color w:val="auto"/>
          <w:sz w:val="24"/>
          <w:szCs w:val="24"/>
          <w:rtl w:val="0"/>
        </w:rPr>
      </w:pP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Time:</w:t>
      </w:r>
      <w:r>
        <w:rPr>
          <w:rFonts w:hint="eastAsia" w:eastAsia="宋体" w:cs="Times New Roman"/>
          <w:b/>
          <w:bCs/>
          <w:i w:val="0"/>
          <w:smallCaps w:val="0"/>
          <w:strike w:val="0"/>
          <w:color w:val="000000"/>
          <w:kern w:val="0"/>
          <w:sz w:val="24"/>
          <w:szCs w:val="24"/>
          <w:u w:val="none"/>
          <w:vertAlign w:val="baseline"/>
          <w:lang w:val="en-US" w:eastAsia="zh-CN" w:bidi="ar"/>
        </w:rPr>
        <w:t>2</w:t>
      </w: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w:t>
      </w:r>
      <w:r>
        <w:rPr>
          <w:rFonts w:hint="eastAsia" w:eastAsia="宋体" w:cs="Times New Roman"/>
          <w:b/>
          <w:bCs/>
          <w:i w:val="0"/>
          <w:smallCaps w:val="0"/>
          <w:strike w:val="0"/>
          <w:color w:val="000000"/>
          <w:kern w:val="0"/>
          <w:sz w:val="24"/>
          <w:szCs w:val="24"/>
          <w:u w:val="none"/>
          <w:vertAlign w:val="baseline"/>
          <w:lang w:val="en-US" w:eastAsia="zh-CN" w:bidi="ar"/>
        </w:rPr>
        <w:t>3</w:t>
      </w:r>
      <w:r>
        <w:rPr>
          <w:rFonts w:hint="default" w:ascii="Times New Roman" w:hAnsi="Times New Roman" w:cs="Times New Roman"/>
          <w:b/>
          <w:bCs/>
          <w:i w:val="0"/>
          <w:smallCaps w:val="0"/>
          <w:strike w:val="0"/>
          <w:color w:val="000000"/>
          <w:kern w:val="0"/>
          <w:sz w:val="24"/>
          <w:szCs w:val="24"/>
          <w:u w:val="none"/>
          <w:vertAlign w:val="baseline"/>
          <w:lang w:val="en-US" w:eastAsia="zh-CN" w:bidi="ar"/>
        </w:rPr>
        <w:t>.</w:t>
      </w:r>
      <w:r>
        <w:rPr>
          <w:rFonts w:hint="default" w:ascii="Times New Roman" w:hAnsi="Times New Roman" w:eastAsia="宋体" w:cs="Times New Roman"/>
          <w:b/>
          <w:bCs/>
          <w:i w:val="0"/>
          <w:smallCaps w:val="0"/>
          <w:strike w:val="0"/>
          <w:color w:val="000000"/>
          <w:kern w:val="0"/>
          <w:sz w:val="24"/>
          <w:szCs w:val="24"/>
          <w:u w:val="none"/>
          <w:vertAlign w:val="baseline"/>
          <w:lang w:val="en-US" w:eastAsia="zh-CN" w:bidi="ar"/>
        </w:rPr>
        <w:t>2020</w:t>
      </w:r>
    </w:p>
    <w:p>
      <w:pPr>
        <w:ind w:firstLine="0"/>
        <w:jc w:val="center"/>
        <w:rPr>
          <w:b/>
          <w:lang w:val="en-GB"/>
        </w:rPr>
      </w:pPr>
    </w:p>
    <w:p>
      <w:pPr>
        <w:ind w:firstLine="0"/>
        <w:jc w:val="center"/>
        <w:rPr>
          <w:b/>
          <w:lang w:val="en-GB"/>
        </w:rPr>
      </w:pPr>
      <w:bookmarkStart w:id="6" w:name="_GoBack"/>
      <w:bookmarkEnd w:id="6"/>
    </w:p>
    <w:p>
      <w:pPr>
        <w:ind w:firstLine="0"/>
        <w:jc w:val="center"/>
        <w:rPr>
          <w:b/>
          <w:lang w:val="en-GB"/>
        </w:rPr>
      </w:pPr>
    </w:p>
    <w:p>
      <w:pPr>
        <w:ind w:left="0" w:leftChars="0" w:firstLine="0" w:firstLineChars="0"/>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rPr>
          <w:lang w:val="en-GB"/>
        </w:rPr>
      </w:pPr>
      <w:bookmarkStart w:id="0" w:name="_Toc34071563"/>
      <w:r>
        <w:rPr>
          <w:lang w:val="en-GB"/>
        </w:rPr>
        <w:t xml:space="preserve">INTRODUCTION </w:t>
      </w:r>
      <w:bookmarkEnd w:id="0"/>
    </w:p>
    <w:p>
      <w:pPr>
        <w:ind w:left="0" w:leftChars="0" w:firstLine="0" w:firstLineChars="0"/>
        <w:rPr>
          <w:rFonts w:hint="eastAsia"/>
        </w:rPr>
      </w:pPr>
      <w:r>
        <w:rPr>
          <w:rFonts w:hint="eastAsia"/>
        </w:rPr>
        <w:t>Corporate social responsibility is generally described as a form of self-regulation used by an internationally operating private company. It can be called a corporate moral strategy. Enterprises adopt this type of ethics policy. The purpose is to improve the company's social public relations, thereby increasing long-term profits and the trust of shareholders, and helping to win the trust of consumers. Development is particularly important. Coca-cola presented its first iconic drink in 1886, after which it has emerged as a leading total beverage company offering more than 4,100 varieties in beverages including reduced sugar drinks and variable packaging. Coca-Cola aims to turn its packaging completely made from recycled plastic, leading to sustainability. It also aims to replenish the water it uses for its drinks (Coca-colacompany.com, 2020). Coca-cola system in Great Britain and around the world strives for controlling climate change and stewardship towards packaging, recycling and water (Coca-cola.co.uk, 2016). The essay investigates its strategies, changes in its approach towards corporate social responsibilities (CSR) in recent years and evaluates its performance for the same. The focus of this research is the CSR initiated by The Coca-Cola Company in the operation of the market. And analyze the implementation of Coca-Cola's corporate governance and external transparency. And finally evaluate the Coca-Cola company.</w:t>
      </w:r>
    </w:p>
    <w:p>
      <w:r>
        <w:t xml:space="preserve"> </w:t>
      </w:r>
    </w:p>
    <w:p>
      <w:pPr>
        <w:pStyle w:val="2"/>
        <w:rPr>
          <w:lang w:val="en-GB"/>
        </w:rPr>
      </w:pPr>
      <w:bookmarkStart w:id="1" w:name="_Toc34071564"/>
      <w:r>
        <w:rPr>
          <w:lang w:val="en-GB"/>
        </w:rPr>
        <w:t>COCA-COLA’S STRATEGY FORMULATION IN RECENT YEARS</w:t>
      </w:r>
      <w:bookmarkEnd w:id="1"/>
    </w:p>
    <w:p>
      <w:pPr>
        <w:ind w:left="0" w:leftChars="0" w:firstLine="0" w:firstLineChars="0"/>
      </w:pPr>
      <w:r>
        <w:rPr>
          <w:lang w:val="en-GB"/>
        </w:rPr>
        <w:t xml:space="preserve">Coca-cola had reported its carbon emission to be 476,000 tonnes from its Europe operations in 2010 </w:t>
      </w:r>
      <w:r>
        <w:t>(Coca-Cola System in Great Britain, 2011)</w:t>
      </w:r>
      <w:r>
        <w:rPr>
          <w:lang w:val="en-GB"/>
        </w:rPr>
        <w:t xml:space="preserve">. Presently, the company considers the 2010 results as its baseline and pledges to reduce it by 25% at the end of 2020. However, Coca-Cola reports its total carbon emissions in 2010 to be 5.19 metric tonnes in millions, with its sales being 25.5 billion unit cases. Therefore its emission ratio for 2010 was 39.34% which has been reduced to 29.6% by 2018 </w:t>
      </w:r>
      <w:r>
        <w:t>(The Coca-Cola Company, 2019). The change has been brought by bringing innovation in its packaging with recycled materials and redesigning its manufacturing process, refrigeration, etc.</w:t>
      </w:r>
    </w:p>
    <w:p>
      <w:pPr>
        <w:ind w:left="0" w:leftChars="0" w:firstLine="0" w:firstLineChars="0"/>
      </w:pPr>
      <w:r>
        <w:rPr>
          <w:lang w:val="en-GB"/>
        </w:rPr>
        <w:t xml:space="preserve">Coca-cola has received reputational damage at certain point due to free-flow of information globally. In such cases, </w:t>
      </w:r>
      <w:r>
        <w:t xml:space="preserve">Werther and Chandler (2011) advice the companies to anticipate needs of their stakeholders and promote CSR activities through their actions instead of fighting against the free-flow of information. In late 80’s Coca-cola was reported to be on fire for the use of artificial sweetener called “Aspartame”. Olson (2014) argues that if over 900 studies reveal damaging effect of its use as sweetener and 200 studies justify its safety. In case if the use of aspartame is dangerous as per the allegations, CSR activities might fall short in reversing the damage caused by deliberate use over such products to earn profits.  </w:t>
      </w:r>
    </w:p>
    <w:p>
      <w:pPr>
        <w:ind w:left="0" w:leftChars="0" w:firstLine="0" w:firstLineChars="0"/>
      </w:pPr>
      <w:r>
        <w:t xml:space="preserve">Presently, Coca-cola’s initiative for women empowerment ‘5by20’ is highly appreciated. By 2018, Coca-cola mentions that it has helped over 3.2 million women across many countries to overcome social barriers and make them financially independent, empowering them with business training skills (Coca-colacompany.com, 2019). On the other hand, Calkin (2015) states that program like 5by20 function for naturalizing and de-politicizing the power in development of corporate governance while eradicating poverty. However, the articulation of gender equality might harm the neoliberal economic policies.  </w:t>
      </w:r>
    </w:p>
    <w:p>
      <w:pPr>
        <w:ind w:left="0" w:leftChars="0" w:firstLine="0" w:firstLineChars="0"/>
        <w:rPr>
          <w:lang w:val="en-GB"/>
        </w:rPr>
      </w:pPr>
      <w:r>
        <w:t xml:space="preserve">Coca-cola mentions its donations for the support of environment, communities their well-being under Coca-Cola Political Action Committees (PAC) being $209,462.12 for 2018 (The Coca-Cola Company, 2019). </w:t>
      </w:r>
      <w:r>
        <w:rPr>
          <w:lang w:val="en-GB"/>
        </w:rPr>
        <w:t>The press release by Coca-cola mentioned that it contributed in aid of recent outbreak of Coronavirus in China. Zhu (2020) reported that Coca-cola Foundation has granted $500,000 to an Atlanta-Georgia based company called MedShare which works for humanitarian aid. The company provided surgical masks and isolation gowns to people in Sanghai and Hubei was protection against the virus. Thus, it works for the society as well.</w:t>
      </w:r>
    </w:p>
    <w:p>
      <w:pPr>
        <w:pStyle w:val="2"/>
        <w:rPr>
          <w:lang w:val="en-GB"/>
        </w:rPr>
      </w:pPr>
      <w:bookmarkStart w:id="2" w:name="_Toc34071565"/>
      <w:r>
        <w:rPr>
          <w:lang w:val="en-GB"/>
        </w:rPr>
        <w:t>COCA-COLA’S GOAL COMPLETION AND CHANGES IN RECENT YEARS</w:t>
      </w:r>
      <w:bookmarkEnd w:id="2"/>
    </w:p>
    <w:p>
      <w:pPr>
        <w:ind w:left="0" w:leftChars="0" w:firstLine="0" w:firstLineChars="0"/>
      </w:pPr>
      <w:r>
        <w:t xml:space="preserve">Coca-cola has been using the local water supplies for its operations since 80’s, in order to minimize distribution costs. By 2007, Coca-cola faced issues in its practices in the wake of protests by Indian farmers who claimed that their water and livelihood was being stolen by the company. After the episode, Coca-cola pledged to replenish every drop of water it used in their production for balancing their consumption, with a goal to achieve it completely by 2020. The company reported of its returning 221 billion litres of water offset in 2016, which was 133 % according to the company, achieving their goal five years ahead of their plan. However, the company took into account its operational water only. The company kept the water requirements for its raw material, packaging and bottling plant unaccounted under its water footprint (MacDonald, 2018). Coca-cola has announced the progress that it has achieved in water efficiency goals and addresses solving the locally sourced water vulnerabilities (The Coca-Cola Company, 2016). Nevertheless, these facts do not stand completely true with the facts. Coca-cola should measure its water footprint transparently and redesign its operations to ensure efficient use of water along with recycling processes.  </w:t>
      </w:r>
    </w:p>
    <w:p>
      <w:pPr>
        <w:ind w:left="0" w:leftChars="0" w:firstLine="0" w:firstLineChars="0"/>
        <w:rPr>
          <w:color w:val="000000" w:themeColor="text1"/>
        </w:rPr>
      </w:pPr>
      <w:r>
        <w:rPr>
          <w:color w:val="000000" w:themeColor="text1"/>
        </w:rPr>
        <w:t xml:space="preserve">On collection of 10,000 litres waste from clean-up project of three months, 75% of the waste found was plastic. Greenpeace identifies Coca-cola as the top polluter with its plastic bottles and caps found in the audit results (Linnenkoper, 2018). Executive director of Greenpeace UK John Sauven, also raised his voice against its plastic waste. Even after commitments for 50% bottles from recycled plastic, Sauven (2017) mentions that its new strategy for using recyclable material in bottling has not been met. The company lags far behind in using 100% recycled plastic. </w:t>
      </w:r>
    </w:p>
    <w:p>
      <w:pPr>
        <w:ind w:left="0" w:leftChars="0" w:firstLine="0" w:firstLineChars="0"/>
        <w:rPr>
          <w:color w:val="000000" w:themeColor="text1"/>
        </w:rPr>
      </w:pPr>
      <w:r>
        <w:rPr>
          <w:color w:val="000000" w:themeColor="text1"/>
        </w:rPr>
        <w:t xml:space="preserve">Greenpeace reports that Coca-cola pushes back proposed taxes in sugar and imposing legal restrictions over its bottling plant. The recycling and anti-littering initiatives by government have put the company in a position in lobbying the politicians against the deposit return scheme (DRS) for plastic since years (McClenaghan, 2017). </w:t>
      </w:r>
      <w:r>
        <w:rPr>
          <w:color w:val="000000" w:themeColor="text1"/>
          <w:lang w:val="en-GB"/>
        </w:rPr>
        <w:t xml:space="preserve">As underlined in a book, Coca-cola had been accused among the developed nations for its contribution towards child obesity </w:t>
      </w:r>
      <w:r>
        <w:rPr>
          <w:color w:val="000000" w:themeColor="text1"/>
        </w:rPr>
        <w:t xml:space="preserve">(Werther and Chandler, 2011). Therefore, government has shown interest in banning the drinks for children as it contains high level of sugar and caffeine causing health issues (Therrien, 2018). </w:t>
      </w:r>
    </w:p>
    <w:p>
      <w:pPr>
        <w:pStyle w:val="2"/>
        <w:rPr>
          <w:lang w:val="en-GB"/>
        </w:rPr>
      </w:pPr>
      <w:bookmarkStart w:id="3" w:name="_Toc34071566"/>
      <w:r>
        <w:rPr>
          <w:lang w:val="en-GB"/>
        </w:rPr>
        <w:t xml:space="preserve"> EVALUATION OF CORPORATE GOVERNANCE AND PERFORMANCE OF SOCIAL RESPONSIBILITY</w:t>
      </w:r>
      <w:bookmarkEnd w:id="3"/>
      <w:r>
        <w:rPr>
          <w:lang w:val="en-GB"/>
        </w:rPr>
        <w:t xml:space="preserve"> </w:t>
      </w:r>
    </w:p>
    <w:p>
      <w:pPr>
        <w:ind w:left="0" w:leftChars="0" w:firstLine="0" w:firstLineChars="0"/>
        <w:rPr>
          <w:lang w:val="en-GB"/>
        </w:rPr>
      </w:pPr>
      <w:r>
        <w:rPr>
          <w:lang w:val="en-GB"/>
        </w:rPr>
        <w:t xml:space="preserve">The development in implementation of corporate social responsibilities has been a debatable issue as it might lack in implementation based on expectations of different stakeholders </w:t>
      </w:r>
      <w:r>
        <w:t>(Narayan et al., 2012)</w:t>
      </w:r>
      <w:r>
        <w:rPr>
          <w:lang w:val="en-GB"/>
        </w:rPr>
        <w:t xml:space="preserve">. With the help of Stakeholder theory, essential stakeholders of Coca-cola, have been identified. The investigation identifies whether Coca-cola is able to consolidate understanding of CSR through differences in expectations, stakeholder groups and practices. </w:t>
      </w:r>
    </w:p>
    <w:p>
      <w:pPr>
        <w:ind w:left="0" w:leftChars="0" w:firstLine="0" w:firstLineChars="0"/>
      </w:pPr>
      <w:r>
        <w:rPr>
          <w:lang w:val="en-GB"/>
        </w:rPr>
        <w:t xml:space="preserve">Coca-cola identifies these stakeholders across many countries and different functions, who partner them in business and sustainability </w:t>
      </w:r>
      <w:r>
        <w:t xml:space="preserve">(Coca-colacompany.com, n.d.). Carrol (1995) categorized the moral management associated with the stakeholders in three models – moral, amoral and immoral. Coca-cola encompasses the stakeholder theory and has developed a code of ethics visualising the effects of its operations over its stakeholders. </w:t>
      </w:r>
    </w:p>
    <w:p>
      <w:pPr>
        <w:spacing w:after="0"/>
        <w:ind w:left="0" w:leftChars="0" w:firstLine="0" w:firstLineChars="0"/>
        <w:rPr>
          <w:b/>
        </w:rPr>
      </w:pPr>
    </w:p>
    <w:p>
      <w:pPr>
        <w:spacing w:after="0"/>
        <w:ind w:left="0" w:leftChars="0" w:firstLine="0" w:firstLineChars="0"/>
        <w:rPr>
          <w:b/>
        </w:rPr>
      </w:pPr>
    </w:p>
    <w:p>
      <w:pPr>
        <w:spacing w:after="0"/>
        <w:ind w:left="0" w:leftChars="0" w:firstLine="0" w:firstLineChars="0"/>
        <w:rPr>
          <w:b/>
        </w:rPr>
      </w:pPr>
      <w:r>
        <w:rPr>
          <w:b/>
        </w:rPr>
        <w:t xml:space="preserve">Shareholders: </w:t>
      </w:r>
    </w:p>
    <w:p>
      <w:pPr>
        <w:ind w:left="0" w:leftChars="0" w:firstLine="0" w:firstLineChars="0"/>
      </w:pPr>
      <w:r>
        <w:t xml:space="preserve">Coca-cola has a diversified structure of its share-holders. Since 2001, Coca-cola has returned cash of €3.8 billion to its shareholders (Coca-colahellenic.com, 2019). Therefore, the management can be said to have </w:t>
      </w:r>
      <w:r>
        <w:rPr>
          <w:b/>
          <w:i/>
        </w:rPr>
        <w:t>moral approach</w:t>
      </w:r>
      <w:r>
        <w:t xml:space="preserve"> towards its shareholders. They also face activisms of their shareholders, such as their concern over health risks caused due to the sugar levels (Vittorio, 2019).</w:t>
      </w:r>
    </w:p>
    <w:p>
      <w:pPr>
        <w:spacing w:after="0"/>
        <w:ind w:left="0" w:leftChars="0" w:firstLine="0" w:firstLineChars="0"/>
        <w:rPr>
          <w:b/>
        </w:rPr>
      </w:pPr>
      <w:r>
        <w:rPr>
          <w:b/>
        </w:rPr>
        <w:t>Customers:</w:t>
      </w:r>
    </w:p>
    <w:p>
      <w:pPr>
        <w:ind w:left="0" w:leftChars="0" w:firstLine="0" w:firstLineChars="0"/>
      </w:pPr>
      <w:r>
        <w:t xml:space="preserve">Coca-cola involves with its customers for making profits and generating revenues. The decision is associated with compliance with the laws for making profits. Other consequences faced by the customers regarding sugar level hikes, unethical practices of water resources are not thought through. Therefore their </w:t>
      </w:r>
      <w:r>
        <w:rPr>
          <w:b/>
          <w:i/>
        </w:rPr>
        <w:t>approach is amoral</w:t>
      </w:r>
      <w:r>
        <w:t xml:space="preserve"> towards customers who distribute their products to the consumers in the market.  </w:t>
      </w:r>
    </w:p>
    <w:p>
      <w:pPr>
        <w:spacing w:after="0"/>
        <w:ind w:left="0" w:leftChars="0" w:firstLine="0" w:firstLineChars="0"/>
        <w:rPr>
          <w:b/>
        </w:rPr>
      </w:pPr>
      <w:r>
        <w:rPr>
          <w:b/>
        </w:rPr>
        <w:t xml:space="preserve">Consumers: </w:t>
      </w:r>
    </w:p>
    <w:p>
      <w:pPr>
        <w:ind w:left="0" w:leftChars="0" w:firstLine="0" w:firstLineChars="0"/>
      </w:pPr>
      <w:r>
        <w:t xml:space="preserve">Coca-cola has been associated with several controversies for misleading its consumers. Coca-cola is said to have immoral approach towards its consumers as </w:t>
      </w:r>
      <w:r>
        <w:rPr>
          <w:b/>
          <w:i/>
        </w:rPr>
        <w:t xml:space="preserve">immoral approach </w:t>
      </w:r>
      <w:r>
        <w:t>while making its consumers believe that its products do not cause immorality but it is lack of exercises which does, as claimed by Praxis, an NGO who sued Coca-cola for the its misleading tactics (Rodionova, 2017). The company has been focusing on shifting its portfolio towards “consumer-centric brands” as a part of future strategy (Moye, 2017).</w:t>
      </w:r>
    </w:p>
    <w:p>
      <w:pPr>
        <w:spacing w:after="0"/>
        <w:ind w:left="0" w:leftChars="0" w:firstLine="0" w:firstLineChars="0"/>
        <w:rPr>
          <w:b/>
        </w:rPr>
      </w:pPr>
      <w:r>
        <w:rPr>
          <w:b/>
        </w:rPr>
        <w:t>Local Communities:</w:t>
      </w:r>
    </w:p>
    <w:p>
      <w:pPr>
        <w:ind w:left="0" w:leftChars="0" w:firstLine="0" w:firstLineChars="0"/>
      </w:pPr>
      <w:r>
        <w:t>Coca-cola has always been on war with the local communities regarding the replenishment of water, underground water pollution on being boycotted by the local Indian farmer communities for straining water (Kazmin, 2015). In order to take corrective actions for their</w:t>
      </w:r>
      <w:r>
        <w:rPr>
          <w:b/>
          <w:i/>
        </w:rPr>
        <w:t xml:space="preserve"> immoral approach </w:t>
      </w:r>
      <w:r>
        <w:t xml:space="preserve">towards local communities, Coca-cola has pledged to replenish every drop of water which it uses for its operations back to the local communities and nature through recycling process (The Coca-Cola Company, 2016). </w:t>
      </w:r>
    </w:p>
    <w:p>
      <w:pPr>
        <w:spacing w:after="0"/>
        <w:ind w:left="0" w:leftChars="0" w:firstLine="0" w:firstLineChars="0"/>
        <w:rPr>
          <w:b/>
        </w:rPr>
      </w:pPr>
      <w:r>
        <w:rPr>
          <w:b/>
        </w:rPr>
        <w:t xml:space="preserve">Employees: </w:t>
      </w:r>
    </w:p>
    <w:p>
      <w:pPr>
        <w:ind w:left="0" w:leftChars="0" w:firstLine="0" w:firstLineChars="0"/>
      </w:pPr>
      <w:r>
        <w:t xml:space="preserve">Coca-cola has been witnessed failures in addressing the interests of its employees with instance of its involvement in potential violence over its workers, on the labour unions in its operations at Philippines (Iuf.org, 2020a). The </w:t>
      </w:r>
      <w:r>
        <w:rPr>
          <w:b/>
          <w:i/>
        </w:rPr>
        <w:t>immoral approach</w:t>
      </w:r>
      <w:r>
        <w:t xml:space="preserve"> towards its customers was put on hold by the workers in Belgium with a three-day work strike. The company was accused of occupying the workers on weekends, longer working hours and unpaid overtime (Iuf.org, 2020b)  </w:t>
      </w:r>
    </w:p>
    <w:p>
      <w:pPr>
        <w:spacing w:after="0"/>
        <w:ind w:left="0" w:leftChars="0" w:firstLine="0" w:firstLineChars="0"/>
        <w:rPr>
          <w:b/>
        </w:rPr>
      </w:pPr>
      <w:r>
        <w:rPr>
          <w:b/>
        </w:rPr>
        <w:t>Government &amp; NGOs:</w:t>
      </w:r>
    </w:p>
    <w:p>
      <w:pPr>
        <w:ind w:left="0" w:leftChars="0" w:firstLine="0" w:firstLineChars="0"/>
      </w:pPr>
      <w:r>
        <w:t>Coca-cola has been bound to keep up with the regulations of Government. For the issues related to littering and innovation in its packaging towards recycling, Coca-cola has changed its approach towards NGOs and Government to be</w:t>
      </w:r>
      <w:r>
        <w:rPr>
          <w:b/>
          <w:i/>
        </w:rPr>
        <w:t xml:space="preserve"> amoral</w:t>
      </w:r>
      <w:r>
        <w:t xml:space="preserve">. Instead of battling with them, the company has been considerate to hold constructive meetings for the social and environmental concerns.  </w:t>
      </w:r>
    </w:p>
    <w:p>
      <w:pPr>
        <w:ind w:left="0" w:leftChars="0" w:firstLine="0" w:firstLineChars="0"/>
        <w:rPr>
          <w:lang w:val="en-GB"/>
        </w:rPr>
      </w:pPr>
      <w:r>
        <w:rPr>
          <w:lang w:val="en-GB"/>
        </w:rPr>
        <w:t xml:space="preserve">A study discusses about the general impression created by corporate organizations with serious commitments and engagements towards CSR activities whereas the reality seems to be different. It puts Coca-cola under question for its social, environmental and economic records in influencing public policies while undermining environmental and social regulations imposed on the company </w:t>
      </w:r>
      <w:r>
        <w:t xml:space="preserve">(Prasad and Holzinger, 2013). </w:t>
      </w:r>
    </w:p>
    <w:p>
      <w:pPr>
        <w:ind w:firstLine="0"/>
      </w:pPr>
      <w:r>
        <w:t>The Carroll’s pyramid for CSR is being analysed in order to identify whether Coca-cola embraces its responsibilities for its entire business. The CSR responsibilities are categorised in four stages. The performance evaluation is done on the basis of fulfilment of each responsibility level.</w:t>
      </w:r>
    </w:p>
    <w:p>
      <w:pPr>
        <w:ind w:left="0" w:leftChars="0" w:firstLine="0" w:firstLineChars="0"/>
      </w:pPr>
      <w:r>
        <w:rPr>
          <w:b/>
          <w:bCs/>
        </w:rPr>
        <w:t>Economic responsibility:</w:t>
      </w:r>
      <w:r>
        <w:t xml:space="preserve"> Coca-cola is a financially strong company and functions on good profitability levels as derived from the report (Coca-colacompany.com, 2018). Firm gives economic benefits to investors, suppliers, shareholders and pays taxes contributing to the development of the nation. Hence it satisfies the first level of economic responsibility.</w:t>
      </w:r>
    </w:p>
    <w:p>
      <w:pPr>
        <w:ind w:left="0" w:leftChars="0" w:firstLine="0" w:firstLineChars="0"/>
      </w:pPr>
      <w:r>
        <w:rPr>
          <w:b/>
        </w:rPr>
        <w:t xml:space="preserve">Legal Responsibility: </w:t>
      </w:r>
      <w:r>
        <w:t xml:space="preserve">Coca-cola meets the legal requirements as a corporation of meeting the quality standards, employment and transparency in abiding by the legislations of every country it operates in, without breaching the laws. Therefore, it suffices the second level of legal responsibility as well. </w:t>
      </w:r>
    </w:p>
    <w:p>
      <w:pPr>
        <w:ind w:left="0" w:leftChars="0" w:firstLine="0" w:firstLineChars="0"/>
        <w:rPr>
          <w:lang w:val="en-GB"/>
        </w:rPr>
      </w:pPr>
      <w:r>
        <w:rPr>
          <w:b/>
          <w:lang w:val="en-GB"/>
        </w:rPr>
        <w:t>Ethical Responsibility:</w:t>
      </w:r>
      <w:r>
        <w:rPr>
          <w:lang w:val="en-GB"/>
        </w:rPr>
        <w:t xml:space="preserve"> Although many steps have been taken by the company to fulfil its ethical responsibilities, it needs to work over its operations causing environmental concerns. The ethical responsibilities are not fulfilled completely as the company needs to ensure their operation does not have any deteriorating impact on its stakeholders or nature. </w:t>
      </w:r>
    </w:p>
    <w:p>
      <w:pPr>
        <w:ind w:left="0" w:leftChars="0" w:firstLine="0" w:firstLineChars="0"/>
        <w:rPr>
          <w:lang w:val="en-GB"/>
        </w:rPr>
      </w:pPr>
      <w:r>
        <w:rPr>
          <w:b/>
          <w:lang w:val="en-GB"/>
        </w:rPr>
        <w:t>Philanthropic responsibilities:</w:t>
      </w:r>
      <w:r>
        <w:rPr>
          <w:lang w:val="en-GB"/>
        </w:rPr>
        <w:t xml:space="preserve"> Coca-cola has been efficient in taking care of the wellbeing of human values. It fulfils these responsibilities at a higher extent with its initiatives like 5by20 for women empowerment and sustainability programs with goals to adopt circular economy. </w:t>
      </w:r>
    </w:p>
    <w:p>
      <w:pPr>
        <w:ind w:left="0" w:leftChars="0" w:firstLine="0" w:firstLineChars="0"/>
        <w:rPr>
          <w:lang w:val="en-GB"/>
        </w:rPr>
      </w:pPr>
      <w:r>
        <w:rPr>
          <w:lang w:val="en-GB"/>
        </w:rPr>
        <w:t xml:space="preserve">However, the disclosure of its environmental policy and lack of implementation of its commitments show that Coca-cola is inefficient in fulfilling its responsibilities as its beverages have been creating catastrophic health effects on its consumers. Moreover, its contribution and the profits in numbers are not transparent enough. The company shows the growth in terms of percentile of its baseline figures. On generating large revenues, the company’s spending for social causes is not found to be justifiable. </w:t>
      </w:r>
    </w:p>
    <w:p>
      <w:pPr>
        <w:rPr>
          <w:lang w:val="en-GB"/>
        </w:rPr>
      </w:pPr>
    </w:p>
    <w:p>
      <w:pPr>
        <w:pStyle w:val="2"/>
        <w:rPr>
          <w:lang w:val="en-GB"/>
        </w:rPr>
      </w:pPr>
      <w:bookmarkStart w:id="4" w:name="_Toc34071567"/>
      <w:r>
        <w:rPr>
          <w:lang w:val="en-GB"/>
        </w:rPr>
        <w:t>CONCLUSION</w:t>
      </w:r>
      <w:bookmarkEnd w:id="4"/>
    </w:p>
    <w:p>
      <w:pPr>
        <w:ind w:left="0" w:leftChars="0" w:firstLine="0" w:firstLineChars="0"/>
        <w:rPr>
          <w:lang w:val="en-GB"/>
        </w:rPr>
      </w:pPr>
      <w:r>
        <w:rPr>
          <w:lang w:val="en-GB"/>
        </w:rPr>
        <w:t xml:space="preserve">Through the investigation, it can be concluded that Coca-cola, one of the leading beverages company also tops the list of polluters. It does not meet the ethical responsibilities of fulfilling the environmental criteria for sustainable development. Many allegations regarding promotion of obesity and pesticides have been articulated by NGOs and media. The study shows that among its stakeholders, Coca-cola has a moral approach to its shareholders only, signifying profitability as their major concern. It displays immoral or amoral approach towards other stakeholders such as its customers, who distribute the product in the market; its consumer, local communities, employees, government and NGOs. The Carroll’s pyramid identifies that Coca-cola falls short in fulfilling ethical and philanthropic responsibilities. The reasons are probably higher capital investment and losses in its revenue generation due to stringent execution required for compliance with regulation. The company has taken certain steps towards recycling water and reducing its consumption in the operations, thereby replenishing every drop of water it uses. However, there are contradictions proposing inefficiency in water footprint calculations announced by the company. </w:t>
      </w:r>
    </w:p>
    <w:p>
      <w:pPr>
        <w:ind w:left="0" w:leftChars="0" w:firstLine="0" w:firstLineChars="0"/>
        <w:rPr>
          <w:lang w:val="en-GB"/>
        </w:rPr>
      </w:pPr>
      <w:r>
        <w:rPr>
          <w:lang w:val="en-GB"/>
        </w:rPr>
        <w:t xml:space="preserve">Coca-cola has been appraised and successful in empowering women for business skills through its 5by20 initiative. The company contributes in social causes such as providing aid to coronavirus victims, etc. Nevertheless, the company lacks in transparency over its contributions towards corporate social responsibilities in comparison with its revenue generation. The essay justifies that Coca-cola does not implement the corporate social responsibilities efficiently. Although it has taken significant approaches towards reduction in plastic, usage of recycled plastic and water stewardship, it still lacks in several areas. </w:t>
      </w:r>
    </w:p>
    <w:p>
      <w:pPr>
        <w:ind w:left="0" w:leftChars="0" w:firstLine="0" w:firstLineChars="0"/>
        <w:rPr>
          <w:b/>
          <w:bCs/>
          <w:lang w:val="en-GB"/>
        </w:rPr>
      </w:pPr>
      <w:bookmarkStart w:id="5" w:name="_Toc34071568"/>
    </w:p>
    <w:p>
      <w:pPr>
        <w:ind w:left="0" w:leftChars="0" w:firstLine="0" w:firstLineChars="0"/>
        <w:rPr>
          <w:b/>
          <w:bCs/>
        </w:rPr>
      </w:pPr>
      <w:r>
        <w:rPr>
          <w:b/>
          <w:bCs/>
          <w:lang w:val="en-GB"/>
        </w:rPr>
        <w:t>REFERENCES</w:t>
      </w:r>
      <w:bookmarkEnd w:id="5"/>
    </w:p>
    <w:p>
      <w:pPr>
        <w:numPr>
          <w:ilvl w:val="0"/>
          <w:numId w:val="1"/>
        </w:numPr>
        <w:ind w:left="425" w:leftChars="0" w:hanging="425" w:firstLineChars="0"/>
        <w:jc w:val="left"/>
      </w:pPr>
      <w:r>
        <w:t>Calkin, S. (2015). Feminism, interrupted? Gender and development in the era of ‘Smart Economics’. </w:t>
      </w:r>
      <w:r>
        <w:rPr>
          <w:i/>
          <w:iCs/>
        </w:rPr>
        <w:t>Progress in Development Studies</w:t>
      </w:r>
      <w:r>
        <w:t>, [online] 15(4), pp.295-307. Available at: https://journals.sagepub.com/doi/abs/10.1177/1464993415592737 [Accessed 26 Feb. 2020].</w:t>
      </w:r>
    </w:p>
    <w:p>
      <w:pPr>
        <w:numPr>
          <w:ilvl w:val="0"/>
          <w:numId w:val="1"/>
        </w:numPr>
        <w:ind w:left="425" w:leftChars="0" w:hanging="425" w:firstLineChars="0"/>
        <w:jc w:val="left"/>
      </w:pPr>
      <w:r>
        <w:t>Carrol, A. (1995). </w:t>
      </w:r>
      <w:r>
        <w:rPr>
          <w:i/>
          <w:iCs/>
        </w:rPr>
        <w:t>Stakeholder Thinking in Three Models of Management Morality</w:t>
      </w:r>
      <w:r>
        <w:t>. 1st ed. Helsinki: LSR-Publications, pp.51-55.</w:t>
      </w:r>
    </w:p>
    <w:p>
      <w:pPr>
        <w:numPr>
          <w:ilvl w:val="0"/>
          <w:numId w:val="1"/>
        </w:numPr>
        <w:ind w:left="425" w:leftChars="0" w:hanging="425" w:firstLineChars="0"/>
        <w:jc w:val="left"/>
      </w:pPr>
      <w:r>
        <w:t>Carroll, A. (1991). The pyramid of corporate social responsibility: Toward the moral management of organizational stakeholders. </w:t>
      </w:r>
      <w:r>
        <w:rPr>
          <w:i/>
          <w:iCs/>
        </w:rPr>
        <w:t>Business Horizons</w:t>
      </w:r>
      <w:r>
        <w:t>, [online] 34(4), pp.39-48. Available at: https://www.researchgate.net/publication/4883660_The_Pyramid_of_Corporate_Social_Responsibility_Toward_the_Moral_Management_of_Organizational_Stakeholders [Accessed 27 Feb. 2020].</w:t>
      </w:r>
    </w:p>
    <w:p>
      <w:pPr>
        <w:numPr>
          <w:ilvl w:val="0"/>
          <w:numId w:val="1"/>
        </w:numPr>
        <w:ind w:left="425" w:leftChars="0" w:hanging="425" w:firstLineChars="0"/>
        <w:jc w:val="left"/>
      </w:pPr>
      <w:r>
        <w:t>Coca-Cola System in Great Britain (2011). </w:t>
      </w:r>
      <w:r>
        <w:rPr>
          <w:i/>
          <w:iCs/>
        </w:rPr>
        <w:t>Corporate Responsibility and Sustainability Report</w:t>
      </w:r>
      <w:r>
        <w:t>. [online] London: Coca-Cola Great Britain, p.11. Available at: https://www.coca-cola.co.uk/content/dam/journey/gb/en/hidden/corporate-responsibility/corporate-responsibility-pdfs/CCGB_CCE_Corporate_Responsibility_Report_2010_11.pdf [Accessed 25 Feb. 2020].</w:t>
      </w:r>
    </w:p>
    <w:p>
      <w:pPr>
        <w:numPr>
          <w:ilvl w:val="0"/>
          <w:numId w:val="1"/>
        </w:numPr>
        <w:ind w:left="425" w:leftChars="0" w:hanging="425" w:firstLineChars="0"/>
        <w:jc w:val="left"/>
      </w:pPr>
      <w:r>
        <w:t>Coca-cola.co.uk. (2016). </w:t>
      </w:r>
      <w:r>
        <w:rPr>
          <w:i/>
          <w:iCs/>
        </w:rPr>
        <w:t>Corporate Sustainability Report | Coca-Cola GB</w:t>
      </w:r>
      <w:r>
        <w:t>. [online] Available at: https://www.coca-cola.co.uk/about-us/corporate-sustainability-report [Accessed 24 Feb. 2020].</w:t>
      </w:r>
    </w:p>
    <w:p>
      <w:pPr>
        <w:numPr>
          <w:ilvl w:val="0"/>
          <w:numId w:val="1"/>
        </w:numPr>
        <w:ind w:left="425" w:leftChars="0" w:hanging="425" w:firstLineChars="0"/>
        <w:jc w:val="left"/>
        <w:rPr>
          <w:lang w:val="en-GB"/>
        </w:rPr>
      </w:pPr>
      <w:r>
        <w:rPr>
          <w:lang w:val="en-GB"/>
        </w:rPr>
        <w:t>Coca-colacompany.com. (2018). [online] Available at: https://www.coca-colacompany.com/content/dam/journey/us/en/policies/pdf/safety-health/coca-cola-business-and-sustainability-report-2018.pdf [Accessed 22 Feb. 2020].</w:t>
      </w:r>
    </w:p>
    <w:p>
      <w:pPr>
        <w:numPr>
          <w:ilvl w:val="0"/>
          <w:numId w:val="1"/>
        </w:numPr>
        <w:ind w:left="425" w:leftChars="0" w:hanging="425" w:firstLineChars="0"/>
        <w:jc w:val="left"/>
      </w:pPr>
      <w:r>
        <w:t>Coca-colacompany.com. (2019). </w:t>
      </w:r>
      <w:r>
        <w:rPr>
          <w:i/>
          <w:iCs/>
        </w:rPr>
        <w:t>5by20</w:t>
      </w:r>
      <w:r>
        <w:t>. [online] Available at: https://www.coca-colacompany.com/shared-future/women-empowerment [Accessed 28 Feb. 2020].</w:t>
      </w:r>
    </w:p>
    <w:p>
      <w:pPr>
        <w:numPr>
          <w:ilvl w:val="0"/>
          <w:numId w:val="1"/>
        </w:numPr>
        <w:ind w:left="425" w:leftChars="0" w:hanging="425" w:firstLineChars="0"/>
        <w:jc w:val="left"/>
      </w:pPr>
      <w:r>
        <w:t>Coca-colacompany.com. (2020). </w:t>
      </w:r>
      <w:r>
        <w:rPr>
          <w:i/>
          <w:iCs/>
        </w:rPr>
        <w:t>Sustainable Packaging | The Coca-Cola Company</w:t>
      </w:r>
      <w:r>
        <w:t>. [online] Available at: https://www.coca-colacompany.com/sustainable-business/packaging-sustainability [Accessed 24 Feb. 2020].</w:t>
      </w:r>
    </w:p>
    <w:p>
      <w:pPr>
        <w:numPr>
          <w:ilvl w:val="0"/>
          <w:numId w:val="1"/>
        </w:numPr>
        <w:ind w:left="425" w:leftChars="0" w:hanging="425" w:firstLineChars="0"/>
        <w:jc w:val="left"/>
      </w:pPr>
      <w:r>
        <w:t>Coca-colacompany.com. (n.d.). </w:t>
      </w:r>
      <w:r>
        <w:rPr>
          <w:i/>
          <w:iCs/>
        </w:rPr>
        <w:t>Who are Coca-Cola’s partners in sustainability?</w:t>
      </w:r>
      <w:r>
        <w:t>. [online] Available at: https://www.coca-colacompany.com/faqs/who-are-your-partners-on-sustainability [Accessed 27 Feb. 2020].</w:t>
      </w:r>
    </w:p>
    <w:p>
      <w:pPr>
        <w:numPr>
          <w:ilvl w:val="0"/>
          <w:numId w:val="1"/>
        </w:numPr>
        <w:ind w:left="425" w:leftChars="0" w:hanging="425" w:firstLineChars="0"/>
        <w:jc w:val="left"/>
      </w:pPr>
      <w:r>
        <w:t>Coca-colahellenic.com. (2019). </w:t>
      </w:r>
      <w:r>
        <w:rPr>
          <w:i/>
          <w:iCs/>
        </w:rPr>
        <w:t>Dividend &amp; Capital Return</w:t>
      </w:r>
      <w:r>
        <w:t>. [online] Available at: https://coca-colahellenic.com/en/investors/shareholder-centre/dividend-and-capital-return/ [Accessed 27 Feb. 2020].</w:t>
      </w:r>
    </w:p>
    <w:p>
      <w:pPr>
        <w:numPr>
          <w:ilvl w:val="0"/>
          <w:numId w:val="1"/>
        </w:numPr>
        <w:ind w:left="425" w:leftChars="0" w:hanging="425" w:firstLineChars="0"/>
        <w:jc w:val="left"/>
        <w:rPr>
          <w:lang w:val="en-GB"/>
        </w:rPr>
      </w:pPr>
      <w:r>
        <w:rPr>
          <w:lang w:val="en-GB"/>
        </w:rPr>
        <w:t>Iuf.org. (2020a). </w:t>
      </w:r>
      <w:r>
        <w:rPr>
          <w:i/>
          <w:iCs/>
          <w:lang w:val="en-GB"/>
        </w:rPr>
        <w:t>Coca-Cola fails to address its actions in Philippines that expose workers to violence | Coca-Cola Workers Worldwide</w:t>
      </w:r>
      <w:r>
        <w:rPr>
          <w:lang w:val="en-GB"/>
        </w:rPr>
        <w:t>. [online] Available at: http://www.iuf.org/ccww/?q=node/883 [Accessed 27 Feb. 2020].</w:t>
      </w:r>
    </w:p>
    <w:p>
      <w:pPr>
        <w:numPr>
          <w:ilvl w:val="0"/>
          <w:numId w:val="1"/>
        </w:numPr>
        <w:ind w:left="425" w:leftChars="0" w:hanging="425" w:firstLineChars="0"/>
        <w:jc w:val="left"/>
        <w:rPr>
          <w:lang w:val="en-GB"/>
        </w:rPr>
      </w:pPr>
      <w:r>
        <w:rPr>
          <w:lang w:val="en-GB"/>
        </w:rPr>
        <w:t>Iuf.org. (2020b). </w:t>
      </w:r>
      <w:r>
        <w:rPr>
          <w:i/>
          <w:iCs/>
          <w:lang w:val="en-GB"/>
        </w:rPr>
        <w:t>Belgium: Strike of Coca-Cola workers ended with an agreement | Coca-Cola Workers Worldwide</w:t>
      </w:r>
      <w:r>
        <w:rPr>
          <w:lang w:val="en-GB"/>
        </w:rPr>
        <w:t>. [online] Available at: http://www.iuf.org/ccww/?q=node/881 [Accessed 27 Feb. 2020].</w:t>
      </w:r>
    </w:p>
    <w:p>
      <w:pPr>
        <w:numPr>
          <w:ilvl w:val="0"/>
          <w:numId w:val="1"/>
        </w:numPr>
        <w:ind w:left="425" w:leftChars="0" w:hanging="425" w:firstLineChars="0"/>
        <w:jc w:val="left"/>
      </w:pPr>
      <w:r>
        <w:t>Kazmin, A. (2015). Coca-Cola forced to abandon India bottling plant plans. </w:t>
      </w:r>
      <w:r>
        <w:rPr>
          <w:i/>
          <w:iCs/>
        </w:rPr>
        <w:t>Financial Times</w:t>
      </w:r>
      <w:r>
        <w:t>. [online] Available at: https://www.ft.com/content/9e7d36da-e8e5-11e4-87fe-00144feab7de [Accessed 27 Feb. 2020].</w:t>
      </w:r>
    </w:p>
    <w:p>
      <w:pPr>
        <w:numPr>
          <w:ilvl w:val="0"/>
          <w:numId w:val="1"/>
        </w:numPr>
        <w:ind w:left="425" w:leftChars="0" w:hanging="425" w:firstLineChars="0"/>
        <w:jc w:val="left"/>
      </w:pPr>
      <w:r>
        <w:t>Linnenkoper, K. (2018). </w:t>
      </w:r>
      <w:r>
        <w:rPr>
          <w:i/>
          <w:iCs/>
        </w:rPr>
        <w:t>Greenpeace reveals the top 5 ‘worst polluting companies’ • Recycling International</w:t>
      </w:r>
      <w:r>
        <w:t>. [online] Recycling International. Available at: https://recyclinginternational.com/plastics/greenpeace-reveals-the-top-5-worst-polluting-companies/17483/ [Accessed 27 Feb. 2020].</w:t>
      </w:r>
    </w:p>
    <w:p>
      <w:pPr>
        <w:numPr>
          <w:ilvl w:val="0"/>
          <w:numId w:val="1"/>
        </w:numPr>
        <w:ind w:left="425" w:leftChars="0" w:hanging="425" w:firstLineChars="0"/>
        <w:jc w:val="left"/>
      </w:pPr>
      <w:r>
        <w:t>MacDonald, C. (2018). </w:t>
      </w:r>
      <w:r>
        <w:rPr>
          <w:i/>
          <w:iCs/>
        </w:rPr>
        <w:t>How Coke spun the public on its water use</w:t>
      </w:r>
      <w:r>
        <w:t>. [online] The Verge. Available at: https://www.theverge.com/2018/5/31/17377964/coca-cola-water-sustainability-recycling-controversy-investigation [Accessed 26 Feb. 2020].</w:t>
      </w:r>
    </w:p>
    <w:p>
      <w:pPr>
        <w:numPr>
          <w:ilvl w:val="0"/>
          <w:numId w:val="1"/>
        </w:numPr>
        <w:ind w:left="425" w:leftChars="0" w:hanging="425" w:firstLineChars="0"/>
        <w:jc w:val="left"/>
      </w:pPr>
      <w:r>
        <w:t>McClenaghan, M. (2017). </w:t>
      </w:r>
      <w:r>
        <w:rPr>
          <w:i/>
          <w:iCs/>
        </w:rPr>
        <w:t>Coca Cola and the 'fight back' against plans to tackle plastic waste</w:t>
      </w:r>
      <w:r>
        <w:t>. [online] Unearthed. Available at: https://unearthed.greenpeace.org/2017/01/25/investigation-coca-cola-fight-back-plans-tackle-plastic-waste/https://unearthed.greenpeace.org/2017/01/25/investigation-coca-cola-fight-back-plans-tackle-plastic-waste/ [Accessed 28 Feb. 2020].</w:t>
      </w:r>
    </w:p>
    <w:p>
      <w:pPr>
        <w:numPr>
          <w:ilvl w:val="0"/>
          <w:numId w:val="1"/>
        </w:numPr>
        <w:ind w:left="425" w:leftChars="0" w:hanging="425" w:firstLineChars="0"/>
        <w:jc w:val="left"/>
      </w:pPr>
      <w:r>
        <w:t>Moye, J. (2017). </w:t>
      </w:r>
      <w:r>
        <w:rPr>
          <w:i/>
          <w:iCs/>
        </w:rPr>
        <w:t>Coke's Way Forward</w:t>
      </w:r>
      <w:r>
        <w:t>. [online] Coca-colacompany.com. Available at: https://www.coca-colacompany.com/au/news/our-way-forward/cokes-way-forward-new-business-strategy-to-focus-on-choice-convenience-and-the-consumer [Accessed 27 Feb. 2020].</w:t>
      </w:r>
    </w:p>
    <w:p>
      <w:pPr>
        <w:numPr>
          <w:ilvl w:val="0"/>
          <w:numId w:val="1"/>
        </w:numPr>
        <w:ind w:left="425" w:leftChars="0" w:hanging="425" w:firstLineChars="0"/>
        <w:jc w:val="left"/>
      </w:pPr>
      <w:r>
        <w:t>Narayan, P., Lal, N., Dutta, A., Mehta, T., Majumdar, A., Madhavan, A., Doshi, V., Khokle, P., Srinivasan, V., Vaidyanathan, L., Scott, M., Palo, S., Sarma, R., Vohra, N. and Sheel, R. (2012). Corporate Social Responsibility: Practice, Theory, and Challenges. </w:t>
      </w:r>
      <w:r>
        <w:rPr>
          <w:i/>
          <w:iCs/>
        </w:rPr>
        <w:t>Vikalpa: The Journal for Decision Makers</w:t>
      </w:r>
      <w:r>
        <w:t>, [online] 37(2), pp.73-116. Available at: https://www.researchgate.net/publication/318927715_Corporate_Social_Responsibility_Practice_Theory_and_Challenges [Accessed 25 Feb. 2020].</w:t>
      </w:r>
    </w:p>
    <w:p>
      <w:pPr>
        <w:numPr>
          <w:ilvl w:val="0"/>
          <w:numId w:val="1"/>
        </w:numPr>
        <w:ind w:left="425" w:leftChars="0" w:hanging="425" w:firstLineChars="0"/>
        <w:jc w:val="left"/>
      </w:pPr>
      <w:r>
        <w:t>Olson, S. (2014). </w:t>
      </w:r>
      <w:r>
        <w:rPr>
          <w:i/>
          <w:iCs/>
        </w:rPr>
        <w:t>Coca-Cola Lies About The Dangers Of Artificial Sweetener Aspartame [INFOGRAPHIC]</w:t>
      </w:r>
      <w:r>
        <w:t>. [online] Medical Daily. Available at: https://www.medicaldaily.com/coca-cola-spreads-lies-about-aspartame-and-dangers-artificial-sweetener-311300 [Accessed 25 Feb. 2020].</w:t>
      </w:r>
    </w:p>
    <w:p>
      <w:pPr>
        <w:numPr>
          <w:ilvl w:val="0"/>
          <w:numId w:val="1"/>
        </w:numPr>
        <w:ind w:left="425" w:leftChars="0" w:hanging="425" w:firstLineChars="0"/>
        <w:jc w:val="left"/>
      </w:pPr>
      <w:r>
        <w:t>Prasad, A. and Holzinger, I. (2013). Seeing through smoke and mirrors: A critical analysis of marketing CSR. </w:t>
      </w:r>
      <w:r>
        <w:rPr>
          <w:i/>
          <w:iCs/>
        </w:rPr>
        <w:t>Journal of Business Research</w:t>
      </w:r>
      <w:r>
        <w:t>, [online] 66(10), pp.1915-1921. Available at: https://www.sciencedirect.com/science/article/abs/pii/S0148296313000374 [Accessed 26 Feb. 2020].</w:t>
      </w:r>
    </w:p>
    <w:p>
      <w:pPr>
        <w:numPr>
          <w:ilvl w:val="0"/>
          <w:numId w:val="1"/>
        </w:numPr>
        <w:ind w:left="425" w:leftChars="0" w:hanging="425" w:firstLineChars="0"/>
        <w:jc w:val="left"/>
      </w:pPr>
      <w:r>
        <w:t>Rodionova, Z. (2017). Coca-Cola accused of using tobacco industry tactics to mislead public over health effects of its fizzy drinks. </w:t>
      </w:r>
      <w:r>
        <w:rPr>
          <w:i/>
          <w:iCs/>
        </w:rPr>
        <w:t>The Independent</w:t>
      </w:r>
      <w:r>
        <w:t>. [online] Available at: https://www.independent.co.uk/news/business/news/coca-cola-lawsuit-sue-tobacco-company-tactics-mislead-public-fizzy-drinks-sodas-health-effects-a7511356.html [Accessed 27 Feb. 2020].</w:t>
      </w:r>
    </w:p>
    <w:p>
      <w:pPr>
        <w:numPr>
          <w:ilvl w:val="0"/>
          <w:numId w:val="1"/>
        </w:numPr>
        <w:ind w:left="425" w:leftChars="0" w:hanging="425" w:firstLineChars="0"/>
        <w:jc w:val="left"/>
      </w:pPr>
      <w:r>
        <w:t>Sauven, J. (2017). If you care so much, Coke, why aren't your bottles 100% recycled?. </w:t>
      </w:r>
      <w:r>
        <w:rPr>
          <w:i/>
          <w:iCs/>
        </w:rPr>
        <w:t>The Guardian</w:t>
      </w:r>
      <w:r>
        <w:t>. [online] Available at: https://www.theguardian.com/sustainable-business/2017/jul/13/coca-cola-plastics-pollution-oceans-bottles-packaging-recycling-pr-fizz-greenpeace-john-sauven [Accessed 27 Feb. 2020].</w:t>
      </w:r>
    </w:p>
    <w:p>
      <w:pPr>
        <w:numPr>
          <w:ilvl w:val="0"/>
          <w:numId w:val="1"/>
        </w:numPr>
        <w:ind w:left="425" w:leftChars="0" w:hanging="425" w:firstLineChars="0"/>
        <w:jc w:val="left"/>
      </w:pPr>
      <w:r>
        <w:t>The Coca-Cola Company (2016). </w:t>
      </w:r>
      <w:r>
        <w:rPr>
          <w:i/>
          <w:iCs/>
        </w:rPr>
        <w:t>Coca-Cola is the First Fortune 500 Company to Replenish All the Water It Uses Globally</w:t>
      </w:r>
      <w:r>
        <w:t>. [online] Available at: https://investors.coca-colacompany.com/news-events/press-releases/detail/850/coca-cola-is-the-first-fortune-500-company-to-replenish-all [Accessed 25 Feb. 2020].</w:t>
      </w:r>
    </w:p>
    <w:p>
      <w:pPr>
        <w:numPr>
          <w:ilvl w:val="0"/>
          <w:numId w:val="1"/>
        </w:numPr>
        <w:ind w:left="425" w:leftChars="0" w:hanging="425" w:firstLineChars="0"/>
        <w:jc w:val="left"/>
      </w:pPr>
      <w:r>
        <w:t>The Coca-Cola Company (2019). </w:t>
      </w:r>
      <w:r>
        <w:rPr>
          <w:i/>
          <w:iCs/>
        </w:rPr>
        <w:t>2018 Business &amp; Sustainability Report</w:t>
      </w:r>
      <w:r>
        <w:t>. [online] The Coca-Cola company, p.43. Available at: https://www.coca-colacompany.com/content/dam/journey/us/en/policies/pdf/safety-health/coca-cola-business-and-sustainability-report-2018.pdf#page=43 [Accessed 25 Feb. 2020].</w:t>
      </w:r>
    </w:p>
    <w:p>
      <w:pPr>
        <w:numPr>
          <w:ilvl w:val="0"/>
          <w:numId w:val="1"/>
        </w:numPr>
        <w:ind w:left="425" w:leftChars="0" w:hanging="425" w:firstLineChars="0"/>
        <w:jc w:val="left"/>
      </w:pPr>
      <w:r>
        <w:t>The Coca-Cola Company. (2019). </w:t>
      </w:r>
      <w:r>
        <w:rPr>
          <w:i/>
          <w:iCs/>
        </w:rPr>
        <w:t>Political Engagement Policy</w:t>
      </w:r>
      <w:r>
        <w:t>. [online] Available at: https://investors.coca-colacompany.com/corporate-governance/political-engagement-policy [Accessed 25 Feb. 2020].</w:t>
      </w:r>
    </w:p>
    <w:p>
      <w:pPr>
        <w:numPr>
          <w:ilvl w:val="0"/>
          <w:numId w:val="1"/>
        </w:numPr>
        <w:ind w:left="425" w:leftChars="0" w:hanging="425" w:firstLineChars="0"/>
        <w:jc w:val="left"/>
      </w:pPr>
      <w:r>
        <w:t>Therrien, A. (2018). </w:t>
      </w:r>
      <w:r>
        <w:rPr>
          <w:i/>
          <w:iCs/>
        </w:rPr>
        <w:t>Energy drinks ban for children proposed</w:t>
      </w:r>
      <w:r>
        <w:t>. [online] BBC News. Available at: https://www.bbc.com/news/health-45342682 [Accessed 28 Feb. 2020].</w:t>
      </w:r>
    </w:p>
    <w:p>
      <w:pPr>
        <w:numPr>
          <w:ilvl w:val="0"/>
          <w:numId w:val="1"/>
        </w:numPr>
        <w:ind w:left="425" w:leftChars="0" w:hanging="425" w:firstLineChars="0"/>
        <w:jc w:val="left"/>
      </w:pPr>
      <w:r>
        <w:t>Vittorio, A. (2019). </w:t>
      </w:r>
      <w:r>
        <w:rPr>
          <w:i/>
          <w:iCs/>
        </w:rPr>
        <w:t>Cola-Cola Faces Shareholder Activism on Sugar’s Health Risks</w:t>
      </w:r>
      <w:r>
        <w:t>. [online] News.bloomberglaw.com. Available at: https://news.bloomberglaw.com/corporate-law/cola-cola-faces-shareholder-activism-on-sugars-health-risks-7 [Accessed 27 Feb. 2020].</w:t>
      </w:r>
    </w:p>
    <w:p>
      <w:pPr>
        <w:numPr>
          <w:ilvl w:val="0"/>
          <w:numId w:val="1"/>
        </w:numPr>
        <w:ind w:left="425" w:leftChars="0" w:hanging="425" w:firstLineChars="0"/>
        <w:jc w:val="left"/>
      </w:pPr>
      <w:r>
        <w:t>Werther, W. and Chandler, D. (2011). </w:t>
      </w:r>
      <w:r>
        <w:rPr>
          <w:i/>
          <w:iCs/>
        </w:rPr>
        <w:t>Strategic corporate social responsibility</w:t>
      </w:r>
      <w:r>
        <w:t>. 2nd ed. Thousand Oaks: SAGE Publicationsq.</w:t>
      </w:r>
    </w:p>
    <w:p>
      <w:pPr>
        <w:numPr>
          <w:ilvl w:val="0"/>
          <w:numId w:val="1"/>
        </w:numPr>
        <w:ind w:left="425" w:leftChars="0" w:hanging="425" w:firstLineChars="0"/>
        <w:jc w:val="left"/>
      </w:pPr>
      <w:r>
        <w:t>Zhu, L. (2020). Coca-Cola exec organizes US donations to aid China in virus fight. </w:t>
      </w:r>
      <w:r>
        <w:rPr>
          <w:i/>
          <w:iCs/>
        </w:rPr>
        <w:t>China Daily</w:t>
      </w:r>
      <w:r>
        <w:t>. [online] Available at: https://www.chinadaily.com.cn/a/202002/11/WS5e4243dba310128217276a91.html [Accessed 27 Feb. 2020].</w:t>
      </w:r>
    </w:p>
    <w:sectPr>
      <w:headerReference r:id="rId4" w:type="first"/>
      <w:headerReference r:id="rId3" w:type="default"/>
      <w:footerReference r:id="rId5" w:type="default"/>
      <w:pgSz w:w="11906" w:h="16838"/>
      <w:pgMar w:top="1440" w:right="1440" w:bottom="1440" w:left="1440" w:header="708" w:footer="708" w:gutter="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 w:name="华文中宋">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31314565"/>
      <w:docPartObj>
        <w:docPartGallery w:val="autotext"/>
      </w:docPartObj>
    </w:sdtPr>
    <w:sdtContent>
      <w:p>
        <w:pPr>
          <w:pStyle w:val="8"/>
          <w:jc w:val="right"/>
        </w:pPr>
        <w:r>
          <w:fldChar w:fldCharType="begin"/>
        </w:r>
        <w:r>
          <w:instrText xml:space="preserve"> PAGE   \* MERGEFORMAT </w:instrText>
        </w:r>
        <w:r>
          <w:fldChar w:fldCharType="separate"/>
        </w:r>
        <w:r>
          <w:t>13</w:t>
        </w:r>
        <w:r>
          <w:fldChar w:fldCharType="end"/>
        </w:r>
      </w:p>
    </w:sdtContent>
  </w:sdt>
  <w:p>
    <w:pPr>
      <w:pStyle w:val="8"/>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ind w:firstLine="0"/>
    </w:pPr>
    <w:r>
      <w:t>Investigating CSR in Coca-Cola</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ind w:firstLine="0"/>
    </w:pPr>
    <w:r>
      <w:t>Investigating CSR in Coca-Cola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CC7DDC"/>
    <w:multiLevelType w:val="singleLevel"/>
    <w:tmpl w:val="A9CC7DD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E31"/>
    <w:rsid w:val="00000934"/>
    <w:rsid w:val="00014D04"/>
    <w:rsid w:val="00027054"/>
    <w:rsid w:val="00033480"/>
    <w:rsid w:val="0003750E"/>
    <w:rsid w:val="00050AA7"/>
    <w:rsid w:val="00060B41"/>
    <w:rsid w:val="00070F1B"/>
    <w:rsid w:val="000758F7"/>
    <w:rsid w:val="00075B39"/>
    <w:rsid w:val="000930AF"/>
    <w:rsid w:val="000A2E02"/>
    <w:rsid w:val="000A2FC5"/>
    <w:rsid w:val="000A69FC"/>
    <w:rsid w:val="000B47BE"/>
    <w:rsid w:val="000B687D"/>
    <w:rsid w:val="000C1E5B"/>
    <w:rsid w:val="000D0EF2"/>
    <w:rsid w:val="000D5DC3"/>
    <w:rsid w:val="000D78A3"/>
    <w:rsid w:val="000E1234"/>
    <w:rsid w:val="000E668D"/>
    <w:rsid w:val="000F578D"/>
    <w:rsid w:val="00121288"/>
    <w:rsid w:val="00122A87"/>
    <w:rsid w:val="00122D8B"/>
    <w:rsid w:val="00124293"/>
    <w:rsid w:val="001269C6"/>
    <w:rsid w:val="00130E40"/>
    <w:rsid w:val="00132292"/>
    <w:rsid w:val="00135395"/>
    <w:rsid w:val="0014248C"/>
    <w:rsid w:val="00154F1D"/>
    <w:rsid w:val="001555E8"/>
    <w:rsid w:val="00156658"/>
    <w:rsid w:val="001659AA"/>
    <w:rsid w:val="00172C28"/>
    <w:rsid w:val="00183D70"/>
    <w:rsid w:val="001971F0"/>
    <w:rsid w:val="001B1ECE"/>
    <w:rsid w:val="001B6E93"/>
    <w:rsid w:val="001B7853"/>
    <w:rsid w:val="001C28B8"/>
    <w:rsid w:val="001C714B"/>
    <w:rsid w:val="001F0459"/>
    <w:rsid w:val="001F0B3E"/>
    <w:rsid w:val="001F39BC"/>
    <w:rsid w:val="00204DFD"/>
    <w:rsid w:val="00212722"/>
    <w:rsid w:val="00215440"/>
    <w:rsid w:val="00222853"/>
    <w:rsid w:val="0022384D"/>
    <w:rsid w:val="00225185"/>
    <w:rsid w:val="00235EF0"/>
    <w:rsid w:val="00246CAD"/>
    <w:rsid w:val="002476A5"/>
    <w:rsid w:val="00263AD1"/>
    <w:rsid w:val="00267611"/>
    <w:rsid w:val="00283BCF"/>
    <w:rsid w:val="002858A5"/>
    <w:rsid w:val="0029362E"/>
    <w:rsid w:val="002A2538"/>
    <w:rsid w:val="002B0303"/>
    <w:rsid w:val="002D229B"/>
    <w:rsid w:val="002D65CE"/>
    <w:rsid w:val="002F22BA"/>
    <w:rsid w:val="002F4DF7"/>
    <w:rsid w:val="00312FC6"/>
    <w:rsid w:val="00322A37"/>
    <w:rsid w:val="00335627"/>
    <w:rsid w:val="00364D9A"/>
    <w:rsid w:val="003705A0"/>
    <w:rsid w:val="0037384D"/>
    <w:rsid w:val="003768AA"/>
    <w:rsid w:val="003835A6"/>
    <w:rsid w:val="00383EA5"/>
    <w:rsid w:val="0039685D"/>
    <w:rsid w:val="003A08E9"/>
    <w:rsid w:val="003B3B08"/>
    <w:rsid w:val="003C01C8"/>
    <w:rsid w:val="003C0931"/>
    <w:rsid w:val="003C5868"/>
    <w:rsid w:val="003C715D"/>
    <w:rsid w:val="003E432D"/>
    <w:rsid w:val="003E5DB6"/>
    <w:rsid w:val="003E72E3"/>
    <w:rsid w:val="003F47FB"/>
    <w:rsid w:val="003F5F62"/>
    <w:rsid w:val="00403044"/>
    <w:rsid w:val="004116F2"/>
    <w:rsid w:val="00424A88"/>
    <w:rsid w:val="004350CE"/>
    <w:rsid w:val="0044443F"/>
    <w:rsid w:val="00464E1F"/>
    <w:rsid w:val="00470626"/>
    <w:rsid w:val="00476BE2"/>
    <w:rsid w:val="00494F2D"/>
    <w:rsid w:val="004A2235"/>
    <w:rsid w:val="004B2087"/>
    <w:rsid w:val="004B6F15"/>
    <w:rsid w:val="004C126E"/>
    <w:rsid w:val="004C359E"/>
    <w:rsid w:val="004C5ACA"/>
    <w:rsid w:val="004D2B71"/>
    <w:rsid w:val="004E5E88"/>
    <w:rsid w:val="004F51C1"/>
    <w:rsid w:val="005001CF"/>
    <w:rsid w:val="00512244"/>
    <w:rsid w:val="00514F1F"/>
    <w:rsid w:val="00524C01"/>
    <w:rsid w:val="00533075"/>
    <w:rsid w:val="00537D16"/>
    <w:rsid w:val="005462B5"/>
    <w:rsid w:val="00546D18"/>
    <w:rsid w:val="00552138"/>
    <w:rsid w:val="005636EF"/>
    <w:rsid w:val="00564F82"/>
    <w:rsid w:val="0056655A"/>
    <w:rsid w:val="0057292E"/>
    <w:rsid w:val="00572BF0"/>
    <w:rsid w:val="00575330"/>
    <w:rsid w:val="0057646C"/>
    <w:rsid w:val="00585B83"/>
    <w:rsid w:val="00587DB5"/>
    <w:rsid w:val="005B1DA3"/>
    <w:rsid w:val="005B7E7B"/>
    <w:rsid w:val="005D60D4"/>
    <w:rsid w:val="005E1194"/>
    <w:rsid w:val="005E48D2"/>
    <w:rsid w:val="00601D7E"/>
    <w:rsid w:val="00602EF3"/>
    <w:rsid w:val="00617628"/>
    <w:rsid w:val="0062134B"/>
    <w:rsid w:val="006228A9"/>
    <w:rsid w:val="00624C54"/>
    <w:rsid w:val="00650F92"/>
    <w:rsid w:val="00674E7F"/>
    <w:rsid w:val="00691A64"/>
    <w:rsid w:val="006941AF"/>
    <w:rsid w:val="00695A0C"/>
    <w:rsid w:val="006A4AE3"/>
    <w:rsid w:val="006B2100"/>
    <w:rsid w:val="006C6544"/>
    <w:rsid w:val="006D67AF"/>
    <w:rsid w:val="006F0935"/>
    <w:rsid w:val="006F2512"/>
    <w:rsid w:val="006F52AB"/>
    <w:rsid w:val="0070729A"/>
    <w:rsid w:val="00717DFB"/>
    <w:rsid w:val="00720A5F"/>
    <w:rsid w:val="00721FF1"/>
    <w:rsid w:val="00726F28"/>
    <w:rsid w:val="00731141"/>
    <w:rsid w:val="00743024"/>
    <w:rsid w:val="00744977"/>
    <w:rsid w:val="0075476F"/>
    <w:rsid w:val="0076356B"/>
    <w:rsid w:val="00771395"/>
    <w:rsid w:val="00784A49"/>
    <w:rsid w:val="00787001"/>
    <w:rsid w:val="007A12C3"/>
    <w:rsid w:val="007A4D1A"/>
    <w:rsid w:val="007A6A4B"/>
    <w:rsid w:val="007B0DDB"/>
    <w:rsid w:val="007B4FCB"/>
    <w:rsid w:val="007C375A"/>
    <w:rsid w:val="007C44A7"/>
    <w:rsid w:val="007D2C65"/>
    <w:rsid w:val="007E0947"/>
    <w:rsid w:val="007F0C42"/>
    <w:rsid w:val="007F0E31"/>
    <w:rsid w:val="007F2B81"/>
    <w:rsid w:val="0080611F"/>
    <w:rsid w:val="00810B33"/>
    <w:rsid w:val="008227B8"/>
    <w:rsid w:val="008230EF"/>
    <w:rsid w:val="0083177C"/>
    <w:rsid w:val="00833C9C"/>
    <w:rsid w:val="00835DD8"/>
    <w:rsid w:val="00841FFB"/>
    <w:rsid w:val="00843C81"/>
    <w:rsid w:val="00847A1B"/>
    <w:rsid w:val="00850804"/>
    <w:rsid w:val="0085143F"/>
    <w:rsid w:val="008558F2"/>
    <w:rsid w:val="00863A22"/>
    <w:rsid w:val="00864059"/>
    <w:rsid w:val="00870FAF"/>
    <w:rsid w:val="0087220F"/>
    <w:rsid w:val="00886AE8"/>
    <w:rsid w:val="008B15E0"/>
    <w:rsid w:val="008B5A8D"/>
    <w:rsid w:val="008D626B"/>
    <w:rsid w:val="008E0CF2"/>
    <w:rsid w:val="008F4D91"/>
    <w:rsid w:val="008F75CE"/>
    <w:rsid w:val="009113F3"/>
    <w:rsid w:val="00912E75"/>
    <w:rsid w:val="009174BB"/>
    <w:rsid w:val="00920041"/>
    <w:rsid w:val="00924297"/>
    <w:rsid w:val="00925D1F"/>
    <w:rsid w:val="009340DF"/>
    <w:rsid w:val="00965D78"/>
    <w:rsid w:val="00966D45"/>
    <w:rsid w:val="00971271"/>
    <w:rsid w:val="0098160A"/>
    <w:rsid w:val="0098358D"/>
    <w:rsid w:val="00994106"/>
    <w:rsid w:val="0099544E"/>
    <w:rsid w:val="009A2530"/>
    <w:rsid w:val="009B35F6"/>
    <w:rsid w:val="009B746A"/>
    <w:rsid w:val="009C3AE7"/>
    <w:rsid w:val="009D46B7"/>
    <w:rsid w:val="009D509B"/>
    <w:rsid w:val="009D6984"/>
    <w:rsid w:val="009E2D79"/>
    <w:rsid w:val="009E3CFC"/>
    <w:rsid w:val="009E445C"/>
    <w:rsid w:val="00A061E8"/>
    <w:rsid w:val="00A16DAD"/>
    <w:rsid w:val="00A24FF2"/>
    <w:rsid w:val="00A271A6"/>
    <w:rsid w:val="00A275A5"/>
    <w:rsid w:val="00A64601"/>
    <w:rsid w:val="00A65F33"/>
    <w:rsid w:val="00A821FF"/>
    <w:rsid w:val="00A87EB4"/>
    <w:rsid w:val="00A90C1C"/>
    <w:rsid w:val="00A94A29"/>
    <w:rsid w:val="00A973C9"/>
    <w:rsid w:val="00AA0177"/>
    <w:rsid w:val="00AA0489"/>
    <w:rsid w:val="00AA2F14"/>
    <w:rsid w:val="00AA4FD2"/>
    <w:rsid w:val="00AA6E89"/>
    <w:rsid w:val="00AB7B3C"/>
    <w:rsid w:val="00AC08C2"/>
    <w:rsid w:val="00AC43F6"/>
    <w:rsid w:val="00AC4B46"/>
    <w:rsid w:val="00AC4B89"/>
    <w:rsid w:val="00AC595A"/>
    <w:rsid w:val="00AC6804"/>
    <w:rsid w:val="00AD4565"/>
    <w:rsid w:val="00AE0716"/>
    <w:rsid w:val="00B00BDD"/>
    <w:rsid w:val="00B05C5C"/>
    <w:rsid w:val="00B1328F"/>
    <w:rsid w:val="00B13A54"/>
    <w:rsid w:val="00B22687"/>
    <w:rsid w:val="00B22C8A"/>
    <w:rsid w:val="00B23CE7"/>
    <w:rsid w:val="00B36292"/>
    <w:rsid w:val="00B43C9A"/>
    <w:rsid w:val="00B45D18"/>
    <w:rsid w:val="00B51E70"/>
    <w:rsid w:val="00B62DB6"/>
    <w:rsid w:val="00B6538D"/>
    <w:rsid w:val="00B71ED0"/>
    <w:rsid w:val="00B75149"/>
    <w:rsid w:val="00B77D09"/>
    <w:rsid w:val="00B77E81"/>
    <w:rsid w:val="00B816AE"/>
    <w:rsid w:val="00B86459"/>
    <w:rsid w:val="00B86947"/>
    <w:rsid w:val="00B92498"/>
    <w:rsid w:val="00B92704"/>
    <w:rsid w:val="00B95591"/>
    <w:rsid w:val="00B9775A"/>
    <w:rsid w:val="00BB2BF1"/>
    <w:rsid w:val="00BB2DA4"/>
    <w:rsid w:val="00BD0326"/>
    <w:rsid w:val="00BD26A1"/>
    <w:rsid w:val="00BD3B64"/>
    <w:rsid w:val="00BE225E"/>
    <w:rsid w:val="00BE3155"/>
    <w:rsid w:val="00BF100E"/>
    <w:rsid w:val="00BF60BF"/>
    <w:rsid w:val="00C032EC"/>
    <w:rsid w:val="00C037D2"/>
    <w:rsid w:val="00C31390"/>
    <w:rsid w:val="00C37AB0"/>
    <w:rsid w:val="00C4043C"/>
    <w:rsid w:val="00C40E3A"/>
    <w:rsid w:val="00C5470F"/>
    <w:rsid w:val="00C57F84"/>
    <w:rsid w:val="00C626EA"/>
    <w:rsid w:val="00C67219"/>
    <w:rsid w:val="00C67857"/>
    <w:rsid w:val="00C71609"/>
    <w:rsid w:val="00C745F3"/>
    <w:rsid w:val="00C8359B"/>
    <w:rsid w:val="00C8389E"/>
    <w:rsid w:val="00C86A96"/>
    <w:rsid w:val="00C93660"/>
    <w:rsid w:val="00C95239"/>
    <w:rsid w:val="00C95E7D"/>
    <w:rsid w:val="00C97DA5"/>
    <w:rsid w:val="00CA1AD5"/>
    <w:rsid w:val="00CC0E14"/>
    <w:rsid w:val="00CC1989"/>
    <w:rsid w:val="00CD656E"/>
    <w:rsid w:val="00CE0A7A"/>
    <w:rsid w:val="00CE1D13"/>
    <w:rsid w:val="00CE2097"/>
    <w:rsid w:val="00CE5327"/>
    <w:rsid w:val="00CE75C4"/>
    <w:rsid w:val="00CF7C5D"/>
    <w:rsid w:val="00D026A1"/>
    <w:rsid w:val="00D0642C"/>
    <w:rsid w:val="00D07C48"/>
    <w:rsid w:val="00D50246"/>
    <w:rsid w:val="00D63BF2"/>
    <w:rsid w:val="00D903CC"/>
    <w:rsid w:val="00D92BF6"/>
    <w:rsid w:val="00DA07D7"/>
    <w:rsid w:val="00DB42FE"/>
    <w:rsid w:val="00DB6A63"/>
    <w:rsid w:val="00DB74C5"/>
    <w:rsid w:val="00DC787F"/>
    <w:rsid w:val="00DE187F"/>
    <w:rsid w:val="00DE47BB"/>
    <w:rsid w:val="00DE6C09"/>
    <w:rsid w:val="00DF05ED"/>
    <w:rsid w:val="00DF069B"/>
    <w:rsid w:val="00E00A24"/>
    <w:rsid w:val="00E13F6C"/>
    <w:rsid w:val="00E20E82"/>
    <w:rsid w:val="00E2198C"/>
    <w:rsid w:val="00E2760D"/>
    <w:rsid w:val="00E30D90"/>
    <w:rsid w:val="00E35594"/>
    <w:rsid w:val="00E358E9"/>
    <w:rsid w:val="00E52D6F"/>
    <w:rsid w:val="00E5307B"/>
    <w:rsid w:val="00E639E5"/>
    <w:rsid w:val="00E73110"/>
    <w:rsid w:val="00E81126"/>
    <w:rsid w:val="00E82325"/>
    <w:rsid w:val="00E97D36"/>
    <w:rsid w:val="00EA0194"/>
    <w:rsid w:val="00EA41B7"/>
    <w:rsid w:val="00EB0D5C"/>
    <w:rsid w:val="00EB48F5"/>
    <w:rsid w:val="00EB4907"/>
    <w:rsid w:val="00EC04E8"/>
    <w:rsid w:val="00ED5335"/>
    <w:rsid w:val="00ED70A2"/>
    <w:rsid w:val="00EE459B"/>
    <w:rsid w:val="00EF1968"/>
    <w:rsid w:val="00F0064D"/>
    <w:rsid w:val="00F017DC"/>
    <w:rsid w:val="00F1454F"/>
    <w:rsid w:val="00F22141"/>
    <w:rsid w:val="00F2546D"/>
    <w:rsid w:val="00F25D1C"/>
    <w:rsid w:val="00F528E0"/>
    <w:rsid w:val="00F60D82"/>
    <w:rsid w:val="00F63BEB"/>
    <w:rsid w:val="00F9107F"/>
    <w:rsid w:val="00FA0199"/>
    <w:rsid w:val="00FA1B8D"/>
    <w:rsid w:val="00FA3088"/>
    <w:rsid w:val="00FA3E08"/>
    <w:rsid w:val="00FA4C24"/>
    <w:rsid w:val="00FA5A9D"/>
    <w:rsid w:val="00FA687A"/>
    <w:rsid w:val="00FB09BA"/>
    <w:rsid w:val="00FB1432"/>
    <w:rsid w:val="00FE6754"/>
    <w:rsid w:val="00FF5E55"/>
    <w:rsid w:val="00FF6D1B"/>
    <w:rsid w:val="0CCF47E9"/>
    <w:rsid w:val="177D55C2"/>
    <w:rsid w:val="1B1221F5"/>
    <w:rsid w:val="20701F92"/>
    <w:rsid w:val="24696466"/>
    <w:rsid w:val="2B8D7D7E"/>
    <w:rsid w:val="2C0A0BFE"/>
    <w:rsid w:val="2C4119FC"/>
    <w:rsid w:val="31802611"/>
    <w:rsid w:val="329F4E62"/>
    <w:rsid w:val="330943B0"/>
    <w:rsid w:val="39120CF2"/>
    <w:rsid w:val="3D425C69"/>
    <w:rsid w:val="450E3D80"/>
    <w:rsid w:val="480F676B"/>
    <w:rsid w:val="4A492C68"/>
    <w:rsid w:val="4E8C0C23"/>
    <w:rsid w:val="51EB0351"/>
    <w:rsid w:val="53AD7354"/>
    <w:rsid w:val="57F745A5"/>
    <w:rsid w:val="5C1E3C98"/>
    <w:rsid w:val="5C5E150A"/>
    <w:rsid w:val="5DC774DF"/>
    <w:rsid w:val="615209A4"/>
    <w:rsid w:val="61940107"/>
    <w:rsid w:val="63F92304"/>
    <w:rsid w:val="6723479F"/>
    <w:rsid w:val="690E17B0"/>
    <w:rsid w:val="6C837194"/>
    <w:rsid w:val="6DC50056"/>
    <w:rsid w:val="6FDA47A6"/>
    <w:rsid w:val="70A14B8F"/>
    <w:rsid w:val="7549141C"/>
    <w:rsid w:val="7616089E"/>
    <w:rsid w:val="7673663E"/>
    <w:rsid w:val="7B8842DD"/>
  </w:rsids>
  <m:mathPr>
    <m:mathFont m:val="Cambria Math"/>
    <m:brkBin m:val="before"/>
    <m:brkBinSub m:val="--"/>
    <m:smallFrac m:val="1"/>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ind w:firstLine="720"/>
      <w:jc w:val="both"/>
    </w:pPr>
    <w:rPr>
      <w:rFonts w:ascii="Times New Roman" w:hAnsi="Times New Roman" w:eastAsiaTheme="minorHAnsi" w:cstheme="minorBidi"/>
      <w:sz w:val="24"/>
      <w:szCs w:val="22"/>
      <w:lang w:val="en-IN" w:eastAsia="en-US" w:bidi="ar-SA"/>
    </w:rPr>
  </w:style>
  <w:style w:type="paragraph" w:styleId="2">
    <w:name w:val="heading 1"/>
    <w:basedOn w:val="1"/>
    <w:next w:val="1"/>
    <w:link w:val="16"/>
    <w:qFormat/>
    <w:uiPriority w:val="9"/>
    <w:pPr>
      <w:keepNext/>
      <w:keepLines/>
      <w:spacing w:before="240"/>
      <w:ind w:firstLine="0"/>
      <w:jc w:val="left"/>
      <w:outlineLvl w:val="0"/>
    </w:pPr>
    <w:rPr>
      <w:rFonts w:eastAsiaTheme="majorEastAsia" w:cstheme="majorBidi"/>
      <w:b/>
      <w:color w:val="000000" w:themeColor="text1"/>
      <w:szCs w:val="32"/>
    </w:rPr>
  </w:style>
  <w:style w:type="paragraph" w:styleId="3">
    <w:name w:val="heading 2"/>
    <w:basedOn w:val="1"/>
    <w:next w:val="1"/>
    <w:link w:val="17"/>
    <w:unhideWhenUsed/>
    <w:qFormat/>
    <w:uiPriority w:val="9"/>
    <w:pPr>
      <w:keepNext/>
      <w:keepLines/>
      <w:spacing w:before="40" w:after="0"/>
      <w:ind w:firstLine="0"/>
      <w:jc w:val="left"/>
      <w:outlineLvl w:val="1"/>
    </w:pPr>
    <w:rPr>
      <w:rFonts w:eastAsiaTheme="majorEastAsia" w:cstheme="majorBidi"/>
      <w:b/>
      <w:color w:val="000000" w:themeColor="text1"/>
      <w:szCs w:val="26"/>
    </w:rPr>
  </w:style>
  <w:style w:type="paragraph" w:styleId="4">
    <w:name w:val="heading 3"/>
    <w:basedOn w:val="1"/>
    <w:next w:val="1"/>
    <w:link w:val="19"/>
    <w:unhideWhenUsed/>
    <w:qFormat/>
    <w:uiPriority w:val="9"/>
    <w:pPr>
      <w:keepNext/>
      <w:keepLines/>
      <w:spacing w:after="0"/>
      <w:ind w:firstLine="360"/>
      <w:jc w:val="left"/>
      <w:outlineLvl w:val="2"/>
    </w:pPr>
    <w:rPr>
      <w:rFonts w:eastAsiaTheme="majorEastAsia" w:cstheme="majorBidi"/>
      <w:b/>
      <w:color w:val="000000" w:themeColor="text1"/>
      <w:szCs w:val="24"/>
    </w:rPr>
  </w:style>
  <w:style w:type="paragraph" w:styleId="5">
    <w:name w:val="heading 4"/>
    <w:basedOn w:val="1"/>
    <w:next w:val="1"/>
    <w:semiHidden/>
    <w:unhideWhenUsed/>
    <w:qFormat/>
    <w:uiPriority w:val="9"/>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14">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6">
    <w:name w:val="toc 3"/>
    <w:basedOn w:val="1"/>
    <w:next w:val="1"/>
    <w:unhideWhenUsed/>
    <w:uiPriority w:val="39"/>
    <w:pPr>
      <w:spacing w:after="100"/>
      <w:ind w:left="480"/>
    </w:pPr>
  </w:style>
  <w:style w:type="paragraph" w:styleId="7">
    <w:name w:val="Balloon Text"/>
    <w:basedOn w:val="1"/>
    <w:link w:val="24"/>
    <w:semiHidden/>
    <w:unhideWhenUsed/>
    <w:uiPriority w:val="99"/>
    <w:pPr>
      <w:spacing w:after="0" w:line="240" w:lineRule="auto"/>
    </w:pPr>
    <w:rPr>
      <w:rFonts w:ascii="Tahoma" w:hAnsi="Tahoma" w:cs="Tahoma"/>
      <w:sz w:val="16"/>
      <w:szCs w:val="16"/>
    </w:rPr>
  </w:style>
  <w:style w:type="paragraph" w:styleId="8">
    <w:name w:val="footer"/>
    <w:basedOn w:val="1"/>
    <w:link w:val="22"/>
    <w:unhideWhenUsed/>
    <w:uiPriority w:val="99"/>
    <w:pPr>
      <w:tabs>
        <w:tab w:val="center" w:pos="4513"/>
        <w:tab w:val="right" w:pos="9026"/>
      </w:tabs>
      <w:spacing w:after="0" w:line="240" w:lineRule="auto"/>
    </w:pPr>
  </w:style>
  <w:style w:type="paragraph" w:styleId="9">
    <w:name w:val="header"/>
    <w:basedOn w:val="1"/>
    <w:link w:val="21"/>
    <w:unhideWhenUsed/>
    <w:uiPriority w:val="99"/>
    <w:pPr>
      <w:tabs>
        <w:tab w:val="center" w:pos="4513"/>
        <w:tab w:val="right" w:pos="9026"/>
      </w:tabs>
      <w:spacing w:after="0" w:line="240" w:lineRule="auto"/>
    </w:p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40"/>
    </w:pPr>
  </w:style>
  <w:style w:type="table" w:styleId="13">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15">
    <w:name w:val="Hyperlink"/>
    <w:basedOn w:val="14"/>
    <w:unhideWhenUsed/>
    <w:uiPriority w:val="99"/>
    <w:rPr>
      <w:color w:val="0563C1" w:themeColor="hyperlink"/>
      <w:u w:val="single"/>
    </w:rPr>
  </w:style>
  <w:style w:type="character" w:customStyle="1" w:styleId="16">
    <w:name w:val="Heading 1 Char"/>
    <w:basedOn w:val="14"/>
    <w:link w:val="2"/>
    <w:qFormat/>
    <w:uiPriority w:val="9"/>
    <w:rPr>
      <w:rFonts w:ascii="Times New Roman" w:hAnsi="Times New Roman" w:eastAsiaTheme="majorEastAsia" w:cstheme="majorBidi"/>
      <w:b/>
      <w:color w:val="000000" w:themeColor="text1"/>
      <w:sz w:val="24"/>
      <w:szCs w:val="32"/>
    </w:rPr>
  </w:style>
  <w:style w:type="character" w:customStyle="1" w:styleId="17">
    <w:name w:val="Heading 2 Char"/>
    <w:basedOn w:val="14"/>
    <w:link w:val="3"/>
    <w:qFormat/>
    <w:uiPriority w:val="9"/>
    <w:rPr>
      <w:rFonts w:ascii="Times New Roman" w:hAnsi="Times New Roman" w:eastAsiaTheme="majorEastAsia" w:cstheme="majorBidi"/>
      <w:b/>
      <w:color w:val="000000" w:themeColor="text1"/>
      <w:sz w:val="24"/>
      <w:szCs w:val="26"/>
    </w:rPr>
  </w:style>
  <w:style w:type="paragraph" w:customStyle="1" w:styleId="18">
    <w:name w:val="Style1"/>
    <w:basedOn w:val="4"/>
    <w:link w:val="20"/>
    <w:qFormat/>
    <w:uiPriority w:val="0"/>
    <w:rPr>
      <w:b w:val="0"/>
    </w:rPr>
  </w:style>
  <w:style w:type="character" w:customStyle="1" w:styleId="19">
    <w:name w:val="Heading 3 Char"/>
    <w:basedOn w:val="14"/>
    <w:link w:val="4"/>
    <w:uiPriority w:val="9"/>
    <w:rPr>
      <w:rFonts w:ascii="Times New Roman" w:hAnsi="Times New Roman" w:eastAsiaTheme="majorEastAsia" w:cstheme="majorBidi"/>
      <w:b/>
      <w:color w:val="000000" w:themeColor="text1"/>
      <w:sz w:val="24"/>
      <w:szCs w:val="24"/>
    </w:rPr>
  </w:style>
  <w:style w:type="character" w:customStyle="1" w:styleId="20">
    <w:name w:val="Style1 Char"/>
    <w:basedOn w:val="19"/>
    <w:link w:val="18"/>
    <w:uiPriority w:val="0"/>
    <w:rPr>
      <w:rFonts w:ascii="Times New Roman" w:hAnsi="Times New Roman" w:eastAsiaTheme="majorEastAsia" w:cstheme="majorBidi"/>
      <w:b w:val="0"/>
      <w:color w:val="000000" w:themeColor="text1"/>
      <w:sz w:val="24"/>
      <w:szCs w:val="24"/>
    </w:rPr>
  </w:style>
  <w:style w:type="character" w:customStyle="1" w:styleId="21">
    <w:name w:val="Header Char"/>
    <w:basedOn w:val="14"/>
    <w:link w:val="9"/>
    <w:uiPriority w:val="99"/>
    <w:rPr>
      <w:rFonts w:ascii="Times New Roman" w:hAnsi="Times New Roman"/>
      <w:sz w:val="24"/>
    </w:rPr>
  </w:style>
  <w:style w:type="character" w:customStyle="1" w:styleId="22">
    <w:name w:val="Footer Char"/>
    <w:basedOn w:val="14"/>
    <w:link w:val="8"/>
    <w:uiPriority w:val="99"/>
    <w:rPr>
      <w:rFonts w:ascii="Times New Roman" w:hAnsi="Times New Roman"/>
      <w:sz w:val="24"/>
    </w:rPr>
  </w:style>
  <w:style w:type="paragraph" w:customStyle="1" w:styleId="23">
    <w:name w:val="TOC Heading"/>
    <w:basedOn w:val="2"/>
    <w:next w:val="1"/>
    <w:unhideWhenUsed/>
    <w:qFormat/>
    <w:uiPriority w:val="39"/>
    <w:pPr>
      <w:spacing w:after="0" w:line="259" w:lineRule="auto"/>
      <w:outlineLvl w:val="9"/>
    </w:pPr>
    <w:rPr>
      <w:rFonts w:asciiTheme="majorHAnsi" w:hAnsiTheme="majorHAnsi"/>
      <w:b w:val="0"/>
      <w:color w:val="2E75B5" w:themeColor="accent1" w:themeShade="BF"/>
      <w:sz w:val="32"/>
      <w:lang w:val="en-US"/>
    </w:rPr>
  </w:style>
  <w:style w:type="character" w:customStyle="1" w:styleId="24">
    <w:name w:val="Balloon Text Char"/>
    <w:basedOn w:val="14"/>
    <w:link w:val="7"/>
    <w:semiHidden/>
    <w:uiPriority w:val="99"/>
    <w:rPr>
      <w:rFonts w:ascii="Tahoma" w:hAnsi="Tahoma" w:cs="Tahoma"/>
      <w:sz w:val="16"/>
      <w:szCs w:val="16"/>
    </w:rPr>
  </w:style>
  <w:style w:type="paragraph" w:styleId="2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C2CF91F-9F51-4517-945A-56444FD31C0C}">
  <ds:schemaRefs/>
</ds:datastoreItem>
</file>

<file path=docProps/app.xml><?xml version="1.0" encoding="utf-8"?>
<Properties xmlns="http://schemas.openxmlformats.org/officeDocument/2006/extended-properties" xmlns:vt="http://schemas.openxmlformats.org/officeDocument/2006/docPropsVTypes">
  <Template>Normal</Template>
  <Pages>13</Pages>
  <Words>3344</Words>
  <Characters>19066</Characters>
  <Lines>158</Lines>
  <Paragraphs>44</Paragraphs>
  <TotalTime>4</TotalTime>
  <ScaleCrop>false</ScaleCrop>
  <LinksUpToDate>false</LinksUpToDate>
  <CharactersWithSpaces>22366</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2018-05-13T17:22:00Z</dcterms:created>
  <dc:creator>Shinelon</dc:creator>
  <cp:lastModifiedBy>Shinelon</cp:lastModifiedBy>
  <dcterms:modified xsi:type="dcterms:W3CDTF">2020-03-02T20:16:57Z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