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F8DDB" w14:textId="77777777" w:rsidR="00593CF1" w:rsidRDefault="00593CF1" w:rsidP="00593CF1">
      <w:pPr>
        <w:jc w:val="center"/>
        <w:rPr>
          <w:rFonts w:ascii="Arial" w:hAnsi="Arial" w:cs="Arial"/>
          <w:sz w:val="52"/>
          <w:szCs w:val="52"/>
        </w:rPr>
      </w:pPr>
    </w:p>
    <w:p w14:paraId="5C837CE6" w14:textId="77777777" w:rsidR="00593CF1" w:rsidRDefault="00593CF1" w:rsidP="00593CF1">
      <w:pPr>
        <w:jc w:val="center"/>
        <w:rPr>
          <w:rFonts w:ascii="Arial" w:hAnsi="Arial" w:cs="Arial"/>
          <w:sz w:val="52"/>
          <w:szCs w:val="52"/>
        </w:rPr>
      </w:pPr>
    </w:p>
    <w:p w14:paraId="3D84C18F" w14:textId="77777777" w:rsidR="00593CF1" w:rsidRDefault="00593CF1" w:rsidP="00593CF1">
      <w:pPr>
        <w:jc w:val="center"/>
        <w:rPr>
          <w:rFonts w:ascii="Arial" w:hAnsi="Arial" w:cs="Arial"/>
          <w:sz w:val="52"/>
          <w:szCs w:val="52"/>
        </w:rPr>
      </w:pPr>
    </w:p>
    <w:p w14:paraId="3570BEF3" w14:textId="3B5B6D81" w:rsidR="002D2179" w:rsidRDefault="00593CF1" w:rsidP="00593CF1">
      <w:pPr>
        <w:jc w:val="center"/>
        <w:rPr>
          <w:rFonts w:ascii="Arial" w:hAnsi="Arial" w:cs="Arial"/>
          <w:sz w:val="52"/>
          <w:szCs w:val="52"/>
        </w:rPr>
      </w:pPr>
      <w:r>
        <w:rPr>
          <w:rFonts w:ascii="Arial" w:hAnsi="Arial" w:cs="Arial"/>
          <w:sz w:val="52"/>
          <w:szCs w:val="52"/>
        </w:rPr>
        <w:t xml:space="preserve">Contracting methods in project management </w:t>
      </w:r>
    </w:p>
    <w:p w14:paraId="5B43522B" w14:textId="77777777" w:rsidR="00593CF1" w:rsidRDefault="00593CF1" w:rsidP="00593CF1">
      <w:pPr>
        <w:jc w:val="center"/>
        <w:rPr>
          <w:rFonts w:ascii="Arial" w:hAnsi="Arial" w:cs="Arial"/>
          <w:sz w:val="52"/>
          <w:szCs w:val="52"/>
        </w:rPr>
      </w:pPr>
    </w:p>
    <w:p w14:paraId="570FC864" w14:textId="77777777" w:rsidR="00593CF1" w:rsidRDefault="00593CF1" w:rsidP="00593CF1">
      <w:pPr>
        <w:jc w:val="center"/>
        <w:rPr>
          <w:rFonts w:ascii="Arial" w:hAnsi="Arial" w:cs="Arial"/>
          <w:sz w:val="52"/>
          <w:szCs w:val="52"/>
        </w:rPr>
      </w:pPr>
    </w:p>
    <w:p w14:paraId="53EB3C28" w14:textId="77777777" w:rsidR="00593CF1" w:rsidRDefault="00593CF1" w:rsidP="00593CF1">
      <w:pPr>
        <w:jc w:val="center"/>
        <w:rPr>
          <w:rFonts w:ascii="Arial" w:hAnsi="Arial" w:cs="Arial"/>
          <w:sz w:val="52"/>
          <w:szCs w:val="52"/>
        </w:rPr>
      </w:pPr>
    </w:p>
    <w:p w14:paraId="12DEA135" w14:textId="77777777" w:rsidR="00593CF1" w:rsidRDefault="00593CF1" w:rsidP="00593CF1">
      <w:pPr>
        <w:jc w:val="center"/>
        <w:rPr>
          <w:rFonts w:ascii="Arial" w:hAnsi="Arial" w:cs="Arial"/>
          <w:sz w:val="52"/>
          <w:szCs w:val="52"/>
        </w:rPr>
      </w:pPr>
    </w:p>
    <w:p w14:paraId="5216A42A" w14:textId="77777777" w:rsidR="00593CF1" w:rsidRDefault="00593CF1" w:rsidP="00593CF1">
      <w:pPr>
        <w:jc w:val="center"/>
        <w:rPr>
          <w:rFonts w:ascii="Arial" w:hAnsi="Arial" w:cs="Arial"/>
          <w:sz w:val="52"/>
          <w:szCs w:val="52"/>
        </w:rPr>
      </w:pPr>
    </w:p>
    <w:p w14:paraId="4F4C9D88" w14:textId="77777777" w:rsidR="00593CF1" w:rsidRDefault="00593CF1" w:rsidP="00593CF1">
      <w:pPr>
        <w:jc w:val="center"/>
        <w:rPr>
          <w:rFonts w:ascii="Arial" w:hAnsi="Arial" w:cs="Arial"/>
          <w:sz w:val="52"/>
          <w:szCs w:val="52"/>
        </w:rPr>
      </w:pPr>
    </w:p>
    <w:p w14:paraId="5D427C4E" w14:textId="77777777" w:rsidR="00593CF1" w:rsidRDefault="00593CF1" w:rsidP="00593CF1">
      <w:pPr>
        <w:jc w:val="center"/>
        <w:rPr>
          <w:rFonts w:ascii="Arial" w:hAnsi="Arial" w:cs="Arial"/>
          <w:sz w:val="52"/>
          <w:szCs w:val="52"/>
        </w:rPr>
      </w:pPr>
    </w:p>
    <w:p w14:paraId="0E89EE6F" w14:textId="77777777" w:rsidR="00593CF1" w:rsidRPr="00593CF1" w:rsidRDefault="00593CF1" w:rsidP="00593CF1">
      <w:pPr>
        <w:spacing w:line="276" w:lineRule="auto"/>
        <w:jc w:val="both"/>
        <w:rPr>
          <w:rFonts w:ascii="Arial" w:eastAsia="Aptos" w:hAnsi="Arial" w:cs="Arial"/>
        </w:rPr>
      </w:pPr>
      <w:r w:rsidRPr="00593CF1">
        <w:rPr>
          <w:rFonts w:ascii="Arial" w:eastAsia="Aptos" w:hAnsi="Arial" w:cs="Arial"/>
        </w:rPr>
        <w:t>Student name: Gabriel Catalin Manole</w:t>
      </w:r>
    </w:p>
    <w:p w14:paraId="5C8CCFC5" w14:textId="77777777" w:rsidR="00593CF1" w:rsidRPr="00593CF1" w:rsidRDefault="00593CF1" w:rsidP="00593CF1">
      <w:pPr>
        <w:spacing w:line="276" w:lineRule="auto"/>
        <w:jc w:val="both"/>
        <w:rPr>
          <w:rFonts w:ascii="Arial" w:eastAsia="Aptos" w:hAnsi="Arial" w:cs="Arial"/>
        </w:rPr>
      </w:pPr>
      <w:r w:rsidRPr="00593CF1">
        <w:rPr>
          <w:rFonts w:ascii="Arial" w:eastAsia="Aptos" w:hAnsi="Arial" w:cs="Arial"/>
        </w:rPr>
        <w:t>Student ID: 2223641</w:t>
      </w:r>
    </w:p>
    <w:p w14:paraId="210BA24B" w14:textId="77777777" w:rsidR="00593CF1" w:rsidRPr="00593CF1" w:rsidRDefault="00593CF1" w:rsidP="00593CF1">
      <w:pPr>
        <w:spacing w:line="276" w:lineRule="auto"/>
        <w:jc w:val="both"/>
        <w:rPr>
          <w:rFonts w:ascii="Arial" w:eastAsia="Aptos" w:hAnsi="Arial" w:cs="Arial"/>
        </w:rPr>
      </w:pPr>
      <w:r w:rsidRPr="00593CF1">
        <w:rPr>
          <w:rFonts w:ascii="Arial" w:eastAsia="Aptos" w:hAnsi="Arial" w:cs="Arial"/>
        </w:rPr>
        <w:t xml:space="preserve">Module name:  Project management </w:t>
      </w:r>
    </w:p>
    <w:p w14:paraId="565DD609" w14:textId="77777777" w:rsidR="00593CF1" w:rsidRDefault="00593CF1" w:rsidP="00593CF1">
      <w:pPr>
        <w:spacing w:line="276" w:lineRule="auto"/>
        <w:jc w:val="both"/>
        <w:rPr>
          <w:rFonts w:ascii="Arial" w:eastAsia="Aptos" w:hAnsi="Arial" w:cs="Arial"/>
        </w:rPr>
      </w:pPr>
      <w:r w:rsidRPr="00593CF1">
        <w:rPr>
          <w:rFonts w:ascii="Arial" w:eastAsia="Aptos" w:hAnsi="Arial" w:cs="Arial"/>
        </w:rPr>
        <w:t>Module code: LCBB6006</w:t>
      </w:r>
    </w:p>
    <w:p w14:paraId="270C871A" w14:textId="77777777" w:rsidR="00593CF1" w:rsidRDefault="00593CF1" w:rsidP="00593CF1">
      <w:pPr>
        <w:spacing w:line="276" w:lineRule="auto"/>
        <w:jc w:val="both"/>
        <w:rPr>
          <w:rFonts w:ascii="Arial" w:eastAsia="Aptos" w:hAnsi="Arial" w:cs="Arial"/>
        </w:rPr>
      </w:pPr>
    </w:p>
    <w:p w14:paraId="0A452F85" w14:textId="77777777" w:rsidR="00593CF1" w:rsidRDefault="00593CF1" w:rsidP="00593CF1">
      <w:pPr>
        <w:spacing w:line="276" w:lineRule="auto"/>
        <w:jc w:val="both"/>
        <w:rPr>
          <w:rFonts w:ascii="Arial" w:eastAsia="Aptos" w:hAnsi="Arial" w:cs="Arial"/>
        </w:rPr>
      </w:pPr>
    </w:p>
    <w:p w14:paraId="02CB431A" w14:textId="77777777" w:rsidR="00593CF1" w:rsidRDefault="00593CF1" w:rsidP="00593CF1">
      <w:pPr>
        <w:spacing w:line="276" w:lineRule="auto"/>
        <w:jc w:val="both"/>
        <w:rPr>
          <w:rFonts w:ascii="Arial" w:eastAsia="Aptos" w:hAnsi="Arial" w:cs="Arial"/>
        </w:rPr>
      </w:pPr>
    </w:p>
    <w:p w14:paraId="280C48EF" w14:textId="77777777" w:rsidR="00593CF1" w:rsidRDefault="00593CF1" w:rsidP="00593CF1">
      <w:pPr>
        <w:spacing w:line="276" w:lineRule="auto"/>
        <w:jc w:val="both"/>
        <w:rPr>
          <w:rFonts w:ascii="Arial" w:eastAsia="Aptos" w:hAnsi="Arial" w:cs="Arial"/>
        </w:rPr>
      </w:pPr>
    </w:p>
    <w:sdt>
      <w:sdtPr>
        <w:rPr>
          <w:rFonts w:asciiTheme="minorHAnsi" w:eastAsiaTheme="minorHAnsi" w:hAnsiTheme="minorHAnsi" w:cstheme="minorBidi"/>
          <w:color w:val="auto"/>
          <w:kern w:val="2"/>
          <w:sz w:val="24"/>
          <w:szCs w:val="24"/>
          <w:lang w:eastAsia="en-US"/>
          <w14:ligatures w14:val="standardContextual"/>
        </w:rPr>
        <w:id w:val="1587796448"/>
        <w:docPartObj>
          <w:docPartGallery w:val="Table of Contents"/>
          <w:docPartUnique/>
        </w:docPartObj>
      </w:sdtPr>
      <w:sdtEndPr>
        <w:rPr>
          <w:b/>
          <w:bCs/>
        </w:rPr>
      </w:sdtEndPr>
      <w:sdtContent>
        <w:p w14:paraId="62B90F42" w14:textId="11EC3FA1" w:rsidR="00593CF1" w:rsidRDefault="00593CF1">
          <w:pPr>
            <w:pStyle w:val="TOCHeading"/>
          </w:pPr>
          <w:r>
            <w:t>Contents</w:t>
          </w:r>
        </w:p>
        <w:p w14:paraId="3F8E58D8" w14:textId="310D1C8D" w:rsidR="00B107F9" w:rsidRDefault="00593CF1">
          <w:pPr>
            <w:pStyle w:val="TOC1"/>
            <w:tabs>
              <w:tab w:val="right" w:leader="dot" w:pos="9016"/>
            </w:tabs>
            <w:rPr>
              <w:noProof/>
            </w:rPr>
          </w:pPr>
          <w:r>
            <w:fldChar w:fldCharType="begin"/>
          </w:r>
          <w:r>
            <w:instrText xml:space="preserve"> TOC \o "1-3" \h \z \u </w:instrText>
          </w:r>
          <w:r>
            <w:fldChar w:fldCharType="separate"/>
          </w:r>
          <w:hyperlink w:anchor="_Toc235003013" w:history="1">
            <w:r w:rsidR="00B107F9" w:rsidRPr="00F735DB">
              <w:rPr>
                <w:rStyle w:val="Hyperlink"/>
                <w:rFonts w:ascii="Arial" w:eastAsia="Aptos" w:hAnsi="Arial" w:cs="Arial"/>
                <w:noProof/>
              </w:rPr>
              <w:t>Introduction</w:t>
            </w:r>
            <w:r w:rsidR="00B107F9">
              <w:rPr>
                <w:noProof/>
                <w:webHidden/>
              </w:rPr>
              <w:tab/>
            </w:r>
            <w:r w:rsidR="00B107F9">
              <w:rPr>
                <w:noProof/>
                <w:webHidden/>
              </w:rPr>
              <w:fldChar w:fldCharType="begin"/>
            </w:r>
            <w:r w:rsidR="00B107F9">
              <w:rPr>
                <w:noProof/>
                <w:webHidden/>
              </w:rPr>
              <w:instrText xml:space="preserve"> PAGEREF _Toc235003013 \h </w:instrText>
            </w:r>
            <w:r w:rsidR="00B107F9">
              <w:rPr>
                <w:noProof/>
                <w:webHidden/>
              </w:rPr>
            </w:r>
            <w:r w:rsidR="00B107F9">
              <w:rPr>
                <w:noProof/>
                <w:webHidden/>
              </w:rPr>
              <w:fldChar w:fldCharType="separate"/>
            </w:r>
            <w:r w:rsidR="00B107F9">
              <w:rPr>
                <w:noProof/>
                <w:webHidden/>
              </w:rPr>
              <w:t>3</w:t>
            </w:r>
            <w:r w:rsidR="00B107F9">
              <w:rPr>
                <w:noProof/>
                <w:webHidden/>
              </w:rPr>
              <w:fldChar w:fldCharType="end"/>
            </w:r>
          </w:hyperlink>
        </w:p>
        <w:p w14:paraId="52F31B4A" w14:textId="14617C5A" w:rsidR="00B107F9" w:rsidRDefault="00B107F9" w:rsidP="00B107F9">
          <w:pPr>
            <w:pStyle w:val="TOC2"/>
            <w:tabs>
              <w:tab w:val="right" w:leader="dot" w:pos="9016"/>
            </w:tabs>
            <w:ind w:left="0"/>
            <w:rPr>
              <w:noProof/>
            </w:rPr>
          </w:pPr>
          <w:hyperlink w:anchor="_Toc235003014" w:history="1">
            <w:r w:rsidRPr="00F735DB">
              <w:rPr>
                <w:rStyle w:val="Hyperlink"/>
                <w:rFonts w:ascii="Arial" w:hAnsi="Arial" w:cs="Arial"/>
                <w:noProof/>
              </w:rPr>
              <w:t>Analytical framework for contracting</w:t>
            </w:r>
            <w:r>
              <w:rPr>
                <w:noProof/>
                <w:webHidden/>
              </w:rPr>
              <w:tab/>
            </w:r>
            <w:r>
              <w:rPr>
                <w:noProof/>
                <w:webHidden/>
              </w:rPr>
              <w:fldChar w:fldCharType="begin"/>
            </w:r>
            <w:r>
              <w:rPr>
                <w:noProof/>
                <w:webHidden/>
              </w:rPr>
              <w:instrText xml:space="preserve"> PAGEREF _Toc235003014 \h </w:instrText>
            </w:r>
            <w:r>
              <w:rPr>
                <w:noProof/>
                <w:webHidden/>
              </w:rPr>
            </w:r>
            <w:r>
              <w:rPr>
                <w:noProof/>
                <w:webHidden/>
              </w:rPr>
              <w:fldChar w:fldCharType="separate"/>
            </w:r>
            <w:r>
              <w:rPr>
                <w:noProof/>
                <w:webHidden/>
              </w:rPr>
              <w:t>4</w:t>
            </w:r>
            <w:r>
              <w:rPr>
                <w:noProof/>
                <w:webHidden/>
              </w:rPr>
              <w:fldChar w:fldCharType="end"/>
            </w:r>
          </w:hyperlink>
        </w:p>
        <w:p w14:paraId="536ACCAF" w14:textId="5684D65C" w:rsidR="00B107F9" w:rsidRDefault="00B107F9" w:rsidP="00B107F9">
          <w:pPr>
            <w:pStyle w:val="TOC2"/>
            <w:tabs>
              <w:tab w:val="right" w:leader="dot" w:pos="9016"/>
            </w:tabs>
            <w:ind w:left="0"/>
            <w:rPr>
              <w:noProof/>
            </w:rPr>
          </w:pPr>
          <w:hyperlink w:anchor="_Toc235003015" w:history="1">
            <w:r w:rsidRPr="00F735DB">
              <w:rPr>
                <w:rStyle w:val="Hyperlink"/>
                <w:rFonts w:ascii="Arial" w:hAnsi="Arial" w:cs="Arial"/>
                <w:noProof/>
              </w:rPr>
              <w:t>Turnkey contracting</w:t>
            </w:r>
            <w:r>
              <w:rPr>
                <w:noProof/>
                <w:webHidden/>
              </w:rPr>
              <w:tab/>
            </w:r>
            <w:r>
              <w:rPr>
                <w:noProof/>
                <w:webHidden/>
              </w:rPr>
              <w:fldChar w:fldCharType="begin"/>
            </w:r>
            <w:r>
              <w:rPr>
                <w:noProof/>
                <w:webHidden/>
              </w:rPr>
              <w:instrText xml:space="preserve"> PAGEREF _Toc235003015 \h </w:instrText>
            </w:r>
            <w:r>
              <w:rPr>
                <w:noProof/>
                <w:webHidden/>
              </w:rPr>
            </w:r>
            <w:r>
              <w:rPr>
                <w:noProof/>
                <w:webHidden/>
              </w:rPr>
              <w:fldChar w:fldCharType="separate"/>
            </w:r>
            <w:r>
              <w:rPr>
                <w:noProof/>
                <w:webHidden/>
              </w:rPr>
              <w:t>5</w:t>
            </w:r>
            <w:r>
              <w:rPr>
                <w:noProof/>
                <w:webHidden/>
              </w:rPr>
              <w:fldChar w:fldCharType="end"/>
            </w:r>
          </w:hyperlink>
        </w:p>
        <w:p w14:paraId="433B3781" w14:textId="12349988" w:rsidR="00B107F9" w:rsidRDefault="00B107F9" w:rsidP="00B107F9">
          <w:pPr>
            <w:pStyle w:val="TOC2"/>
            <w:tabs>
              <w:tab w:val="right" w:leader="dot" w:pos="9016"/>
            </w:tabs>
            <w:ind w:left="0"/>
            <w:rPr>
              <w:noProof/>
            </w:rPr>
          </w:pPr>
          <w:hyperlink w:anchor="_Toc235003016" w:history="1">
            <w:r w:rsidRPr="00F735DB">
              <w:rPr>
                <w:rStyle w:val="Hyperlink"/>
                <w:rFonts w:ascii="Arial" w:hAnsi="Arial" w:cs="Arial"/>
                <w:noProof/>
              </w:rPr>
              <w:t>Multicontracting</w:t>
            </w:r>
            <w:r>
              <w:rPr>
                <w:noProof/>
                <w:webHidden/>
              </w:rPr>
              <w:tab/>
            </w:r>
            <w:r>
              <w:rPr>
                <w:noProof/>
                <w:webHidden/>
              </w:rPr>
              <w:fldChar w:fldCharType="begin"/>
            </w:r>
            <w:r>
              <w:rPr>
                <w:noProof/>
                <w:webHidden/>
              </w:rPr>
              <w:instrText xml:space="preserve"> PAGEREF _Toc235003016 \h </w:instrText>
            </w:r>
            <w:r>
              <w:rPr>
                <w:noProof/>
                <w:webHidden/>
              </w:rPr>
            </w:r>
            <w:r>
              <w:rPr>
                <w:noProof/>
                <w:webHidden/>
              </w:rPr>
              <w:fldChar w:fldCharType="separate"/>
            </w:r>
            <w:r>
              <w:rPr>
                <w:noProof/>
                <w:webHidden/>
              </w:rPr>
              <w:t>6</w:t>
            </w:r>
            <w:r>
              <w:rPr>
                <w:noProof/>
                <w:webHidden/>
              </w:rPr>
              <w:fldChar w:fldCharType="end"/>
            </w:r>
          </w:hyperlink>
        </w:p>
        <w:p w14:paraId="51CD3936" w14:textId="28D33919" w:rsidR="00B107F9" w:rsidRDefault="00B107F9" w:rsidP="00B107F9">
          <w:pPr>
            <w:pStyle w:val="TOC2"/>
            <w:tabs>
              <w:tab w:val="right" w:leader="dot" w:pos="9016"/>
            </w:tabs>
            <w:ind w:left="0"/>
            <w:rPr>
              <w:noProof/>
            </w:rPr>
          </w:pPr>
          <w:hyperlink w:anchor="_Toc235003017" w:history="1">
            <w:r w:rsidRPr="00F735DB">
              <w:rPr>
                <w:rStyle w:val="Hyperlink"/>
                <w:rFonts w:ascii="Arial" w:hAnsi="Arial" w:cs="Arial"/>
                <w:noProof/>
              </w:rPr>
              <w:t>Do-it-yourself (DIY) contracting</w:t>
            </w:r>
            <w:r>
              <w:rPr>
                <w:noProof/>
                <w:webHidden/>
              </w:rPr>
              <w:tab/>
            </w:r>
            <w:r>
              <w:rPr>
                <w:noProof/>
                <w:webHidden/>
              </w:rPr>
              <w:fldChar w:fldCharType="begin"/>
            </w:r>
            <w:r>
              <w:rPr>
                <w:noProof/>
                <w:webHidden/>
              </w:rPr>
              <w:instrText xml:space="preserve"> PAGEREF _Toc235003017 \h </w:instrText>
            </w:r>
            <w:r>
              <w:rPr>
                <w:noProof/>
                <w:webHidden/>
              </w:rPr>
            </w:r>
            <w:r>
              <w:rPr>
                <w:noProof/>
                <w:webHidden/>
              </w:rPr>
              <w:fldChar w:fldCharType="separate"/>
            </w:r>
            <w:r>
              <w:rPr>
                <w:noProof/>
                <w:webHidden/>
              </w:rPr>
              <w:t>7</w:t>
            </w:r>
            <w:r>
              <w:rPr>
                <w:noProof/>
                <w:webHidden/>
              </w:rPr>
              <w:fldChar w:fldCharType="end"/>
            </w:r>
          </w:hyperlink>
        </w:p>
        <w:p w14:paraId="4918B54B" w14:textId="6CB42867" w:rsidR="00B107F9" w:rsidRDefault="00B107F9" w:rsidP="00B107F9">
          <w:pPr>
            <w:pStyle w:val="TOC2"/>
            <w:tabs>
              <w:tab w:val="right" w:leader="dot" w:pos="9016"/>
            </w:tabs>
            <w:ind w:left="0"/>
            <w:rPr>
              <w:noProof/>
            </w:rPr>
          </w:pPr>
          <w:hyperlink w:anchor="_Toc235003018" w:history="1">
            <w:r w:rsidRPr="00F735DB">
              <w:rPr>
                <w:rStyle w:val="Hyperlink"/>
                <w:rFonts w:ascii="Arial" w:hAnsi="Arial" w:cs="Arial"/>
                <w:noProof/>
              </w:rPr>
              <w:t>Multicontract plus DIY</w:t>
            </w:r>
            <w:r>
              <w:rPr>
                <w:noProof/>
                <w:webHidden/>
              </w:rPr>
              <w:tab/>
            </w:r>
            <w:r>
              <w:rPr>
                <w:noProof/>
                <w:webHidden/>
              </w:rPr>
              <w:fldChar w:fldCharType="begin"/>
            </w:r>
            <w:r>
              <w:rPr>
                <w:noProof/>
                <w:webHidden/>
              </w:rPr>
              <w:instrText xml:space="preserve"> PAGEREF _Toc235003018 \h </w:instrText>
            </w:r>
            <w:r>
              <w:rPr>
                <w:noProof/>
                <w:webHidden/>
              </w:rPr>
            </w:r>
            <w:r>
              <w:rPr>
                <w:noProof/>
                <w:webHidden/>
              </w:rPr>
              <w:fldChar w:fldCharType="separate"/>
            </w:r>
            <w:r>
              <w:rPr>
                <w:noProof/>
                <w:webHidden/>
              </w:rPr>
              <w:t>7</w:t>
            </w:r>
            <w:r>
              <w:rPr>
                <w:noProof/>
                <w:webHidden/>
              </w:rPr>
              <w:fldChar w:fldCharType="end"/>
            </w:r>
          </w:hyperlink>
        </w:p>
        <w:p w14:paraId="53EFCE91" w14:textId="5FDD2148" w:rsidR="00B107F9" w:rsidRDefault="00B107F9" w:rsidP="00B107F9">
          <w:pPr>
            <w:pStyle w:val="TOC2"/>
            <w:tabs>
              <w:tab w:val="right" w:leader="dot" w:pos="9016"/>
            </w:tabs>
            <w:ind w:left="0"/>
            <w:rPr>
              <w:noProof/>
            </w:rPr>
          </w:pPr>
          <w:hyperlink w:anchor="_Toc235003019" w:history="1">
            <w:r w:rsidRPr="00F735DB">
              <w:rPr>
                <w:rStyle w:val="Hyperlink"/>
                <w:rFonts w:ascii="Arial" w:hAnsi="Arial" w:cs="Arial"/>
                <w:noProof/>
              </w:rPr>
              <w:t>Comparative evaluation</w:t>
            </w:r>
            <w:r>
              <w:rPr>
                <w:noProof/>
                <w:webHidden/>
              </w:rPr>
              <w:tab/>
            </w:r>
            <w:r>
              <w:rPr>
                <w:noProof/>
                <w:webHidden/>
              </w:rPr>
              <w:fldChar w:fldCharType="begin"/>
            </w:r>
            <w:r>
              <w:rPr>
                <w:noProof/>
                <w:webHidden/>
              </w:rPr>
              <w:instrText xml:space="preserve"> PAGEREF _Toc235003019 \h </w:instrText>
            </w:r>
            <w:r>
              <w:rPr>
                <w:noProof/>
                <w:webHidden/>
              </w:rPr>
            </w:r>
            <w:r>
              <w:rPr>
                <w:noProof/>
                <w:webHidden/>
              </w:rPr>
              <w:fldChar w:fldCharType="separate"/>
            </w:r>
            <w:r>
              <w:rPr>
                <w:noProof/>
                <w:webHidden/>
              </w:rPr>
              <w:t>8</w:t>
            </w:r>
            <w:r>
              <w:rPr>
                <w:noProof/>
                <w:webHidden/>
              </w:rPr>
              <w:fldChar w:fldCharType="end"/>
            </w:r>
          </w:hyperlink>
        </w:p>
        <w:p w14:paraId="31D48617" w14:textId="1EA5D262" w:rsidR="00B107F9" w:rsidRDefault="00B107F9" w:rsidP="00B107F9">
          <w:pPr>
            <w:pStyle w:val="TOC3"/>
            <w:tabs>
              <w:tab w:val="right" w:leader="dot" w:pos="9016"/>
            </w:tabs>
            <w:ind w:left="0"/>
            <w:rPr>
              <w:noProof/>
            </w:rPr>
          </w:pPr>
          <w:hyperlink w:anchor="_Toc235003020" w:history="1">
            <w:r w:rsidRPr="00F735D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_Toc235003020 \h </w:instrText>
            </w:r>
            <w:r>
              <w:rPr>
                <w:noProof/>
                <w:webHidden/>
              </w:rPr>
            </w:r>
            <w:r>
              <w:rPr>
                <w:noProof/>
                <w:webHidden/>
              </w:rPr>
              <w:fldChar w:fldCharType="separate"/>
            </w:r>
            <w:r>
              <w:rPr>
                <w:noProof/>
                <w:webHidden/>
              </w:rPr>
              <w:t>10</w:t>
            </w:r>
            <w:r>
              <w:rPr>
                <w:noProof/>
                <w:webHidden/>
              </w:rPr>
              <w:fldChar w:fldCharType="end"/>
            </w:r>
          </w:hyperlink>
        </w:p>
        <w:p w14:paraId="4128EC09" w14:textId="300D3D23" w:rsidR="00B107F9" w:rsidRDefault="00B107F9" w:rsidP="00B107F9">
          <w:pPr>
            <w:pStyle w:val="TOC3"/>
            <w:tabs>
              <w:tab w:val="right" w:leader="dot" w:pos="9016"/>
            </w:tabs>
            <w:ind w:left="0"/>
            <w:rPr>
              <w:noProof/>
            </w:rPr>
          </w:pPr>
          <w:hyperlink w:anchor="_Toc235003021" w:history="1">
            <w:r w:rsidRPr="00F735D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_Toc235003021 \h </w:instrText>
            </w:r>
            <w:r>
              <w:rPr>
                <w:noProof/>
                <w:webHidden/>
              </w:rPr>
            </w:r>
            <w:r>
              <w:rPr>
                <w:noProof/>
                <w:webHidden/>
              </w:rPr>
              <w:fldChar w:fldCharType="separate"/>
            </w:r>
            <w:r>
              <w:rPr>
                <w:noProof/>
                <w:webHidden/>
              </w:rPr>
              <w:t>11</w:t>
            </w:r>
            <w:r>
              <w:rPr>
                <w:noProof/>
                <w:webHidden/>
              </w:rPr>
              <w:fldChar w:fldCharType="end"/>
            </w:r>
          </w:hyperlink>
        </w:p>
        <w:p w14:paraId="708B3456" w14:textId="59F3DA47" w:rsidR="00593CF1" w:rsidRDefault="00593CF1">
          <w:r>
            <w:rPr>
              <w:b/>
              <w:bCs/>
              <w:noProof/>
            </w:rPr>
            <w:fldChar w:fldCharType="end"/>
          </w:r>
        </w:p>
      </w:sdtContent>
    </w:sdt>
    <w:p w14:paraId="6C8F7B73" w14:textId="77777777" w:rsidR="00593CF1" w:rsidRDefault="00593CF1" w:rsidP="00593CF1">
      <w:pPr>
        <w:spacing w:line="276" w:lineRule="auto"/>
        <w:jc w:val="both"/>
        <w:rPr>
          <w:rFonts w:ascii="Arial" w:eastAsia="Aptos" w:hAnsi="Arial" w:cs="Arial"/>
        </w:rPr>
      </w:pPr>
    </w:p>
    <w:p w14:paraId="087D0750" w14:textId="77777777" w:rsidR="00593CF1" w:rsidRDefault="00593CF1" w:rsidP="00593CF1">
      <w:pPr>
        <w:spacing w:line="276" w:lineRule="auto"/>
        <w:jc w:val="both"/>
        <w:rPr>
          <w:rFonts w:ascii="Arial" w:eastAsia="Aptos" w:hAnsi="Arial" w:cs="Arial"/>
        </w:rPr>
      </w:pPr>
    </w:p>
    <w:p w14:paraId="51213130" w14:textId="77777777" w:rsidR="00593CF1" w:rsidRDefault="00593CF1" w:rsidP="00593CF1">
      <w:pPr>
        <w:spacing w:line="276" w:lineRule="auto"/>
        <w:jc w:val="both"/>
        <w:rPr>
          <w:rFonts w:ascii="Arial" w:eastAsia="Aptos" w:hAnsi="Arial" w:cs="Arial"/>
        </w:rPr>
      </w:pPr>
    </w:p>
    <w:p w14:paraId="3079F3BB" w14:textId="77777777" w:rsidR="00593CF1" w:rsidRDefault="00593CF1" w:rsidP="00593CF1">
      <w:pPr>
        <w:spacing w:line="276" w:lineRule="auto"/>
        <w:jc w:val="both"/>
        <w:rPr>
          <w:rFonts w:ascii="Arial" w:eastAsia="Aptos" w:hAnsi="Arial" w:cs="Arial"/>
        </w:rPr>
      </w:pPr>
    </w:p>
    <w:p w14:paraId="6D0850D6" w14:textId="77777777" w:rsidR="00593CF1" w:rsidRDefault="00593CF1" w:rsidP="00593CF1">
      <w:pPr>
        <w:spacing w:line="276" w:lineRule="auto"/>
        <w:jc w:val="both"/>
        <w:rPr>
          <w:rFonts w:ascii="Arial" w:eastAsia="Aptos" w:hAnsi="Arial" w:cs="Arial"/>
        </w:rPr>
      </w:pPr>
    </w:p>
    <w:p w14:paraId="183A436C" w14:textId="77777777" w:rsidR="00593CF1" w:rsidRDefault="00593CF1" w:rsidP="00593CF1">
      <w:pPr>
        <w:spacing w:line="276" w:lineRule="auto"/>
        <w:jc w:val="both"/>
        <w:rPr>
          <w:rFonts w:ascii="Arial" w:eastAsia="Aptos" w:hAnsi="Arial" w:cs="Arial"/>
        </w:rPr>
      </w:pPr>
    </w:p>
    <w:p w14:paraId="459E3ED2" w14:textId="77777777" w:rsidR="00593CF1" w:rsidRDefault="00593CF1" w:rsidP="00593CF1">
      <w:pPr>
        <w:spacing w:line="276" w:lineRule="auto"/>
        <w:jc w:val="both"/>
        <w:rPr>
          <w:rFonts w:ascii="Arial" w:eastAsia="Aptos" w:hAnsi="Arial" w:cs="Arial"/>
        </w:rPr>
      </w:pPr>
    </w:p>
    <w:p w14:paraId="4F95620E" w14:textId="77777777" w:rsidR="00593CF1" w:rsidRDefault="00593CF1" w:rsidP="00593CF1">
      <w:pPr>
        <w:spacing w:line="276" w:lineRule="auto"/>
        <w:jc w:val="both"/>
        <w:rPr>
          <w:rFonts w:ascii="Arial" w:eastAsia="Aptos" w:hAnsi="Arial" w:cs="Arial"/>
        </w:rPr>
      </w:pPr>
    </w:p>
    <w:p w14:paraId="09904465" w14:textId="77777777" w:rsidR="00593CF1" w:rsidRDefault="00593CF1" w:rsidP="00593CF1">
      <w:pPr>
        <w:spacing w:line="276" w:lineRule="auto"/>
        <w:jc w:val="both"/>
        <w:rPr>
          <w:rFonts w:ascii="Arial" w:eastAsia="Aptos" w:hAnsi="Arial" w:cs="Arial"/>
        </w:rPr>
      </w:pPr>
    </w:p>
    <w:p w14:paraId="590E0708" w14:textId="77777777" w:rsidR="00593CF1" w:rsidRDefault="00593CF1" w:rsidP="00593CF1">
      <w:pPr>
        <w:spacing w:line="276" w:lineRule="auto"/>
        <w:jc w:val="both"/>
        <w:rPr>
          <w:rFonts w:ascii="Arial" w:eastAsia="Aptos" w:hAnsi="Arial" w:cs="Arial"/>
        </w:rPr>
      </w:pPr>
    </w:p>
    <w:p w14:paraId="045FD5E4" w14:textId="77777777" w:rsidR="00593CF1" w:rsidRDefault="00593CF1" w:rsidP="00593CF1">
      <w:pPr>
        <w:spacing w:line="276" w:lineRule="auto"/>
        <w:jc w:val="both"/>
        <w:rPr>
          <w:rFonts w:ascii="Arial" w:eastAsia="Aptos" w:hAnsi="Arial" w:cs="Arial"/>
        </w:rPr>
      </w:pPr>
    </w:p>
    <w:p w14:paraId="0B729AED" w14:textId="77777777" w:rsidR="00593CF1" w:rsidRDefault="00593CF1" w:rsidP="00593CF1">
      <w:pPr>
        <w:spacing w:line="276" w:lineRule="auto"/>
        <w:jc w:val="both"/>
        <w:rPr>
          <w:rFonts w:ascii="Arial" w:eastAsia="Aptos" w:hAnsi="Arial" w:cs="Arial"/>
        </w:rPr>
      </w:pPr>
    </w:p>
    <w:p w14:paraId="203ED7F1" w14:textId="77777777" w:rsidR="00593CF1" w:rsidRDefault="00593CF1" w:rsidP="00593CF1">
      <w:pPr>
        <w:spacing w:line="276" w:lineRule="auto"/>
        <w:jc w:val="both"/>
        <w:rPr>
          <w:rFonts w:ascii="Arial" w:eastAsia="Aptos" w:hAnsi="Arial" w:cs="Arial"/>
        </w:rPr>
      </w:pPr>
    </w:p>
    <w:p w14:paraId="5C993AEB" w14:textId="77777777" w:rsidR="00593CF1" w:rsidRDefault="00593CF1" w:rsidP="00593CF1">
      <w:pPr>
        <w:spacing w:line="276" w:lineRule="auto"/>
        <w:jc w:val="both"/>
        <w:rPr>
          <w:rFonts w:ascii="Arial" w:eastAsia="Aptos" w:hAnsi="Arial" w:cs="Arial"/>
        </w:rPr>
      </w:pPr>
    </w:p>
    <w:p w14:paraId="382620CF" w14:textId="77777777" w:rsidR="00593CF1" w:rsidRDefault="00593CF1" w:rsidP="00593CF1">
      <w:pPr>
        <w:spacing w:line="276" w:lineRule="auto"/>
        <w:jc w:val="both"/>
        <w:rPr>
          <w:rFonts w:ascii="Arial" w:eastAsia="Aptos" w:hAnsi="Arial" w:cs="Arial"/>
        </w:rPr>
      </w:pPr>
    </w:p>
    <w:p w14:paraId="15549A97" w14:textId="77777777" w:rsidR="00593CF1" w:rsidRDefault="00593CF1" w:rsidP="00593CF1">
      <w:pPr>
        <w:spacing w:line="276" w:lineRule="auto"/>
        <w:jc w:val="both"/>
        <w:rPr>
          <w:rFonts w:ascii="Arial" w:eastAsia="Aptos" w:hAnsi="Arial" w:cs="Arial"/>
        </w:rPr>
      </w:pPr>
    </w:p>
    <w:p w14:paraId="4F49CAC7" w14:textId="77777777" w:rsidR="00593CF1" w:rsidRDefault="00593CF1" w:rsidP="00593CF1">
      <w:pPr>
        <w:spacing w:line="276" w:lineRule="auto"/>
        <w:jc w:val="both"/>
        <w:rPr>
          <w:rFonts w:ascii="Arial" w:eastAsia="Aptos" w:hAnsi="Arial" w:cs="Arial"/>
        </w:rPr>
      </w:pPr>
    </w:p>
    <w:p w14:paraId="3F0C8CF5" w14:textId="77777777" w:rsidR="00593CF1" w:rsidRDefault="00593CF1" w:rsidP="00593CF1">
      <w:pPr>
        <w:spacing w:line="276" w:lineRule="auto"/>
        <w:jc w:val="both"/>
        <w:rPr>
          <w:rFonts w:ascii="Arial" w:eastAsia="Aptos" w:hAnsi="Arial" w:cs="Arial"/>
        </w:rPr>
      </w:pPr>
    </w:p>
    <w:p w14:paraId="6BC1EF39" w14:textId="77777777" w:rsidR="00593CF1" w:rsidRDefault="00593CF1" w:rsidP="00593CF1">
      <w:pPr>
        <w:spacing w:line="276" w:lineRule="auto"/>
        <w:jc w:val="both"/>
        <w:rPr>
          <w:rFonts w:ascii="Arial" w:eastAsia="Aptos" w:hAnsi="Arial" w:cs="Arial"/>
        </w:rPr>
      </w:pPr>
    </w:p>
    <w:p w14:paraId="399EDA5C" w14:textId="647DCC10" w:rsidR="00593CF1" w:rsidRPr="00593CF1" w:rsidRDefault="00593CF1" w:rsidP="00593CF1">
      <w:pPr>
        <w:pStyle w:val="Heading1"/>
        <w:spacing w:line="360" w:lineRule="auto"/>
        <w:jc w:val="both"/>
        <w:rPr>
          <w:rFonts w:ascii="Arial" w:eastAsia="Aptos" w:hAnsi="Arial" w:cs="Arial"/>
          <w:sz w:val="28"/>
          <w:szCs w:val="28"/>
        </w:rPr>
      </w:pPr>
      <w:bookmarkStart w:id="0" w:name="_Toc235003013"/>
      <w:r w:rsidRPr="00593CF1">
        <w:rPr>
          <w:rFonts w:ascii="Arial" w:eastAsia="Aptos" w:hAnsi="Arial" w:cs="Arial"/>
          <w:sz w:val="28"/>
          <w:szCs w:val="28"/>
        </w:rPr>
        <w:lastRenderedPageBreak/>
        <w:t>Introduction</w:t>
      </w:r>
      <w:bookmarkEnd w:id="0"/>
      <w:r w:rsidRPr="00593CF1">
        <w:rPr>
          <w:rFonts w:ascii="Arial" w:eastAsia="Aptos" w:hAnsi="Arial" w:cs="Arial"/>
          <w:sz w:val="28"/>
          <w:szCs w:val="28"/>
        </w:rPr>
        <w:t xml:space="preserve"> </w:t>
      </w:r>
    </w:p>
    <w:p w14:paraId="3B41AD7E" w14:textId="70F08722" w:rsidR="009079FC" w:rsidRDefault="00343F8B" w:rsidP="00593CF1">
      <w:pPr>
        <w:spacing w:line="360" w:lineRule="auto"/>
        <w:jc w:val="both"/>
        <w:rPr>
          <w:rFonts w:ascii="Arial" w:hAnsi="Arial" w:cs="Arial"/>
        </w:rPr>
      </w:pPr>
      <w:r>
        <w:rPr>
          <w:rFonts w:ascii="Arial" w:hAnsi="Arial" w:cs="Arial"/>
        </w:rPr>
        <w:t>Project management i</w:t>
      </w:r>
      <w:r w:rsidR="002042C3">
        <w:rPr>
          <w:rFonts w:ascii="Arial" w:hAnsi="Arial" w:cs="Arial"/>
        </w:rPr>
        <w:t xml:space="preserve">nvolves using appropriate expertise, skills, resources and processes to achieve defined outcomes while working within agreed limits for scope, schedule, budget and quality. An important aspect is choosing a suitable contracting method, as this establishes how duties, resources and risks are shared between the project owner and external organisations. </w:t>
      </w:r>
      <w:r>
        <w:rPr>
          <w:rFonts w:ascii="Arial" w:hAnsi="Arial" w:cs="Arial"/>
        </w:rPr>
        <w:t xml:space="preserve">Masterman (2002) defines a procurement system as the organisational structure through which design and construction are managed. This differs from pricing methods such as lump-sum or cost-reimbursable contracts because contracting methods determine who performs and coordinates the work rather than how that work is paid for. </w:t>
      </w:r>
    </w:p>
    <w:p w14:paraId="6F3229D5" w14:textId="426B0A86" w:rsidR="00343F8B" w:rsidRDefault="00343F8B" w:rsidP="00593CF1">
      <w:pPr>
        <w:spacing w:line="360" w:lineRule="auto"/>
        <w:jc w:val="both"/>
        <w:rPr>
          <w:rFonts w:ascii="Arial" w:hAnsi="Arial" w:cs="Arial"/>
        </w:rPr>
      </w:pPr>
      <w:r>
        <w:rPr>
          <w:rFonts w:ascii="Arial" w:hAnsi="Arial" w:cs="Arial"/>
        </w:rPr>
        <w:t>Projects may choose to contract out work for several reasons, including gaining access to specialist expertise, increasing organisational capacity, reducing the need for internal resources and obtaining advanced technology or equipment. Contracting can also improve efficiency by allocating specific responsibilities to organisations with the experience and capability to manage them effectively. However, no single contracting method is suitable for every project, as the most appropriate choice depends on factors such as project complexity, client experience, available resources and uncertainty (Love, Skitmore and Earl, 1998; El Sawalhi and El Agha, 2017). This essay examines the four principal contracting methods – turnkey, multicontracting, DIY and multicontract plus DIY – and critically evaluates their advantages, disadvantages and suitability for different project environments.</w:t>
      </w:r>
    </w:p>
    <w:p w14:paraId="7E7A425E" w14:textId="77777777" w:rsidR="00343F8B" w:rsidRDefault="00343F8B" w:rsidP="00593CF1">
      <w:pPr>
        <w:spacing w:line="360" w:lineRule="auto"/>
        <w:jc w:val="both"/>
        <w:rPr>
          <w:rFonts w:ascii="Arial" w:hAnsi="Arial" w:cs="Arial"/>
        </w:rPr>
      </w:pPr>
    </w:p>
    <w:p w14:paraId="4063EBF8" w14:textId="77777777" w:rsidR="009079FC" w:rsidRDefault="009079FC" w:rsidP="00593CF1">
      <w:pPr>
        <w:spacing w:line="360" w:lineRule="auto"/>
        <w:jc w:val="both"/>
        <w:rPr>
          <w:rFonts w:ascii="Arial" w:hAnsi="Arial" w:cs="Arial"/>
        </w:rPr>
      </w:pPr>
    </w:p>
    <w:p w14:paraId="0ED1D2BE" w14:textId="77777777" w:rsidR="009079FC" w:rsidRDefault="009079FC" w:rsidP="00593CF1">
      <w:pPr>
        <w:spacing w:line="360" w:lineRule="auto"/>
        <w:jc w:val="both"/>
        <w:rPr>
          <w:rFonts w:ascii="Arial" w:hAnsi="Arial" w:cs="Arial"/>
        </w:rPr>
      </w:pPr>
    </w:p>
    <w:p w14:paraId="5110FF64" w14:textId="77777777" w:rsidR="009079FC" w:rsidRDefault="009079FC" w:rsidP="00593CF1">
      <w:pPr>
        <w:spacing w:line="360" w:lineRule="auto"/>
        <w:jc w:val="both"/>
        <w:rPr>
          <w:rFonts w:ascii="Arial" w:hAnsi="Arial" w:cs="Arial"/>
        </w:rPr>
      </w:pPr>
    </w:p>
    <w:p w14:paraId="10C8F8CC" w14:textId="77777777" w:rsidR="00593CF1" w:rsidRPr="00593CF1" w:rsidRDefault="00593CF1" w:rsidP="00593CF1">
      <w:pPr>
        <w:jc w:val="both"/>
        <w:rPr>
          <w:rFonts w:ascii="Arial" w:hAnsi="Arial" w:cs="Arial"/>
        </w:rPr>
      </w:pPr>
    </w:p>
    <w:p w14:paraId="6B4461FD" w14:textId="77777777" w:rsidR="00593CF1" w:rsidRDefault="00593CF1" w:rsidP="00593CF1">
      <w:pPr>
        <w:jc w:val="both"/>
        <w:rPr>
          <w:rFonts w:ascii="Arial" w:hAnsi="Arial" w:cs="Arial"/>
          <w:sz w:val="40"/>
          <w:szCs w:val="40"/>
        </w:rPr>
      </w:pPr>
    </w:p>
    <w:p w14:paraId="4E3C71F5" w14:textId="77777777" w:rsidR="00593CF1" w:rsidRDefault="00593CF1" w:rsidP="00593CF1">
      <w:pPr>
        <w:jc w:val="both"/>
        <w:rPr>
          <w:rFonts w:ascii="Arial" w:hAnsi="Arial" w:cs="Arial"/>
          <w:sz w:val="28"/>
          <w:szCs w:val="28"/>
        </w:rPr>
      </w:pPr>
    </w:p>
    <w:p w14:paraId="33B2562B" w14:textId="53C8F1D3" w:rsidR="00593CF1" w:rsidRDefault="009079FC" w:rsidP="009079FC">
      <w:pPr>
        <w:pStyle w:val="Heading2"/>
        <w:spacing w:line="360" w:lineRule="auto"/>
        <w:jc w:val="both"/>
        <w:rPr>
          <w:rFonts w:ascii="Arial" w:hAnsi="Arial" w:cs="Arial"/>
          <w:sz w:val="28"/>
          <w:szCs w:val="28"/>
        </w:rPr>
      </w:pPr>
      <w:bookmarkStart w:id="1" w:name="_Toc235003014"/>
      <w:r>
        <w:rPr>
          <w:rFonts w:ascii="Arial" w:hAnsi="Arial" w:cs="Arial"/>
          <w:sz w:val="28"/>
          <w:szCs w:val="28"/>
        </w:rPr>
        <w:lastRenderedPageBreak/>
        <w:t>Analytical framework for contracting</w:t>
      </w:r>
      <w:bookmarkEnd w:id="1"/>
      <w:r>
        <w:rPr>
          <w:rFonts w:ascii="Arial" w:hAnsi="Arial" w:cs="Arial"/>
          <w:sz w:val="28"/>
          <w:szCs w:val="28"/>
        </w:rPr>
        <w:t xml:space="preserve"> </w:t>
      </w:r>
    </w:p>
    <w:p w14:paraId="044B35A6" w14:textId="3A08BFBD" w:rsidR="009079FC" w:rsidRDefault="009079FC" w:rsidP="009079FC">
      <w:pPr>
        <w:spacing w:line="360" w:lineRule="auto"/>
        <w:jc w:val="both"/>
        <w:rPr>
          <w:rFonts w:ascii="Arial" w:hAnsi="Arial" w:cs="Arial"/>
        </w:rPr>
      </w:pPr>
      <w:r>
        <w:rPr>
          <w:rFonts w:ascii="Arial" w:hAnsi="Arial" w:cs="Arial"/>
        </w:rPr>
        <w:t>Transaction cost economics provides a useful explanation of the make-or-buy decision underlying contracting. Williamson (1981) identifies uncertainty, transaction frequency and asset specificity as central determinants of governance. When requirements are stable and suppliers can be compared easily, market contracting may be efficient. By contrast, highly specific knowledge, repeated transactions or uncertain outcomes make detailed specification and enforcement costly and can justify greater internal control. Project contracts consequently incur costs beyond the contract price: requirements must be specified, tenders evaluated, performance monitored and variations negotiated. Tu</w:t>
      </w:r>
      <w:r w:rsidR="001D0576">
        <w:rPr>
          <w:rFonts w:ascii="Arial" w:hAnsi="Arial" w:cs="Arial"/>
        </w:rPr>
        <w:t>r</w:t>
      </w:r>
      <w:r>
        <w:rPr>
          <w:rFonts w:ascii="Arial" w:hAnsi="Arial" w:cs="Arial"/>
        </w:rPr>
        <w:t xml:space="preserve">ner and Simister (2001) argue that contract selection must therefore consider both transaction costs and the motivational consequences of the chosen arrangement. </w:t>
      </w:r>
    </w:p>
    <w:p w14:paraId="104FDDB9" w14:textId="5026A9A3" w:rsidR="009F03B6" w:rsidRDefault="007D36D2" w:rsidP="009079FC">
      <w:pPr>
        <w:spacing w:line="360" w:lineRule="auto"/>
        <w:jc w:val="both"/>
        <w:rPr>
          <w:rFonts w:ascii="Arial" w:hAnsi="Arial" w:cs="Arial"/>
        </w:rPr>
      </w:pPr>
      <w:r>
        <w:rPr>
          <w:rFonts w:ascii="Arial" w:hAnsi="Arial" w:cs="Arial"/>
        </w:rPr>
        <w:t>This perspective also clarifies risk allocation. Risk is not effectively managed merely by transferring it contractually. A contractor can manage risks within its control, such as design coordination or supplier performance, but uncertainty that cannot be defined may simply return as contingency, exclusions, claims or disputes. Cox and Thompson (1997) therefore emphasise fit-for-purpose contractual relationships. In comparative terms, turnkey reduces owner-managed interfaces but requires clearer early definition; multicontracting increases flexibility but leaves integration with the owner; DIY maximises direct control but concentrates delivery risk internally; and the hybrid attempts to match each activity with either internal or external capability. The relevant issue is therefore not which method transfers the most risk, but which method places responsibility where it can be managed most effectively.</w:t>
      </w:r>
      <w:r w:rsidR="00700A4D" w:rsidRPr="00700A4D">
        <w:t xml:space="preserve"> </w:t>
      </w:r>
      <w:r w:rsidR="00700A4D" w:rsidRPr="00700A4D">
        <w:rPr>
          <w:rFonts w:ascii="Arial" w:hAnsi="Arial" w:cs="Arial"/>
        </w:rPr>
        <w:t>The four contracting methods discussed in this essay can therefore be compared according to how they allocate responsibility, manage uncertainty and balance governance costs against project flexibility.</w:t>
      </w:r>
    </w:p>
    <w:p w14:paraId="1FC4975F" w14:textId="77777777" w:rsidR="009F03B6" w:rsidRDefault="009F03B6" w:rsidP="009079FC">
      <w:pPr>
        <w:spacing w:line="360" w:lineRule="auto"/>
        <w:jc w:val="both"/>
        <w:rPr>
          <w:rFonts w:ascii="Arial" w:hAnsi="Arial" w:cs="Arial"/>
        </w:rPr>
      </w:pPr>
    </w:p>
    <w:p w14:paraId="4A673CC0" w14:textId="60822D0E" w:rsidR="009079FC" w:rsidRDefault="009F03B6" w:rsidP="009F03B6">
      <w:pPr>
        <w:pStyle w:val="Heading2"/>
        <w:rPr>
          <w:rFonts w:ascii="Arial" w:hAnsi="Arial" w:cs="Arial"/>
          <w:sz w:val="28"/>
          <w:szCs w:val="28"/>
        </w:rPr>
      </w:pPr>
      <w:bookmarkStart w:id="2" w:name="_Toc235003015"/>
      <w:r w:rsidRPr="009F03B6">
        <w:rPr>
          <w:rFonts w:ascii="Arial" w:hAnsi="Arial" w:cs="Arial"/>
          <w:sz w:val="28"/>
          <w:szCs w:val="28"/>
        </w:rPr>
        <w:t>Turnkey contracting</w:t>
      </w:r>
      <w:bookmarkEnd w:id="2"/>
      <w:r w:rsidRPr="009F03B6">
        <w:rPr>
          <w:rFonts w:ascii="Arial" w:hAnsi="Arial" w:cs="Arial"/>
          <w:sz w:val="28"/>
          <w:szCs w:val="28"/>
        </w:rPr>
        <w:t xml:space="preserve"> </w:t>
      </w:r>
      <w:r w:rsidR="009079FC" w:rsidRPr="009F03B6">
        <w:rPr>
          <w:rFonts w:ascii="Arial" w:hAnsi="Arial" w:cs="Arial"/>
          <w:sz w:val="28"/>
          <w:szCs w:val="28"/>
        </w:rPr>
        <w:t xml:space="preserve"> </w:t>
      </w:r>
    </w:p>
    <w:p w14:paraId="52D2CA33" w14:textId="2CD6E03D" w:rsidR="00A84718" w:rsidRDefault="007D36D2" w:rsidP="009F03B6">
      <w:pPr>
        <w:spacing w:line="360" w:lineRule="auto"/>
        <w:jc w:val="both"/>
        <w:rPr>
          <w:rFonts w:ascii="Arial" w:hAnsi="Arial" w:cs="Arial"/>
        </w:rPr>
      </w:pPr>
      <w:r>
        <w:rPr>
          <w:rFonts w:ascii="Arial" w:hAnsi="Arial" w:cs="Arial"/>
        </w:rPr>
        <w:t xml:space="preserve">Turnkey contracting gives one principal contractor integrated responsibility for design, procurement, construction, testing and handover. FIDIC’s Silver Book reflects this EPC/turnkey approach and its emphasis on single-point responsibility (FIDIC,2017). </w:t>
      </w:r>
      <w:r>
        <w:rPr>
          <w:rFonts w:ascii="Arial" w:hAnsi="Arial" w:cs="Arial"/>
        </w:rPr>
        <w:lastRenderedPageBreak/>
        <w:t>Compared with the other methods, turnkey therefore places the least day-to-day integration responsibility on the owner.</w:t>
      </w:r>
    </w:p>
    <w:p w14:paraId="2CF3C1C3" w14:textId="58A807D5" w:rsidR="007D36D2" w:rsidRDefault="007D36D2" w:rsidP="009F03B6">
      <w:pPr>
        <w:spacing w:line="360" w:lineRule="auto"/>
        <w:jc w:val="both"/>
        <w:rPr>
          <w:rFonts w:ascii="Arial" w:hAnsi="Arial" w:cs="Arial"/>
        </w:rPr>
      </w:pPr>
      <w:r>
        <w:rPr>
          <w:rFonts w:ascii="Arial" w:hAnsi="Arial" w:cs="Arial"/>
        </w:rPr>
        <w:t>Its main advantage is accountability. Where outputs are stable and measurable, such as the required capacity of a process plant or the performance of a water-treatment facility, the contractor can integrate design and construction around a defined result. The World Bank’s plant procurement model similarly supports integrated design, supply and installation for engineered facilities (World Bank, 2023). This can provide earlier price and completion commitments and clearer responsibility for system-level failure. By contrast, multicontracting and the hybrid leave more interfaces with the owner, while DIY requires the owner to perform the work itself.</w:t>
      </w:r>
    </w:p>
    <w:p w14:paraId="020B41E2" w14:textId="116FF494" w:rsidR="007D36D2" w:rsidRDefault="007D36D2" w:rsidP="009F03B6">
      <w:pPr>
        <w:spacing w:line="360" w:lineRule="auto"/>
        <w:jc w:val="both"/>
        <w:rPr>
          <w:rFonts w:ascii="Arial" w:hAnsi="Arial" w:cs="Arial"/>
        </w:rPr>
      </w:pPr>
      <w:r>
        <w:rPr>
          <w:rFonts w:ascii="Arial" w:hAnsi="Arial" w:cs="Arial"/>
        </w:rPr>
        <w:t>However, turnkey achieves certainty by reducing flexibility. Contractors normally price the risk they accept, so the owner may pay a premium (Hosie, 2007). More importantly, the method depends on a clear employer’s requirement. Where stakeholder needs are changing, bidders may price ambiguity differently, and later changes can become expensive. Turnkey is therefore weaker than multicontracting when the project must evolve during delivery and weaker than DIY where detailed internal knowledge must remain under direct control. Its comparative strength is not low cost in every case, but the efficient integration of a sufficiently defined outcome.</w:t>
      </w:r>
    </w:p>
    <w:p w14:paraId="076096A4" w14:textId="77777777" w:rsidR="007D36D2" w:rsidRDefault="007D36D2" w:rsidP="009F03B6">
      <w:pPr>
        <w:spacing w:line="360" w:lineRule="auto"/>
        <w:jc w:val="both"/>
        <w:rPr>
          <w:rFonts w:ascii="Arial" w:hAnsi="Arial" w:cs="Arial"/>
        </w:rPr>
      </w:pPr>
    </w:p>
    <w:p w14:paraId="5A225977" w14:textId="20FB0C82" w:rsidR="00A84718" w:rsidRDefault="00A84718" w:rsidP="00A84718">
      <w:pPr>
        <w:pStyle w:val="Heading2"/>
        <w:rPr>
          <w:rFonts w:ascii="Arial" w:hAnsi="Arial" w:cs="Arial"/>
          <w:sz w:val="28"/>
          <w:szCs w:val="28"/>
        </w:rPr>
      </w:pPr>
      <w:bookmarkStart w:id="3" w:name="_Toc235003016"/>
      <w:r w:rsidRPr="00A84718">
        <w:rPr>
          <w:rFonts w:ascii="Arial" w:hAnsi="Arial" w:cs="Arial"/>
          <w:sz w:val="28"/>
          <w:szCs w:val="28"/>
        </w:rPr>
        <w:t>Multicontracting</w:t>
      </w:r>
      <w:bookmarkEnd w:id="3"/>
      <w:r w:rsidRPr="00A84718">
        <w:rPr>
          <w:rFonts w:ascii="Arial" w:hAnsi="Arial" w:cs="Arial"/>
          <w:sz w:val="28"/>
          <w:szCs w:val="28"/>
        </w:rPr>
        <w:t xml:space="preserve"> </w:t>
      </w:r>
    </w:p>
    <w:p w14:paraId="59EE97F4" w14:textId="45EA2A4C" w:rsidR="00007BFA" w:rsidRDefault="00343F8B" w:rsidP="00A84718">
      <w:pPr>
        <w:spacing w:line="360" w:lineRule="auto"/>
        <w:jc w:val="both"/>
        <w:rPr>
          <w:rFonts w:ascii="Arial" w:hAnsi="Arial" w:cs="Arial"/>
        </w:rPr>
      </w:pPr>
      <w:r>
        <w:rPr>
          <w:rFonts w:ascii="Arial" w:hAnsi="Arial" w:cs="Arial"/>
        </w:rPr>
        <w:t>Multicontracting is a</w:t>
      </w:r>
      <w:r w:rsidR="002042C3">
        <w:rPr>
          <w:rFonts w:ascii="Arial" w:hAnsi="Arial" w:cs="Arial"/>
        </w:rPr>
        <w:t xml:space="preserve"> procurement approach where the project owner forms individual agreements with multiple designers, suppliers and contractors rather than relying on one main contractor. Unlike turnkey delivery, the owner remains responsible for coordinating these contracts and combining their outputs. The owner may manage this process independently or appoint a construction manager to represent and assist them. However, this manager oversees and coordinates the work without assuming the role of principal contractor responsible for the complete project</w:t>
      </w:r>
      <w:r w:rsidR="008C3ACB">
        <w:rPr>
          <w:rFonts w:ascii="Arial" w:hAnsi="Arial" w:cs="Arial"/>
        </w:rPr>
        <w:t xml:space="preserve"> (Lam and Chan, 1996). Therefore, construction management is a management approach that may support multicontracting, rather than being synonymous with it.</w:t>
      </w:r>
    </w:p>
    <w:p w14:paraId="17A724A9" w14:textId="77777777" w:rsidR="008C3ACB" w:rsidRPr="008C3ACB" w:rsidRDefault="008C3ACB" w:rsidP="008C3ACB">
      <w:pPr>
        <w:spacing w:line="360" w:lineRule="auto"/>
        <w:jc w:val="both"/>
        <w:rPr>
          <w:rFonts w:ascii="Arial" w:hAnsi="Arial" w:cs="Arial"/>
        </w:rPr>
      </w:pPr>
      <w:r w:rsidRPr="008C3ACB">
        <w:rPr>
          <w:rFonts w:ascii="Arial" w:hAnsi="Arial" w:cs="Arial"/>
        </w:rPr>
        <w:t xml:space="preserve">The main benefit of multicontracting is flexibility. Specialist packages can be procured independently, early works can commence before the complete design is finalised, and later packages can be adjusted as project information becomes available. This </w:t>
      </w:r>
      <w:r w:rsidRPr="008C3ACB">
        <w:rPr>
          <w:rFonts w:ascii="Arial" w:hAnsi="Arial" w:cs="Arial"/>
        </w:rPr>
        <w:lastRenderedPageBreak/>
        <w:t>approach is particularly valuable for complex buildings, phased infrastructure projects and technology programmes where uncertainty affects different components in different ways. Direct access to specialist contractors may also improve technical quality and reduce the overheads or risk premiums that are often included in a single turnkey contract.</w:t>
      </w:r>
    </w:p>
    <w:p w14:paraId="0236273D" w14:textId="77777777" w:rsidR="008C3ACB" w:rsidRPr="008C3ACB" w:rsidRDefault="008C3ACB" w:rsidP="008C3ACB">
      <w:pPr>
        <w:spacing w:line="360" w:lineRule="auto"/>
        <w:jc w:val="both"/>
        <w:rPr>
          <w:rFonts w:ascii="Arial" w:hAnsi="Arial" w:cs="Arial"/>
        </w:rPr>
      </w:pPr>
      <w:r w:rsidRPr="008C3ACB">
        <w:rPr>
          <w:rFonts w:ascii="Arial" w:hAnsi="Arial" w:cs="Arial"/>
        </w:rPr>
        <w:t>The principal disadvantage is that the owner assumes responsibility for integrating the various contractors. Every contract interface creates dependencies involving information exchange, sequencing, site access and quality standards. Delays or disputes affecting one contractor may have consequences for others, making accountability more difficult to establish. Consequently, multicontracting requires strong project management, effective communication, robust change control and considerable commercial expertise. It is therefore most suitable for experienced clients who possess the capability to manage multiple contractual relationships while benefiting from the flexibility that the approach offers.</w:t>
      </w:r>
    </w:p>
    <w:p w14:paraId="754AB824" w14:textId="1829B88F" w:rsidR="008C3ACB" w:rsidRDefault="008C3ACB" w:rsidP="00A84718">
      <w:pPr>
        <w:spacing w:line="360" w:lineRule="auto"/>
        <w:jc w:val="both"/>
        <w:rPr>
          <w:rFonts w:ascii="Arial" w:hAnsi="Arial" w:cs="Arial"/>
        </w:rPr>
      </w:pPr>
    </w:p>
    <w:p w14:paraId="408C6417" w14:textId="572AF96E" w:rsidR="00007BFA" w:rsidRDefault="00007BFA" w:rsidP="00007BFA">
      <w:pPr>
        <w:pStyle w:val="Heading2"/>
        <w:rPr>
          <w:rFonts w:ascii="Arial" w:hAnsi="Arial" w:cs="Arial"/>
          <w:sz w:val="28"/>
          <w:szCs w:val="28"/>
        </w:rPr>
      </w:pPr>
      <w:bookmarkStart w:id="4" w:name="_Toc235003017"/>
      <w:r w:rsidRPr="00007BFA">
        <w:rPr>
          <w:rFonts w:ascii="Arial" w:hAnsi="Arial" w:cs="Arial"/>
          <w:sz w:val="28"/>
          <w:szCs w:val="28"/>
        </w:rPr>
        <w:t>Do-it-yourself (DIY) contracting</w:t>
      </w:r>
      <w:bookmarkEnd w:id="4"/>
    </w:p>
    <w:p w14:paraId="649832D9" w14:textId="2D11D389" w:rsidR="007A44FD" w:rsidRDefault="003B0C77" w:rsidP="00007BFA">
      <w:pPr>
        <w:spacing w:line="360" w:lineRule="auto"/>
        <w:jc w:val="both"/>
        <w:rPr>
          <w:rFonts w:ascii="Arial" w:hAnsi="Arial" w:cs="Arial"/>
        </w:rPr>
      </w:pPr>
      <w:r>
        <w:rPr>
          <w:rFonts w:ascii="Arial" w:hAnsi="Arial" w:cs="Arial"/>
        </w:rPr>
        <w:t>Under DIY delivery, the owner performs most project work using its own staff, equipment and management systems. In construction this resembles direct labour, while in digital projects it may mean an in-house build. Compared with all external contracting methods, DIY gives the owner the greatest direct control over decisions and knowledge, but also the greatest direct responsibility for performance.</w:t>
      </w:r>
    </w:p>
    <w:p w14:paraId="60371F75" w14:textId="6F0F9399" w:rsidR="003B0C77" w:rsidRDefault="003B0C77" w:rsidP="00007BFA">
      <w:pPr>
        <w:spacing w:line="360" w:lineRule="auto"/>
        <w:jc w:val="both"/>
        <w:rPr>
          <w:rFonts w:ascii="Arial" w:hAnsi="Arial" w:cs="Arial"/>
        </w:rPr>
      </w:pPr>
      <w:r>
        <w:rPr>
          <w:rFonts w:ascii="Arial" w:hAnsi="Arial" w:cs="Arial"/>
        </w:rPr>
        <w:t>DIY can be effective where project knowledge is closely linked to operations, confidentiality is important or external suppliers would struggle to understand the working environment. Repetitive maintenance, prototypes, remote works and modifications to live facilities may benefit from immediate access to internal knowledge and faster informal decisions. The approach can also retain learning that will be useful during operation.</w:t>
      </w:r>
    </w:p>
    <w:p w14:paraId="2802C490" w14:textId="10A18CCF" w:rsidR="003B0C77" w:rsidRDefault="003B0C77" w:rsidP="00007BFA">
      <w:pPr>
        <w:spacing w:line="360" w:lineRule="auto"/>
        <w:jc w:val="both"/>
        <w:rPr>
          <w:rFonts w:ascii="Arial" w:hAnsi="Arial" w:cs="Arial"/>
        </w:rPr>
      </w:pPr>
      <w:r>
        <w:rPr>
          <w:rFonts w:ascii="Arial" w:hAnsi="Arial" w:cs="Arial"/>
        </w:rPr>
        <w:t xml:space="preserve">Its weakness is capacity. Internal delivery does not eliminate cost; it converts contractor costs into recruitment, training, equipment, supervision, rework and opportunity costs. Internal teams may also lack specialist assurance, warranties or independent challenge. Compared with turnkey, DIY provides much less protection from delivery failure and compared with multicontracting it may restrict access to </w:t>
      </w:r>
      <w:r>
        <w:rPr>
          <w:rFonts w:ascii="Arial" w:hAnsi="Arial" w:cs="Arial"/>
        </w:rPr>
        <w:lastRenderedPageBreak/>
        <w:t>specialist competition. It is therefore strongest where the owner already has capable people and the work is closely connected to core operations. It becomes less suitable as project scale, novelty and technical interdependence increase.</w:t>
      </w:r>
    </w:p>
    <w:p w14:paraId="28588AA2" w14:textId="77777777" w:rsidR="002042C3" w:rsidRDefault="002042C3" w:rsidP="00007BFA">
      <w:pPr>
        <w:spacing w:line="360" w:lineRule="auto"/>
        <w:jc w:val="both"/>
        <w:rPr>
          <w:rFonts w:ascii="Arial" w:hAnsi="Arial" w:cs="Arial"/>
        </w:rPr>
      </w:pPr>
    </w:p>
    <w:p w14:paraId="5D553C46" w14:textId="2B8C943E" w:rsidR="007A44FD" w:rsidRDefault="007A44FD" w:rsidP="007A44FD">
      <w:pPr>
        <w:pStyle w:val="Heading2"/>
        <w:rPr>
          <w:rFonts w:ascii="Arial" w:hAnsi="Arial" w:cs="Arial"/>
          <w:sz w:val="28"/>
          <w:szCs w:val="28"/>
        </w:rPr>
      </w:pPr>
      <w:bookmarkStart w:id="5" w:name="_Toc235003018"/>
      <w:r w:rsidRPr="007A44FD">
        <w:rPr>
          <w:rFonts w:ascii="Arial" w:hAnsi="Arial" w:cs="Arial"/>
          <w:sz w:val="28"/>
          <w:szCs w:val="28"/>
        </w:rPr>
        <w:t>Multicontract plus DIY</w:t>
      </w:r>
      <w:bookmarkEnd w:id="5"/>
    </w:p>
    <w:p w14:paraId="21FD5E7B" w14:textId="3EE80A0D" w:rsidR="007A44FD" w:rsidRDefault="00E73DBD" w:rsidP="007A44FD">
      <w:pPr>
        <w:spacing w:line="360" w:lineRule="auto"/>
        <w:jc w:val="both"/>
        <w:rPr>
          <w:rFonts w:ascii="Arial" w:hAnsi="Arial" w:cs="Arial"/>
        </w:rPr>
      </w:pPr>
      <w:r>
        <w:rPr>
          <w:rFonts w:ascii="Arial" w:hAnsi="Arial" w:cs="Arial"/>
        </w:rPr>
        <w:t>The multicontracting plus DIY method combines internal delivery with direct contracts for selected specialist packages. For example, a manufacturer may retain process design and commissioning while contracting civil works, equipment supply and control systems. This approach sits between DIY and multicontracting because the owner both performs and procures work.</w:t>
      </w:r>
    </w:p>
    <w:p w14:paraId="4B08FFBC" w14:textId="4EFEC148" w:rsidR="00E73DBD" w:rsidRDefault="00700A4D" w:rsidP="007A44FD">
      <w:pPr>
        <w:spacing w:line="360" w:lineRule="auto"/>
        <w:jc w:val="both"/>
        <w:rPr>
          <w:rFonts w:ascii="Arial" w:hAnsi="Arial" w:cs="Arial"/>
        </w:rPr>
      </w:pPr>
      <w:r>
        <w:rPr>
          <w:rFonts w:ascii="Arial" w:hAnsi="Arial" w:cs="Arial"/>
        </w:rPr>
        <w:t>It</w:t>
      </w:r>
      <w:r w:rsidR="00E73DBD">
        <w:rPr>
          <w:rFonts w:ascii="Arial" w:hAnsi="Arial" w:cs="Arial"/>
        </w:rPr>
        <w:t>s main advantage is selective control. Activities involving firm-specific knowledge can remain internal, while capacity-intensive or highly specialised tasks can be purchased from the market. Compared with pure DIY, the hybrid broadens access to external expertise. Compared with full multicontracting, it allows the owner to preserve strategic knowledge and avoid outsourcing activities that are difficult to specify. It is especially useful for experienced clients and brownfield projects.</w:t>
      </w:r>
    </w:p>
    <w:p w14:paraId="64521ECF" w14:textId="33534D29" w:rsidR="00E73DBD" w:rsidRDefault="00E73DBD" w:rsidP="007A44FD">
      <w:pPr>
        <w:spacing w:line="360" w:lineRule="auto"/>
        <w:jc w:val="both"/>
        <w:rPr>
          <w:rFonts w:ascii="Arial" w:hAnsi="Arial" w:cs="Arial"/>
        </w:rPr>
      </w:pPr>
      <w:r>
        <w:rPr>
          <w:rFonts w:ascii="Arial" w:hAnsi="Arial" w:cs="Arial"/>
        </w:rPr>
        <w:t>The challenge is boundary management. The owner bears performance risk for its own work and integration risk between internal and external teams. Different schedules, quality systems and incentives can create confusion, and contractors may reject responsibility for defects caused by owner-supplied information or enabling work. Compared with turnkey, accountability is less concentrated; compared with DIY, coordination is more formal and contractually complex. The hybrid is therefore attractive only when responsibilities can be clearly divided and the owner can manage a single integrated baseline, handovers, warranties and change control.</w:t>
      </w:r>
    </w:p>
    <w:p w14:paraId="252A0D50" w14:textId="77777777" w:rsidR="009013AD" w:rsidRDefault="009013AD" w:rsidP="007A44FD">
      <w:pPr>
        <w:spacing w:line="360" w:lineRule="auto"/>
        <w:jc w:val="both"/>
        <w:rPr>
          <w:rFonts w:ascii="Arial" w:hAnsi="Arial" w:cs="Arial"/>
        </w:rPr>
      </w:pPr>
    </w:p>
    <w:p w14:paraId="0DC4B78B" w14:textId="5A5E293A" w:rsidR="009013AD" w:rsidRPr="009013AD" w:rsidRDefault="009013AD" w:rsidP="009013AD">
      <w:pPr>
        <w:pStyle w:val="Heading2"/>
        <w:rPr>
          <w:rFonts w:ascii="Arial" w:hAnsi="Arial" w:cs="Arial"/>
          <w:sz w:val="28"/>
          <w:szCs w:val="28"/>
        </w:rPr>
      </w:pPr>
      <w:bookmarkStart w:id="6" w:name="_Toc235003019"/>
      <w:r w:rsidRPr="009013AD">
        <w:rPr>
          <w:rFonts w:ascii="Arial" w:hAnsi="Arial" w:cs="Arial"/>
          <w:sz w:val="28"/>
          <w:szCs w:val="28"/>
        </w:rPr>
        <w:t>Comparative evaluation</w:t>
      </w:r>
      <w:bookmarkEnd w:id="6"/>
    </w:p>
    <w:p w14:paraId="5901CED4" w14:textId="1E49C74B" w:rsidR="009013AD" w:rsidRDefault="00E73DBD" w:rsidP="00A84718">
      <w:pPr>
        <w:spacing w:line="360" w:lineRule="auto"/>
        <w:jc w:val="both"/>
        <w:rPr>
          <w:rFonts w:ascii="Arial" w:hAnsi="Arial" w:cs="Arial"/>
        </w:rPr>
      </w:pPr>
      <w:r>
        <w:rPr>
          <w:rFonts w:ascii="Arial" w:hAnsi="Arial" w:cs="Arial"/>
        </w:rPr>
        <w:t xml:space="preserve">The comparison shows that the four methods differ mainly in where integration responsibility sits. Turnkey concentrates it with one contractor, which reduces owner coordination but depends on clear outputs. Multicontracting distributes delivery among specialists and leaves integration with the owner, increasing adaptability but also interface risk. DIY keeps both control and delivery within the organisation, which is </w:t>
      </w:r>
      <w:r>
        <w:rPr>
          <w:rFonts w:ascii="Arial" w:hAnsi="Arial" w:cs="Arial"/>
        </w:rPr>
        <w:lastRenderedPageBreak/>
        <w:t>valuable when internal knowledge is critical but risky when capacity is insufficient. The hybrid divides responsibility selectively, offering a closer fit to mixed capability but creating the most complex internal-external boundaries.</w:t>
      </w:r>
    </w:p>
    <w:p w14:paraId="2CDF38AB" w14:textId="01F0142D" w:rsidR="009013AD" w:rsidRDefault="009013AD" w:rsidP="00A84718">
      <w:pPr>
        <w:spacing w:line="360" w:lineRule="auto"/>
        <w:jc w:val="both"/>
        <w:rPr>
          <w:rFonts w:ascii="Arial" w:hAnsi="Arial" w:cs="Arial"/>
        </w:rPr>
      </w:pPr>
      <w:r>
        <w:rPr>
          <w:rFonts w:ascii="Arial" w:hAnsi="Arial" w:cs="Arial"/>
        </w:rPr>
        <w:t xml:space="preserve">Selection should consequently use explicit, weighted criteria rather than institutional habit. Bolomope et al. (2022) show that procurement decisions vary with client type, information and complexity, reinforcing the need for contextual judgement. Relevant criteria include scope maturity, technical coupling, urgency, market depth, internal capability, required innovation and whole-life value. </w:t>
      </w:r>
      <w:r w:rsidR="00EC5678">
        <w:rPr>
          <w:rFonts w:ascii="Arial" w:hAnsi="Arial" w:cs="Arial"/>
        </w:rPr>
        <w:t xml:space="preserve">Evaluation should also extend beyond cost, time and quality. Cooperative procedures such as joint specification, non-pride tender criteria and shared information can influence innovation and environmental performance (Eriksson and Westerberg, 2011). Collaboration, however, complements rather than replaces clear accountability: whichever method is chosen must define decision rights, interfaces, assurance, change and acceptance. </w:t>
      </w:r>
    </w:p>
    <w:p w14:paraId="01ED6C5C" w14:textId="073D2D0C" w:rsidR="00EC5678" w:rsidRDefault="00EC5678" w:rsidP="00A84718">
      <w:pPr>
        <w:spacing w:line="360" w:lineRule="auto"/>
        <w:jc w:val="both"/>
        <w:rPr>
          <w:rFonts w:ascii="Arial" w:hAnsi="Arial" w:cs="Arial"/>
        </w:rPr>
      </w:pPr>
      <w:r>
        <w:rPr>
          <w:rFonts w:ascii="Arial" w:hAnsi="Arial" w:cs="Arial"/>
        </w:rPr>
        <w:t>A further implication is that ex ante contractual certainty should not be confused with project success. Delivery within an agreed price can coexist with poor maintainability, reduced scope or weak public value.</w:t>
      </w:r>
      <w:r w:rsidR="00675C89">
        <w:rPr>
          <w:rFonts w:ascii="Arial" w:hAnsi="Arial" w:cs="Arial"/>
        </w:rPr>
        <w:t xml:space="preserve"> The OEC</w:t>
      </w:r>
      <w:r w:rsidR="00700A4D">
        <w:rPr>
          <w:rFonts w:ascii="Arial" w:hAnsi="Arial" w:cs="Arial"/>
        </w:rPr>
        <w:t>D</w:t>
      </w:r>
      <w:r w:rsidR="00675C89">
        <w:rPr>
          <w:rFonts w:ascii="Arial" w:hAnsi="Arial" w:cs="Arial"/>
        </w:rPr>
        <w:t xml:space="preserve"> (2021) similarly cautions that on-time and on-budget delivery is not, by itself, evidence of effective procurement. Appraisal should therefore connect the contracting decision to benefits realisation and asset performance using measures such as operational reliability, user outcomes, carbon, safety and knowledge transfer. </w:t>
      </w:r>
      <w:r w:rsidR="00700A4D" w:rsidRPr="00700A4D">
        <w:rPr>
          <w:rFonts w:ascii="Arial" w:hAnsi="Arial" w:cs="Arial"/>
        </w:rPr>
        <w:t>This wider assessment also exposes distributional consequences: risk premiums, fragmented accountability and under-resourced internal labour may shift costs between contractors, the owner and future users rather than eliminate them. Consequently, procurement decisions should examine who ultimately bears these costs and risks, not merely whether they disappear from the owner's initial budget.</w:t>
      </w:r>
    </w:p>
    <w:p w14:paraId="4BCF249F" w14:textId="77777777" w:rsidR="00476F57" w:rsidRDefault="00476F57" w:rsidP="00A84718">
      <w:pPr>
        <w:spacing w:line="360" w:lineRule="auto"/>
        <w:jc w:val="both"/>
        <w:rPr>
          <w:rFonts w:ascii="Arial" w:hAnsi="Arial" w:cs="Arial"/>
        </w:rPr>
      </w:pPr>
    </w:p>
    <w:p w14:paraId="384223C8" w14:textId="77777777" w:rsidR="00476F57" w:rsidRDefault="00476F57" w:rsidP="00A84718">
      <w:pPr>
        <w:spacing w:line="360" w:lineRule="auto"/>
        <w:jc w:val="both"/>
        <w:rPr>
          <w:rFonts w:ascii="Arial" w:hAnsi="Arial" w:cs="Arial"/>
        </w:rPr>
      </w:pPr>
    </w:p>
    <w:p w14:paraId="715C81C8" w14:textId="77777777" w:rsidR="00476F57" w:rsidRDefault="00476F57" w:rsidP="00A84718">
      <w:pPr>
        <w:spacing w:line="360" w:lineRule="auto"/>
        <w:jc w:val="both"/>
        <w:rPr>
          <w:rFonts w:ascii="Arial" w:hAnsi="Arial" w:cs="Arial"/>
        </w:rPr>
      </w:pPr>
    </w:p>
    <w:p w14:paraId="635BEE91" w14:textId="77777777" w:rsidR="00476F57" w:rsidRDefault="00476F57" w:rsidP="00A84718">
      <w:pPr>
        <w:spacing w:line="360" w:lineRule="auto"/>
        <w:jc w:val="both"/>
        <w:rPr>
          <w:rFonts w:ascii="Arial" w:hAnsi="Arial" w:cs="Arial"/>
        </w:rPr>
      </w:pPr>
    </w:p>
    <w:p w14:paraId="08A90103" w14:textId="77777777" w:rsidR="00476F57" w:rsidRDefault="00476F57" w:rsidP="00A84718">
      <w:pPr>
        <w:spacing w:line="360" w:lineRule="auto"/>
        <w:jc w:val="both"/>
        <w:rPr>
          <w:rFonts w:ascii="Arial" w:hAnsi="Arial" w:cs="Arial"/>
        </w:rPr>
      </w:pPr>
    </w:p>
    <w:p w14:paraId="327DD48D" w14:textId="424E5AC9" w:rsidR="00476F57" w:rsidRDefault="00476F57" w:rsidP="00476F57">
      <w:pPr>
        <w:pStyle w:val="Heading3"/>
        <w:rPr>
          <w:rFonts w:ascii="Arial" w:hAnsi="Arial" w:cs="Arial"/>
        </w:rPr>
      </w:pPr>
      <w:bookmarkStart w:id="7" w:name="_Toc235003020"/>
      <w:r w:rsidRPr="00476F57">
        <w:rPr>
          <w:rFonts w:ascii="Arial" w:hAnsi="Arial" w:cs="Arial"/>
        </w:rPr>
        <w:lastRenderedPageBreak/>
        <w:t>Conclusion</w:t>
      </w:r>
      <w:bookmarkEnd w:id="7"/>
      <w:r w:rsidRPr="00476F57">
        <w:rPr>
          <w:rFonts w:ascii="Arial" w:hAnsi="Arial" w:cs="Arial"/>
        </w:rPr>
        <w:t xml:space="preserve"> </w:t>
      </w:r>
    </w:p>
    <w:p w14:paraId="30AD01C2" w14:textId="3B5822E1" w:rsidR="00476F57" w:rsidRDefault="00476F57" w:rsidP="00476F57">
      <w:pPr>
        <w:spacing w:line="360" w:lineRule="auto"/>
        <w:jc w:val="both"/>
        <w:rPr>
          <w:rFonts w:ascii="Arial" w:hAnsi="Arial" w:cs="Arial"/>
        </w:rPr>
      </w:pPr>
      <w:r>
        <w:rPr>
          <w:rFonts w:ascii="Arial" w:hAnsi="Arial" w:cs="Arial"/>
        </w:rPr>
        <w:t xml:space="preserve">Contracting method determines the architecture through which project knowledge, authority and risk are organised. Turnkey delivery is strongest </w:t>
      </w:r>
      <w:r w:rsidR="00E73DBD">
        <w:rPr>
          <w:rFonts w:ascii="Arial" w:hAnsi="Arial" w:cs="Arial"/>
        </w:rPr>
        <w:t>where outputs</w:t>
      </w:r>
      <w:r>
        <w:rPr>
          <w:rFonts w:ascii="Arial" w:hAnsi="Arial" w:cs="Arial"/>
        </w:rPr>
        <w:t xml:space="preserve"> are measurable and system integration is paramount; multicontracting is advantageous where packages are separable and an experience</w:t>
      </w:r>
      <w:r w:rsidR="00700A4D">
        <w:rPr>
          <w:rFonts w:ascii="Arial" w:hAnsi="Arial" w:cs="Arial"/>
        </w:rPr>
        <w:t>d</w:t>
      </w:r>
      <w:r>
        <w:rPr>
          <w:rFonts w:ascii="Arial" w:hAnsi="Arial" w:cs="Arial"/>
        </w:rPr>
        <w:t xml:space="preserve"> owner values flexibility; DIY is rational where work is closely tied to core, asset-specific knowledge; and the hybrid is appropriate when internal capability and specialist markets must be combined selectively. Each method also produces a characteristic failure mode: inflexible risk transfer, unmanaged interfaces, inadequate internal capacity or ambiguous hybrid boundaries. </w:t>
      </w:r>
    </w:p>
    <w:p w14:paraId="2666408E" w14:textId="6BF0892A" w:rsidR="00476F57" w:rsidRDefault="00476F57" w:rsidP="00476F57">
      <w:pPr>
        <w:spacing w:line="360" w:lineRule="auto"/>
        <w:jc w:val="both"/>
        <w:rPr>
          <w:rFonts w:ascii="Arial" w:hAnsi="Arial" w:cs="Arial"/>
        </w:rPr>
      </w:pPr>
      <w:r>
        <w:rPr>
          <w:rFonts w:ascii="Arial" w:hAnsi="Arial" w:cs="Arial"/>
        </w:rPr>
        <w:t>Accordingly, the academically defensible choice is not the method that appears to transfer the greatest risk or quote the lowest price. It is the arrangement that minimises production and governance costs while allocating controllable risks to capable parties and preserving incentives for project-wide performance. Procurement must therefore be treated as a contingent organisational design problem. Clear requirements, credible market analysis and competent integration remain essential, because no contractual form can compensate for an owner that misunderstands the uncertainty it is attempting to govern.</w:t>
      </w:r>
    </w:p>
    <w:p w14:paraId="55A305E5" w14:textId="77777777" w:rsidR="00476F57" w:rsidRDefault="00476F57" w:rsidP="00476F57">
      <w:pPr>
        <w:spacing w:line="360" w:lineRule="auto"/>
        <w:jc w:val="both"/>
        <w:rPr>
          <w:rFonts w:ascii="Arial" w:hAnsi="Arial" w:cs="Arial"/>
        </w:rPr>
      </w:pPr>
    </w:p>
    <w:p w14:paraId="50B81441" w14:textId="77777777" w:rsidR="00476F57" w:rsidRDefault="00476F57" w:rsidP="00476F57">
      <w:pPr>
        <w:spacing w:line="360" w:lineRule="auto"/>
        <w:jc w:val="both"/>
        <w:rPr>
          <w:rFonts w:ascii="Arial" w:hAnsi="Arial" w:cs="Arial"/>
        </w:rPr>
      </w:pPr>
    </w:p>
    <w:p w14:paraId="02B2042B" w14:textId="77777777" w:rsidR="00476F57" w:rsidRDefault="00476F57" w:rsidP="00476F57">
      <w:pPr>
        <w:spacing w:line="360" w:lineRule="auto"/>
        <w:jc w:val="both"/>
        <w:rPr>
          <w:rFonts w:ascii="Arial" w:hAnsi="Arial" w:cs="Arial"/>
        </w:rPr>
      </w:pPr>
    </w:p>
    <w:p w14:paraId="4C8764EC" w14:textId="77777777" w:rsidR="00476F57" w:rsidRDefault="00476F57" w:rsidP="00476F57">
      <w:pPr>
        <w:spacing w:line="360" w:lineRule="auto"/>
        <w:jc w:val="both"/>
        <w:rPr>
          <w:rFonts w:ascii="Arial" w:hAnsi="Arial" w:cs="Arial"/>
        </w:rPr>
      </w:pPr>
    </w:p>
    <w:p w14:paraId="4DAF8A83" w14:textId="77777777" w:rsidR="00476F57" w:rsidRDefault="00476F57" w:rsidP="00476F57">
      <w:pPr>
        <w:spacing w:line="360" w:lineRule="auto"/>
        <w:jc w:val="both"/>
        <w:rPr>
          <w:rFonts w:ascii="Arial" w:hAnsi="Arial" w:cs="Arial"/>
        </w:rPr>
      </w:pPr>
    </w:p>
    <w:p w14:paraId="5751518B" w14:textId="77777777" w:rsidR="00476F57" w:rsidRDefault="00476F57" w:rsidP="00476F57">
      <w:pPr>
        <w:spacing w:line="360" w:lineRule="auto"/>
        <w:jc w:val="both"/>
        <w:rPr>
          <w:rFonts w:ascii="Arial" w:hAnsi="Arial" w:cs="Arial"/>
        </w:rPr>
      </w:pPr>
    </w:p>
    <w:p w14:paraId="7CFAA1F9" w14:textId="77777777" w:rsidR="00476F57" w:rsidRDefault="00476F57" w:rsidP="00476F57">
      <w:pPr>
        <w:spacing w:line="360" w:lineRule="auto"/>
        <w:jc w:val="both"/>
        <w:rPr>
          <w:rFonts w:ascii="Arial" w:hAnsi="Arial" w:cs="Arial"/>
        </w:rPr>
      </w:pPr>
    </w:p>
    <w:p w14:paraId="395DA752" w14:textId="77777777" w:rsidR="00476F57" w:rsidRDefault="00476F57" w:rsidP="00476F57">
      <w:pPr>
        <w:spacing w:line="360" w:lineRule="auto"/>
        <w:jc w:val="both"/>
        <w:rPr>
          <w:rFonts w:ascii="Arial" w:hAnsi="Arial" w:cs="Arial"/>
        </w:rPr>
      </w:pPr>
    </w:p>
    <w:p w14:paraId="77C45737" w14:textId="77777777" w:rsidR="00476F57" w:rsidRDefault="00476F57" w:rsidP="00476F57">
      <w:pPr>
        <w:spacing w:line="360" w:lineRule="auto"/>
        <w:jc w:val="both"/>
        <w:rPr>
          <w:rFonts w:ascii="Arial" w:hAnsi="Arial" w:cs="Arial"/>
        </w:rPr>
      </w:pPr>
    </w:p>
    <w:p w14:paraId="7EE7174E" w14:textId="77777777" w:rsidR="00476F57" w:rsidRDefault="00476F57" w:rsidP="00476F57">
      <w:pPr>
        <w:spacing w:line="360" w:lineRule="auto"/>
        <w:jc w:val="both"/>
        <w:rPr>
          <w:rFonts w:ascii="Arial" w:hAnsi="Arial" w:cs="Arial"/>
        </w:rPr>
      </w:pPr>
    </w:p>
    <w:p w14:paraId="5BDF3750" w14:textId="77777777" w:rsidR="00476F57" w:rsidRDefault="00476F57" w:rsidP="00476F57">
      <w:pPr>
        <w:spacing w:line="360" w:lineRule="auto"/>
        <w:jc w:val="both"/>
        <w:rPr>
          <w:rFonts w:ascii="Arial" w:hAnsi="Arial" w:cs="Arial"/>
        </w:rPr>
      </w:pPr>
    </w:p>
    <w:p w14:paraId="1C89AD74" w14:textId="4BABAB7B" w:rsidR="00476F57" w:rsidRDefault="00476F57" w:rsidP="00476F57">
      <w:pPr>
        <w:pStyle w:val="Heading3"/>
        <w:rPr>
          <w:rFonts w:ascii="Arial" w:hAnsi="Arial" w:cs="Arial"/>
        </w:rPr>
      </w:pPr>
      <w:bookmarkStart w:id="8" w:name="_Toc235003021"/>
      <w:r w:rsidRPr="00476F57">
        <w:rPr>
          <w:rFonts w:ascii="Arial" w:hAnsi="Arial" w:cs="Arial"/>
        </w:rPr>
        <w:lastRenderedPageBreak/>
        <w:t>References</w:t>
      </w:r>
      <w:bookmarkEnd w:id="8"/>
      <w:r w:rsidRPr="00476F57">
        <w:rPr>
          <w:rFonts w:ascii="Arial" w:hAnsi="Arial" w:cs="Arial"/>
        </w:rPr>
        <w:t xml:space="preserve"> </w:t>
      </w:r>
    </w:p>
    <w:p w14:paraId="53A972FE" w14:textId="00E651C4" w:rsidR="0072573F" w:rsidRDefault="0072573F" w:rsidP="0072573F">
      <w:pPr>
        <w:pStyle w:val="ListParagraph"/>
        <w:numPr>
          <w:ilvl w:val="0"/>
          <w:numId w:val="3"/>
        </w:numPr>
        <w:jc w:val="both"/>
      </w:pPr>
      <w:r>
        <w:t xml:space="preserve">Bolomope, M., Amidu, A.-R., Ajayi, S. and Javed, A. (2022) ‘Decision-making framework for construction clients in selecting appropriate procurement route’, Buildings, 12(12), 2192. Available at: </w:t>
      </w:r>
      <w:hyperlink r:id="rId8" w:history="1">
        <w:r w:rsidRPr="003465FE">
          <w:rPr>
            <w:rStyle w:val="Hyperlink"/>
          </w:rPr>
          <w:t>https://doi.org/10.3390/buildings12122192</w:t>
        </w:r>
      </w:hyperlink>
      <w:r>
        <w:t xml:space="preserve">  (Accessed: 15 July 2026).</w:t>
      </w:r>
    </w:p>
    <w:p w14:paraId="65FBC61D" w14:textId="298C67B6" w:rsidR="0072573F" w:rsidRDefault="0072573F" w:rsidP="0072573F">
      <w:pPr>
        <w:pStyle w:val="ListParagraph"/>
        <w:numPr>
          <w:ilvl w:val="0"/>
          <w:numId w:val="3"/>
        </w:numPr>
        <w:jc w:val="both"/>
      </w:pPr>
      <w:r>
        <w:t xml:space="preserve">Cox, A. and Thompson, I. (1997) ‘“Fit for purpose” contractual relations: Determining a theoretical framework for construction projects’, European Journal of Purchasing &amp; Supply Management, 3(3), pp. 127–135. Available at: </w:t>
      </w:r>
      <w:hyperlink r:id="rId9" w:history="1">
        <w:r w:rsidRPr="003465FE">
          <w:rPr>
            <w:rStyle w:val="Hyperlink"/>
          </w:rPr>
          <w:t>https://doi.org/10.1016/S0969-7012(97)00005-1</w:t>
        </w:r>
      </w:hyperlink>
      <w:r>
        <w:t xml:space="preserve">  (Accessed: 15 July 2026).</w:t>
      </w:r>
    </w:p>
    <w:p w14:paraId="2F96A707" w14:textId="47DEDC7B" w:rsidR="0072573F" w:rsidRDefault="0072573F" w:rsidP="0072573F">
      <w:pPr>
        <w:pStyle w:val="ListParagraph"/>
        <w:numPr>
          <w:ilvl w:val="0"/>
          <w:numId w:val="3"/>
        </w:numPr>
        <w:jc w:val="both"/>
      </w:pPr>
      <w:r>
        <w:t xml:space="preserve">El Sawalhi, N.I. and El Agha, O. (2017) ‘Multi-attribute utility theory for selecting an appropriate procurement method in construction projects’, Journal of Construction in Developing Countries, 22(1), pp. 75–96. Available at: </w:t>
      </w:r>
      <w:hyperlink r:id="rId10" w:history="1">
        <w:r w:rsidRPr="003465FE">
          <w:rPr>
            <w:rStyle w:val="Hyperlink"/>
          </w:rPr>
          <w:t>https://doi.org/10.21315/jcdc2017.22.1.5</w:t>
        </w:r>
      </w:hyperlink>
      <w:r>
        <w:t xml:space="preserve">  (Accessed: 15 July 2026).</w:t>
      </w:r>
    </w:p>
    <w:p w14:paraId="2A2324DA" w14:textId="011ACE81" w:rsidR="0072573F" w:rsidRDefault="0072573F" w:rsidP="0072573F">
      <w:pPr>
        <w:pStyle w:val="ListParagraph"/>
        <w:numPr>
          <w:ilvl w:val="0"/>
          <w:numId w:val="3"/>
        </w:numPr>
        <w:jc w:val="both"/>
      </w:pPr>
      <w:r>
        <w:t xml:space="preserve">Eriksson, P.E. and Westerberg, M. (2011) ‘Effects of cooperative procurement procedures on construction project performance: A conceptual framework’, International Journal of Project Management, 29(2), pp. 197–208. Available at: </w:t>
      </w:r>
      <w:hyperlink r:id="rId11" w:history="1">
        <w:r w:rsidRPr="003465FE">
          <w:rPr>
            <w:rStyle w:val="Hyperlink"/>
          </w:rPr>
          <w:t>https://doi.org/10.1016/j.ijproman.2010.01.003</w:t>
        </w:r>
      </w:hyperlink>
      <w:r>
        <w:t xml:space="preserve">  (Accessed: 15 July 2026).</w:t>
      </w:r>
    </w:p>
    <w:p w14:paraId="1B986CF3" w14:textId="720D44EB" w:rsidR="0072573F" w:rsidRDefault="0072573F" w:rsidP="0072573F">
      <w:pPr>
        <w:pStyle w:val="ListParagraph"/>
        <w:numPr>
          <w:ilvl w:val="0"/>
          <w:numId w:val="3"/>
        </w:numPr>
        <w:jc w:val="both"/>
      </w:pPr>
      <w:r>
        <w:t>FIDIC (2017) Conditions of Contract for EPC/Turnkey Projects (Silver Book). 2nd edn. Geneva: International Federation of Consulting Engineers.</w:t>
      </w:r>
    </w:p>
    <w:p w14:paraId="376470E8" w14:textId="18C64806" w:rsidR="0072573F" w:rsidRDefault="0072573F" w:rsidP="0072573F">
      <w:pPr>
        <w:pStyle w:val="ListParagraph"/>
        <w:numPr>
          <w:ilvl w:val="0"/>
          <w:numId w:val="3"/>
        </w:numPr>
        <w:jc w:val="both"/>
      </w:pPr>
      <w:r>
        <w:t xml:space="preserve">Love, P.E.D., Skitmore, M. and Earl, G. (1998) ‘Selecting a suitable procurement method for a building project’, Construction Management and Economics, 16(2), pp. 221–233. Available at: </w:t>
      </w:r>
      <w:hyperlink r:id="rId12" w:history="1">
        <w:r w:rsidRPr="003465FE">
          <w:rPr>
            <w:rStyle w:val="Hyperlink"/>
          </w:rPr>
          <w:t>https://doi.org/10.1080/014461998372501</w:t>
        </w:r>
      </w:hyperlink>
      <w:r>
        <w:t xml:space="preserve">  (Accessed: 15 July 2026).</w:t>
      </w:r>
    </w:p>
    <w:p w14:paraId="6CF9823D" w14:textId="0415F5DE" w:rsidR="0072573F" w:rsidRDefault="0072573F" w:rsidP="0072573F">
      <w:pPr>
        <w:pStyle w:val="ListParagraph"/>
        <w:numPr>
          <w:ilvl w:val="0"/>
          <w:numId w:val="3"/>
        </w:numPr>
        <w:jc w:val="both"/>
      </w:pPr>
      <w:r>
        <w:t xml:space="preserve">OECD (2021) Procurement Strategy in Major Infrastructure Projects: Piloting a New Approach in Norway. OECD Public Governance Policy Papers, No. 6. Paris: OECD Publishing. Available at: </w:t>
      </w:r>
      <w:hyperlink r:id="rId13" w:history="1">
        <w:r w:rsidRPr="003465FE">
          <w:rPr>
            <w:rStyle w:val="Hyperlink"/>
          </w:rPr>
          <w:t>https://doi.org/10.1787/38996343-en</w:t>
        </w:r>
      </w:hyperlink>
      <w:r>
        <w:t xml:space="preserve">  (Accessed: 15 July 2026).</w:t>
      </w:r>
    </w:p>
    <w:p w14:paraId="2BE35DAA" w14:textId="65A5A23E" w:rsidR="0072573F" w:rsidRDefault="0072573F" w:rsidP="0072573F">
      <w:pPr>
        <w:pStyle w:val="ListParagraph"/>
        <w:numPr>
          <w:ilvl w:val="0"/>
          <w:numId w:val="3"/>
        </w:numPr>
        <w:jc w:val="both"/>
      </w:pPr>
      <w:r>
        <w:t xml:space="preserve">World Bank (2023) Standard Procurement Document: Request for Bids—Plant, Design, Supply and Installation. Washington, DC: World Bank. Available at: </w:t>
      </w:r>
      <w:hyperlink r:id="rId14" w:history="1">
        <w:r w:rsidRPr="003465FE">
          <w:rPr>
            <w:rStyle w:val="Hyperlink"/>
          </w:rPr>
          <w:t>https://thedocs.worldbank.org/en/doc/1cdce8e8524b75b08e1677f297c54e6d-0290012023/original/SPD-RFB-PLANT-July-2023.docx</w:t>
        </w:r>
      </w:hyperlink>
      <w:r>
        <w:t xml:space="preserve">  (Accessed: 15 July 2026).</w:t>
      </w:r>
    </w:p>
    <w:p w14:paraId="398E91A4" w14:textId="51BC22E6" w:rsidR="0072573F" w:rsidRPr="00476F57" w:rsidRDefault="0072573F" w:rsidP="0072573F">
      <w:pPr>
        <w:pStyle w:val="ListParagraph"/>
        <w:jc w:val="both"/>
      </w:pPr>
    </w:p>
    <w:sectPr w:rsidR="0072573F" w:rsidRPr="00476F5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68898" w14:textId="77777777" w:rsidR="00B929B1" w:rsidRDefault="00B929B1" w:rsidP="00593CF1">
      <w:pPr>
        <w:spacing w:after="0" w:line="240" w:lineRule="auto"/>
      </w:pPr>
      <w:r>
        <w:separator/>
      </w:r>
    </w:p>
  </w:endnote>
  <w:endnote w:type="continuationSeparator" w:id="0">
    <w:p w14:paraId="4A296ADF" w14:textId="77777777" w:rsidR="00B929B1" w:rsidRDefault="00B929B1" w:rsidP="00593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8837903"/>
      <w:docPartObj>
        <w:docPartGallery w:val="Page Numbers (Bottom of Page)"/>
        <w:docPartUnique/>
      </w:docPartObj>
    </w:sdtPr>
    <w:sdtContent>
      <w:p w14:paraId="2B361C91" w14:textId="59A89DF7" w:rsidR="00593CF1" w:rsidRDefault="00593CF1">
        <w:pPr>
          <w:pStyle w:val="Footer"/>
          <w:jc w:val="center"/>
        </w:pPr>
        <w:r>
          <w:fldChar w:fldCharType="begin"/>
        </w:r>
        <w:r>
          <w:instrText>PAGE   \* MERGEFORMAT</w:instrText>
        </w:r>
        <w:r>
          <w:fldChar w:fldCharType="separate"/>
        </w:r>
        <w:r>
          <w:t>2</w:t>
        </w:r>
        <w:r>
          <w:fldChar w:fldCharType="end"/>
        </w:r>
      </w:p>
    </w:sdtContent>
  </w:sdt>
  <w:p w14:paraId="1833F07B" w14:textId="77777777" w:rsidR="00593CF1" w:rsidRDefault="00593C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74CF7" w14:textId="77777777" w:rsidR="00B929B1" w:rsidRDefault="00B929B1" w:rsidP="00593CF1">
      <w:pPr>
        <w:spacing w:after="0" w:line="240" w:lineRule="auto"/>
      </w:pPr>
      <w:r>
        <w:separator/>
      </w:r>
    </w:p>
  </w:footnote>
  <w:footnote w:type="continuationSeparator" w:id="0">
    <w:p w14:paraId="493953BD" w14:textId="77777777" w:rsidR="00B929B1" w:rsidRDefault="00B929B1" w:rsidP="00593C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7162EA"/>
    <w:multiLevelType w:val="hybridMultilevel"/>
    <w:tmpl w:val="0E08BC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0764EC9"/>
    <w:multiLevelType w:val="hybridMultilevel"/>
    <w:tmpl w:val="94D43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B36510"/>
    <w:multiLevelType w:val="hybridMultilevel"/>
    <w:tmpl w:val="AFF00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8314586">
    <w:abstractNumId w:val="2"/>
  </w:num>
  <w:num w:numId="2" w16cid:durableId="1902017002">
    <w:abstractNumId w:val="0"/>
  </w:num>
  <w:num w:numId="3" w16cid:durableId="6188753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179"/>
    <w:rsid w:val="00007BFA"/>
    <w:rsid w:val="001950C7"/>
    <w:rsid w:val="001D0576"/>
    <w:rsid w:val="002042C3"/>
    <w:rsid w:val="0025173F"/>
    <w:rsid w:val="002D2179"/>
    <w:rsid w:val="00326C02"/>
    <w:rsid w:val="00343F8B"/>
    <w:rsid w:val="003866B8"/>
    <w:rsid w:val="003B0C77"/>
    <w:rsid w:val="00476F57"/>
    <w:rsid w:val="00593CF1"/>
    <w:rsid w:val="00675C89"/>
    <w:rsid w:val="00700A4D"/>
    <w:rsid w:val="0072573F"/>
    <w:rsid w:val="007A44FD"/>
    <w:rsid w:val="007D36D2"/>
    <w:rsid w:val="007E6994"/>
    <w:rsid w:val="008C1BD5"/>
    <w:rsid w:val="008C3ACB"/>
    <w:rsid w:val="009013AD"/>
    <w:rsid w:val="009079FC"/>
    <w:rsid w:val="009F03B6"/>
    <w:rsid w:val="00A84718"/>
    <w:rsid w:val="00B107F9"/>
    <w:rsid w:val="00B929B1"/>
    <w:rsid w:val="00C57EC2"/>
    <w:rsid w:val="00D20A68"/>
    <w:rsid w:val="00DB0466"/>
    <w:rsid w:val="00E73DBD"/>
    <w:rsid w:val="00E87C78"/>
    <w:rsid w:val="00EB0F00"/>
    <w:rsid w:val="00EC5678"/>
    <w:rsid w:val="00FC7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6C7ED"/>
  <w15:chartTrackingRefBased/>
  <w15:docId w15:val="{199C06F8-94E2-4421-8148-DCC4C425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21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21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21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21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21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21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21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21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21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1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21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21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21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21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21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21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21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2179"/>
    <w:rPr>
      <w:rFonts w:eastAsiaTheme="majorEastAsia" w:cstheme="majorBidi"/>
      <w:color w:val="272727" w:themeColor="text1" w:themeTint="D8"/>
    </w:rPr>
  </w:style>
  <w:style w:type="paragraph" w:styleId="Title">
    <w:name w:val="Title"/>
    <w:basedOn w:val="Normal"/>
    <w:next w:val="Normal"/>
    <w:link w:val="TitleChar"/>
    <w:uiPriority w:val="10"/>
    <w:qFormat/>
    <w:rsid w:val="002D21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21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21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21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2179"/>
    <w:pPr>
      <w:spacing w:before="160"/>
      <w:jc w:val="center"/>
    </w:pPr>
    <w:rPr>
      <w:i/>
      <w:iCs/>
      <w:color w:val="404040" w:themeColor="text1" w:themeTint="BF"/>
    </w:rPr>
  </w:style>
  <w:style w:type="character" w:customStyle="1" w:styleId="QuoteChar">
    <w:name w:val="Quote Char"/>
    <w:basedOn w:val="DefaultParagraphFont"/>
    <w:link w:val="Quote"/>
    <w:uiPriority w:val="29"/>
    <w:rsid w:val="002D2179"/>
    <w:rPr>
      <w:i/>
      <w:iCs/>
      <w:color w:val="404040" w:themeColor="text1" w:themeTint="BF"/>
    </w:rPr>
  </w:style>
  <w:style w:type="paragraph" w:styleId="ListParagraph">
    <w:name w:val="List Paragraph"/>
    <w:basedOn w:val="Normal"/>
    <w:uiPriority w:val="34"/>
    <w:qFormat/>
    <w:rsid w:val="002D2179"/>
    <w:pPr>
      <w:ind w:left="720"/>
      <w:contextualSpacing/>
    </w:pPr>
  </w:style>
  <w:style w:type="character" w:styleId="IntenseEmphasis">
    <w:name w:val="Intense Emphasis"/>
    <w:basedOn w:val="DefaultParagraphFont"/>
    <w:uiPriority w:val="21"/>
    <w:qFormat/>
    <w:rsid w:val="002D2179"/>
    <w:rPr>
      <w:i/>
      <w:iCs/>
      <w:color w:val="0F4761" w:themeColor="accent1" w:themeShade="BF"/>
    </w:rPr>
  </w:style>
  <w:style w:type="paragraph" w:styleId="IntenseQuote">
    <w:name w:val="Intense Quote"/>
    <w:basedOn w:val="Normal"/>
    <w:next w:val="Normal"/>
    <w:link w:val="IntenseQuoteChar"/>
    <w:uiPriority w:val="30"/>
    <w:qFormat/>
    <w:rsid w:val="002D21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2179"/>
    <w:rPr>
      <w:i/>
      <w:iCs/>
      <w:color w:val="0F4761" w:themeColor="accent1" w:themeShade="BF"/>
    </w:rPr>
  </w:style>
  <w:style w:type="character" w:styleId="IntenseReference">
    <w:name w:val="Intense Reference"/>
    <w:basedOn w:val="DefaultParagraphFont"/>
    <w:uiPriority w:val="32"/>
    <w:qFormat/>
    <w:rsid w:val="002D2179"/>
    <w:rPr>
      <w:b/>
      <w:bCs/>
      <w:smallCaps/>
      <w:color w:val="0F4761" w:themeColor="accent1" w:themeShade="BF"/>
      <w:spacing w:val="5"/>
    </w:rPr>
  </w:style>
  <w:style w:type="paragraph" w:styleId="Header">
    <w:name w:val="header"/>
    <w:basedOn w:val="Normal"/>
    <w:link w:val="HeaderChar"/>
    <w:uiPriority w:val="99"/>
    <w:unhideWhenUsed/>
    <w:rsid w:val="00593C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CF1"/>
  </w:style>
  <w:style w:type="paragraph" w:styleId="Footer">
    <w:name w:val="footer"/>
    <w:basedOn w:val="Normal"/>
    <w:link w:val="FooterChar"/>
    <w:uiPriority w:val="99"/>
    <w:unhideWhenUsed/>
    <w:rsid w:val="00593C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CF1"/>
  </w:style>
  <w:style w:type="paragraph" w:styleId="TOCHeading">
    <w:name w:val="TOC Heading"/>
    <w:basedOn w:val="Heading1"/>
    <w:next w:val="Normal"/>
    <w:uiPriority w:val="39"/>
    <w:unhideWhenUsed/>
    <w:qFormat/>
    <w:rsid w:val="00593CF1"/>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72573F"/>
    <w:rPr>
      <w:color w:val="467886" w:themeColor="hyperlink"/>
      <w:u w:val="single"/>
    </w:rPr>
  </w:style>
  <w:style w:type="character" w:styleId="UnresolvedMention">
    <w:name w:val="Unresolved Mention"/>
    <w:basedOn w:val="DefaultParagraphFont"/>
    <w:uiPriority w:val="99"/>
    <w:semiHidden/>
    <w:unhideWhenUsed/>
    <w:rsid w:val="0072573F"/>
    <w:rPr>
      <w:color w:val="605E5C"/>
      <w:shd w:val="clear" w:color="auto" w:fill="E1DFDD"/>
    </w:rPr>
  </w:style>
  <w:style w:type="paragraph" w:styleId="TOC1">
    <w:name w:val="toc 1"/>
    <w:basedOn w:val="Normal"/>
    <w:next w:val="Normal"/>
    <w:autoRedefine/>
    <w:uiPriority w:val="39"/>
    <w:unhideWhenUsed/>
    <w:rsid w:val="00B107F9"/>
    <w:pPr>
      <w:spacing w:after="100"/>
    </w:pPr>
  </w:style>
  <w:style w:type="paragraph" w:styleId="TOC2">
    <w:name w:val="toc 2"/>
    <w:basedOn w:val="Normal"/>
    <w:next w:val="Normal"/>
    <w:autoRedefine/>
    <w:uiPriority w:val="39"/>
    <w:unhideWhenUsed/>
    <w:rsid w:val="00B107F9"/>
    <w:pPr>
      <w:spacing w:after="100"/>
      <w:ind w:left="240"/>
    </w:pPr>
  </w:style>
  <w:style w:type="paragraph" w:styleId="TOC3">
    <w:name w:val="toc 3"/>
    <w:basedOn w:val="Normal"/>
    <w:next w:val="Normal"/>
    <w:autoRedefine/>
    <w:uiPriority w:val="39"/>
    <w:unhideWhenUsed/>
    <w:rsid w:val="00B107F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buildings12122192" TargetMode="External"/><Relationship Id="rId13" Type="http://schemas.openxmlformats.org/officeDocument/2006/relationships/hyperlink" Target="https://doi.org/10.1787/38996343-e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80/01446199837250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ijproman.2010.01.003"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21315/jcdc2017.22.1.5" TargetMode="External"/><Relationship Id="rId4" Type="http://schemas.openxmlformats.org/officeDocument/2006/relationships/settings" Target="settings.xml"/><Relationship Id="rId9" Type="http://schemas.openxmlformats.org/officeDocument/2006/relationships/hyperlink" Target="https://doi.org/10.1016/S0969-7012(97)00005-1" TargetMode="External"/><Relationship Id="rId14" Type="http://schemas.openxmlformats.org/officeDocument/2006/relationships/hyperlink" Target="https://thedocs.worldbank.org/en/doc/1cdce8e8524b75b08e1677f297c54e6d-0290012023/original/SPD-RFB-PLANT-July-2023.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509B4-2C64-4046-9A55-8FACD6CD8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10</Pages>
  <Words>2648</Words>
  <Characters>15099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Catalin Manole (2223641)</dc:creator>
  <cp:keywords/>
  <dc:description/>
  <cp:lastModifiedBy>Gabriel Catalin Manole (2223641)</cp:lastModifiedBy>
  <cp:revision>13</cp:revision>
  <dcterms:created xsi:type="dcterms:W3CDTF">2026-07-15T07:19:00Z</dcterms:created>
  <dcterms:modified xsi:type="dcterms:W3CDTF">2026-07-21T08:28:00Z</dcterms:modified>
</cp:coreProperties>
</file>