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ackground w:color="ffffff"/>
  <w:body>
    <w:p/>
    <w:p>
      <w:pPr>
        <w:pStyle w:val="Title"/>
        <w:spacing w:line="360" w:lineRule="auto"/>
        <w:rPr>
          <w:sz w:val="44"/>
        </w:rPr>
      </w:pPr>
    </w:p>
    <w:p>
      <w:pPr>
        <w:pStyle w:val="Title"/>
        <w:spacing w:line="360" w:lineRule="auto"/>
        <w:rPr>
          <w:sz w:val="44"/>
        </w:rPr>
      </w:pPr>
    </w:p>
    <w:p>
      <w:pPr>
        <w:pStyle w:val="Title"/>
        <w:spacing w:line="360" w:lineRule="auto"/>
        <w:rPr>
          <w:sz w:val="44"/>
        </w:rPr>
      </w:pPr>
    </w:p>
    <w:p>
      <w:pPr>
        <w:pStyle w:val="Title"/>
        <w:spacing w:line="360" w:lineRule="auto"/>
        <w:jc w:val="center"/>
        <w:rPr>
          <w:rFonts w:ascii="Times New Roman" w:cs="Times New Roman" w:hAnsi="Times New Roman"/>
          <w:b/>
          <w:sz w:val="36"/>
          <w:szCs w:val="36"/>
        </w:rPr>
      </w:pPr>
      <w:r>
        <w:rPr>
          <w:rFonts w:ascii="Times New Roman" w:cs="Times New Roman" w:hAnsi="Times New Roman"/>
          <w:b/>
          <w:sz w:val="36"/>
          <w:szCs w:val="36"/>
        </w:rPr>
        <w:t>Accounting Fundamentals</w:t>
      </w:r>
    </w:p>
    <w:p>
      <w:pPr>
        <w:pStyle w:val="Normal"/>
        <w:spacing w:line="360" w:lineRule="auto"/>
        <w:jc w:val="center"/>
        <w:rPr/>
      </w:pPr>
      <w:r>
        <w:rPr>
          <w:rFonts w:ascii="Times New Roman" w:cs="Times New Roman" w:hAnsi="Times New Roman"/>
          <w:b/>
          <w:sz w:val="36"/>
          <w:szCs w:val="36"/>
        </w:rPr>
        <w:t>Student name:Petronela Hurmuzache</w:t>
      </w:r>
    </w:p>
    <w:p>
      <w:pPr>
        <w:pStyle w:val="Normal"/>
        <w:spacing w:line="360" w:lineRule="auto"/>
        <w:jc w:val="center"/>
        <w:rPr/>
      </w:pPr>
      <w:r>
        <w:rPr>
          <w:rFonts w:ascii="Times New Roman" w:cs="Times New Roman" w:hAnsi="Times New Roman"/>
          <w:b/>
          <w:sz w:val="36"/>
          <w:szCs w:val="36"/>
        </w:rPr>
        <w:t>Student id:2114679</w:t>
      </w:r>
    </w:p>
    <w:p>
      <w:pPr>
        <w:rPr>
          <w:color w:val="auto"/>
        </w:rPr>
      </w:pPr>
    </w:p>
    <w:p>
      <w:pPr>
        <w:pStyle w:val="NoSpacing"/>
        <w:spacing w:line="360" w:lineRule="auto"/>
        <w:jc w:val="both"/>
        <w:rPr>
          <w:rFonts w:ascii="Times New Roman" w:cs="Times New Roman" w:hAnsi="Times New Roman"/>
          <w:sz w:val="40"/>
          <w:szCs w:val="96"/>
        </w:rPr>
      </w:pPr>
    </w:p>
    <w:p>
      <w:pPr>
        <w:rPr>
          <w:b/>
          <w:bCs/>
          <w:sz w:val="72"/>
          <w:szCs w:val="72"/>
        </w:rPr>
      </w:pPr>
    </w:p>
    <w:p/>
    <w:p>
      <w:pPr>
        <w:pStyle w:val="Heading1"/>
        <w:rPr/>
      </w:pPr>
      <w:r>
        <w:rPr/>
        <w:br w:type="page"/>
      </w:r>
    </w:p>
    <w:p>
      <w:pPr>
        <w:pStyle w:val="TOCHeading"/>
        <w:spacing w:line="360" w:lineRule="auto"/>
        <w:jc w:val="center"/>
        <w:rPr>
          <w:rFonts w:ascii="Times New Roman" w:hAnsi="Times New Roman"/>
          <w:b/>
          <w:bCs/>
          <w:sz w:val="28"/>
          <w:szCs w:val="28"/>
        </w:rPr>
      </w:pPr>
      <w:r>
        <w:rPr>
          <w:rFonts w:ascii="Times New Roman" w:hAnsi="Times New Roman"/>
          <w:b/>
          <w:bCs/>
          <w:sz w:val="28"/>
          <w:szCs w:val="28"/>
        </w:rPr>
        <w:t>Table of Contents</w:t>
      </w:r>
    </w:p>
    <w:p>
      <w:pPr>
        <w:pStyle w:val="Toc1"/>
        <w:tabs>
          <w:tab w:val="right" w:leader="dot" w:pos="9350"/>
        </w:tabs>
        <w:rPr>
          <w:rFonts w:asciiTheme="minorHAnsi" w:cstheme="minorBidi" w:eastAsiaTheme="minorEastAsia" w:hAnsiTheme="minorHAnsi"/>
          <w:color w:val="auto"/>
          <w:sz w:val="22"/>
          <w:lang w:val="en-IN" w:eastAsia="en-IN"/>
        </w:rPr>
      </w:pPr>
      <w:r>
        <w:fldChar w:fldCharType="begin"/>
      </w:r>
      <w:r>
        <w:instrText xml:space="preserve"> TOC \o "1-3" \h \z \u </w:instrText>
      </w:r>
      <w:r>
        <w:fldChar w:fldCharType="separate"/>
      </w:r>
      <w:r>
        <w:fldChar w:fldCharType="begin"/>
      </w:r>
      <w:r>
        <w:instrText xml:space="preserve">HYPERLINK \l "_Toc121869991" </w:instrText>
      </w:r>
      <w:r>
        <w:fldChar w:fldCharType="separate"/>
      </w:r>
      <w:r>
        <w:rPr>
          <w:rStyle w:val="Hyperlink"/>
        </w:rPr>
        <w:t>Introduction</w:t>
      </w:r>
      <w:r>
        <w:tab/>
      </w:r>
      <w:r>
        <w:fldChar w:fldCharType="begin"/>
      </w:r>
      <w:r>
        <w:instrText xml:space="preserve"> PAGEREF _Toc121869991 \h </w:instrText>
      </w:r>
      <w:r>
        <w:fldChar w:fldCharType="separate"/>
      </w:r>
      <w:r>
        <w:t>3</w:t>
      </w:r>
      <w:r>
        <w:fldChar w:fldCharType="end"/>
      </w:r>
      <w:r>
        <w:fldChar w:fldCharType="end"/>
      </w:r>
    </w:p>
    <w:p>
      <w:pPr>
        <w:pStyle w:val="Toc1"/>
        <w:tabs>
          <w:tab w:val="right" w:leader="dot" w:pos="9350"/>
        </w:tabs>
        <w:rPr>
          <w:rFonts w:asciiTheme="minorHAnsi" w:cstheme="minorBidi" w:eastAsiaTheme="minorEastAsia" w:hAnsiTheme="minorHAnsi"/>
          <w:color w:val="auto"/>
          <w:sz w:val="22"/>
          <w:lang w:val="en-IN" w:eastAsia="en-IN"/>
        </w:rPr>
      </w:pPr>
      <w:r>
        <w:fldChar w:fldCharType="begin"/>
      </w:r>
      <w:r>
        <w:instrText xml:space="preserve">HYPERLINK \l "_Toc121869992" </w:instrText>
      </w:r>
      <w:r>
        <w:fldChar w:fldCharType="separate"/>
      </w:r>
      <w:r>
        <w:rPr>
          <w:rStyle w:val="Hyperlink"/>
        </w:rPr>
        <w:t>Answer 1</w:t>
      </w:r>
      <w:r>
        <w:tab/>
      </w:r>
      <w:r>
        <w:fldChar w:fldCharType="begin"/>
      </w:r>
      <w:r>
        <w:instrText xml:space="preserve"> PAGEREF _Toc121869992 \h </w:instrText>
      </w:r>
      <w:r>
        <w:fldChar w:fldCharType="separate"/>
      </w:r>
      <w:r>
        <w:t>3</w:t>
      </w:r>
      <w:r>
        <w:fldChar w:fldCharType="end"/>
      </w:r>
      <w:r>
        <w:fldChar w:fldCharType="end"/>
      </w:r>
    </w:p>
    <w:p>
      <w:pPr>
        <w:pStyle w:val="Toc1"/>
        <w:tabs>
          <w:tab w:val="right" w:leader="dot" w:pos="9350"/>
        </w:tabs>
        <w:rPr>
          <w:rFonts w:asciiTheme="minorHAnsi" w:cstheme="minorBidi" w:eastAsiaTheme="minorEastAsia" w:hAnsiTheme="minorHAnsi"/>
          <w:color w:val="auto"/>
          <w:sz w:val="22"/>
          <w:lang w:val="en-IN" w:eastAsia="en-IN"/>
        </w:rPr>
      </w:pPr>
      <w:r>
        <w:fldChar w:fldCharType="begin"/>
      </w:r>
      <w:r>
        <w:instrText xml:space="preserve">HYPERLINK \l "_Toc121869993" </w:instrText>
      </w:r>
      <w:r>
        <w:fldChar w:fldCharType="separate"/>
      </w:r>
      <w:r>
        <w:rPr>
          <w:rStyle w:val="Hyperlink"/>
        </w:rPr>
        <w:t>Answer 2</w:t>
      </w:r>
      <w:r>
        <w:tab/>
      </w:r>
      <w:r>
        <w:fldChar w:fldCharType="end"/>
      </w:r>
      <w:r>
        <w:rPr>
          <w:rFonts w:asciiTheme="minorHAnsi" w:cstheme="minorBidi" w:eastAsiaTheme="minorEastAsia" w:hAnsiTheme="minorHAnsi"/>
          <w:color w:val="auto"/>
          <w:sz w:val="22"/>
          <w:lang w:val="en-IN" w:eastAsia="en-IN"/>
        </w:rPr>
        <w:t>7</w:t>
      </w:r>
    </w:p>
    <w:p>
      <w:pPr>
        <w:pStyle w:val="Toc1"/>
        <w:tabs>
          <w:tab w:val="right" w:leader="dot" w:pos="9350"/>
        </w:tabs>
        <w:rPr>
          <w:rFonts w:asciiTheme="minorHAnsi" w:cstheme="minorBidi" w:eastAsiaTheme="minorEastAsia" w:hAnsiTheme="minorHAnsi"/>
          <w:color w:val="auto"/>
          <w:sz w:val="22"/>
          <w:lang w:val="en-IN" w:eastAsia="en-IN"/>
        </w:rPr>
      </w:pPr>
      <w:r>
        <w:fldChar w:fldCharType="begin"/>
      </w:r>
      <w:r>
        <w:instrText xml:space="preserve">HYPERLINK \l "_Toc121869994" </w:instrText>
      </w:r>
      <w:r>
        <w:fldChar w:fldCharType="separate"/>
      </w:r>
      <w:r>
        <w:rPr>
          <w:rStyle w:val="Hyperlink"/>
        </w:rPr>
        <w:t>Conclusion</w:t>
      </w:r>
      <w:r>
        <w:tab/>
      </w:r>
      <w:r>
        <w:fldChar w:fldCharType="begin"/>
      </w:r>
      <w:r>
        <w:instrText xml:space="preserve"> PAGEREF _Toc121869994 \h </w:instrText>
      </w:r>
      <w:r>
        <w:fldChar w:fldCharType="separate"/>
      </w:r>
      <w:r>
        <w:t>1</w:t>
      </w:r>
      <w:r>
        <w:fldChar w:fldCharType="end"/>
      </w:r>
      <w:r>
        <w:fldChar w:fldCharType="end"/>
      </w:r>
      <w:r>
        <w:rPr>
          <w:rFonts w:asciiTheme="minorHAnsi" w:cstheme="minorBidi" w:eastAsiaTheme="minorEastAsia" w:hAnsiTheme="minorHAnsi"/>
          <w:color w:val="auto"/>
          <w:sz w:val="22"/>
          <w:lang w:val="en-IN" w:eastAsia="en-IN"/>
        </w:rPr>
        <w:t>2</w:t>
      </w:r>
    </w:p>
    <w:p>
      <w:pPr>
        <w:pStyle w:val="Toc1"/>
        <w:tabs>
          <w:tab w:val="right" w:leader="dot" w:pos="9350"/>
        </w:tabs>
        <w:rPr>
          <w:rFonts w:asciiTheme="minorHAnsi" w:cstheme="minorBidi" w:eastAsiaTheme="minorEastAsia" w:hAnsiTheme="minorHAnsi"/>
          <w:color w:val="auto"/>
          <w:sz w:val="22"/>
          <w:lang w:val="en-IN" w:eastAsia="en-IN"/>
        </w:rPr>
      </w:pPr>
      <w:r>
        <w:fldChar w:fldCharType="begin"/>
      </w:r>
      <w:r>
        <w:instrText xml:space="preserve">HYPERLINK \l "_Toc121869995" </w:instrText>
      </w:r>
      <w:r>
        <w:fldChar w:fldCharType="separate"/>
      </w:r>
      <w:r>
        <w:rPr>
          <w:rStyle w:val="Hyperlink"/>
        </w:rPr>
        <w:t>References List</w:t>
      </w:r>
      <w:r>
        <w:tab/>
      </w:r>
      <w:r>
        <w:fldChar w:fldCharType="begin"/>
      </w:r>
      <w:r>
        <w:instrText xml:space="preserve"> PAGEREF _Toc121869995 \h </w:instrText>
      </w:r>
      <w:r>
        <w:fldChar w:fldCharType="separate"/>
      </w:r>
      <w:r>
        <w:t>1</w:t>
      </w:r>
      <w:r>
        <w:fldChar w:fldCharType="end"/>
      </w:r>
      <w:r>
        <w:fldChar w:fldCharType="end"/>
      </w:r>
      <w:r>
        <w:rPr>
          <w:rFonts w:asciiTheme="minorHAnsi" w:cstheme="minorBidi" w:eastAsiaTheme="minorEastAsia" w:hAnsiTheme="minorHAnsi"/>
          <w:color w:val="auto"/>
          <w:sz w:val="22"/>
          <w:lang w:val="en-IN" w:eastAsia="en-IN"/>
        </w:rPr>
        <w:t>3</w:t>
      </w:r>
    </w:p>
    <w:p>
      <w:r>
        <w:fldChar w:fldCharType="end"/>
      </w:r>
    </w:p>
    <w:p/>
    <w:p>
      <w:pPr>
        <w:pStyle w:val="Heading1"/>
        <w:ind w:left="0" w:firstLine="0"/>
        <w:rPr/>
      </w:pPr>
    </w:p>
    <w:p/>
    <w:p>
      <w:pPr>
        <w:rPr>
          <w:szCs w:val="24"/>
        </w:rPr>
      </w:pPr>
    </w:p>
    <w:p>
      <w:r>
        <w:rPr/>
        <w:br w:type="page"/>
      </w:r>
    </w:p>
    <w:p>
      <w:pPr>
        <w:pStyle w:val="Heading1"/>
        <w:tabs>
          <w:tab w:val="clear" w:pos="0"/>
        </w:tabs>
        <w:rPr/>
      </w:pPr>
      <w:bookmarkStart w:id="0" w:name="_Toc121869991"/>
      <w:r>
        <w:t>Introducti</w:t>
      </w:r>
      <w:r>
        <w:t>on</w:t>
      </w:r>
      <w:bookmarkEnd w:id="0"/>
    </w:p>
    <w:p>
      <w:r>
        <w:t>Various transactions that occur during carrying out the business are recorded in the books of accounts by following the various accounting principles which include the actual concept, double entry system of accounting and various others. At the end of the accounting period, the financial statements are prepared from such records which give information about the financial performance of the business and also about the financial position which is disclosed by the income statement and the balance sheet respectively. It helps in taking the various decisions by the different stakeholders.</w:t>
      </w:r>
    </w:p>
    <w:p>
      <w:pPr>
        <w:pStyle w:val="Heading1"/>
        <w:rPr/>
      </w:pPr>
      <w:bookmarkStart w:id="1" w:name="_Toc121869992"/>
      <w:r>
        <w:t>Answer 1</w:t>
      </w:r>
      <w:bookmarkEnd w:id="1"/>
    </w:p>
    <w:p>
      <w:r>
        <w:t>i)</w:t>
      </w:r>
      <w:r>
        <w:t xml:space="preserve"> Preparation of financial statements of the company (Income statement and balance sheet)</w:t>
      </w:r>
    </w:p>
    <w:tbl>
      <w:tblPr>
        <w:tblW w:w="8853" w:type="dxa"/>
        <w:tblInd w:w="392" w:type="dxa"/>
        <w:tblLook w:val="04A0"/>
      </w:tblPr>
      <w:tblGrid>
        <w:gridCol w:w="6760"/>
        <w:gridCol w:w="2093"/>
      </w:tblGrid>
      <w:tr>
        <w:trPr>
          <w:trHeight w:val="314"/>
        </w:trPr>
        <w:tc>
          <w:tcPr>
            <w:cnfStyle w:val="101000000000"/>
            <w:tcW w:w="8853" w:type="dxa"/>
            <w:noWrap w:val="on"/>
            <w:gridSpan w:val="2"/>
            <w:tcBorders>
              <w:top w:val="single" w:color="auto" w:sz="4" w:space="0"/>
              <w:left w:val="single" w:color="auto"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bCs/>
                <w:szCs w:val="24"/>
                <w:lang w:val="en-IN" w:eastAsia="en-IN"/>
              </w:rPr>
            </w:pPr>
            <w:r>
              <w:rPr>
                <w:rFonts w:eastAsia="Times New Roman"/>
                <w:b/>
                <w:bCs/>
                <w:szCs w:val="24"/>
                <w:lang w:val="en-IN" w:eastAsia="en-IN"/>
              </w:rPr>
              <w:t>“</w:t>
            </w:r>
            <w:r>
              <w:rPr>
                <w:rFonts w:eastAsia="Times New Roman"/>
                <w:b/>
                <w:bCs/>
                <w:szCs w:val="24"/>
                <w:lang w:val="en-IN" w:eastAsia="en-IN"/>
              </w:rPr>
              <w:t>Income statement</w:t>
            </w:r>
            <w:r>
              <w:rPr>
                <w:rFonts w:eastAsia="Times New Roman"/>
                <w:b/>
                <w:bCs/>
                <w:szCs w:val="24"/>
                <w:lang w:val="en-IN" w:eastAsia="en-IN"/>
              </w:rPr>
              <w:t xml:space="preserve"> of Wales PLC for the year ending 31 December</w:t>
            </w:r>
            <w:r>
              <w:rPr>
                <w:rFonts w:eastAsia="Times New Roman"/>
                <w:b/>
                <w:bCs/>
                <w:szCs w:val="24"/>
                <w:lang w:val="en-IN" w:eastAsia="en-IN"/>
              </w:rPr>
              <w:t xml:space="preserve"> 2021</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95b3d7" w:themeFill="accent1" w:themeFillTint="99"/>
            <w:vAlign w:val="bottom"/>
          </w:tcPr>
          <w:p>
            <w:pPr>
              <w:spacing w:line="240" w:lineRule="auto"/>
              <w:jc w:val="left"/>
              <w:rPr>
                <w:rFonts w:eastAsia="Times New Roman"/>
                <w:b/>
                <w:bCs/>
                <w:szCs w:val="24"/>
                <w:lang w:val="en-IN" w:eastAsia="en-IN"/>
              </w:rPr>
            </w:pPr>
            <w:r>
              <w:rPr>
                <w:rFonts w:eastAsia="Times New Roman"/>
                <w:b/>
                <w:bCs/>
                <w:szCs w:val="24"/>
                <w:lang w:val="en-IN" w:eastAsia="en-IN"/>
              </w:rPr>
              <w:t>Particulars</w:t>
            </w:r>
          </w:p>
        </w:tc>
        <w:tc>
          <w:tcPr>
            <w:cnfStyle w:val="000000100000"/>
            <w:tcW w:w="2093" w:type="dxa"/>
            <w:noWrap w:val="on"/>
            <w:tcBorders>
              <w:top w:val="nil" w:sz="4" w:space="0"/>
              <w:left w:val="nil" w:sz="4" w:space="0"/>
              <w:bottom w:val="single" w:color="auto" w:sz="4" w:space="0"/>
              <w:right w:val="single" w:color="auto" w:sz="4" w:space="0"/>
            </w:tcBorders>
            <w:shd w:val="clear" w:color="auto" w:fill="95b3d7" w:themeFill="accent1" w:themeFillTint="99"/>
            <w:vAlign w:val="bottom"/>
          </w:tcPr>
          <w:p>
            <w:pPr>
              <w:spacing w:line="240" w:lineRule="auto"/>
              <w:jc w:val="left"/>
              <w:rPr>
                <w:rFonts w:eastAsia="Times New Roman"/>
                <w:b/>
                <w:bCs/>
                <w:szCs w:val="24"/>
                <w:lang w:val="en-IN" w:eastAsia="en-IN"/>
              </w:rPr>
            </w:pPr>
            <w:r>
              <w:rPr>
                <w:rFonts w:eastAsia="Times New Roman"/>
                <w:b/>
                <w:bCs/>
                <w:szCs w:val="24"/>
                <w:lang w:val="en-IN" w:eastAsia="en-IN"/>
              </w:rPr>
              <w:t>Amount (£)</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Sales</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800</w:t>
            </w:r>
            <w:r>
              <w:rPr>
                <w:rFonts w:eastAsia="Times New Roman"/>
                <w:szCs w:val="24"/>
                <w:lang w:val="en-IN" w:eastAsia="en-IN"/>
              </w:rPr>
              <w:t>,</w:t>
            </w:r>
            <w:r>
              <w:rPr>
                <w:rFonts w:eastAsia="Times New Roman"/>
                <w:szCs w:val="24"/>
                <w:lang w:val="en-IN" w:eastAsia="en-IN"/>
              </w:rPr>
              <w:t>980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Less: Cost of sales</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-578</w:t>
            </w:r>
            <w:r>
              <w:rPr>
                <w:rFonts w:eastAsia="Times New Roman"/>
                <w:szCs w:val="24"/>
                <w:lang w:val="en-IN" w:eastAsia="en-IN"/>
              </w:rPr>
              <w:t>,</w:t>
            </w:r>
            <w:r>
              <w:rPr>
                <w:rFonts w:eastAsia="Times New Roman"/>
                <w:szCs w:val="24"/>
                <w:lang w:val="en-IN" w:eastAsia="en-IN"/>
              </w:rPr>
              <w:t>650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Gross profit</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222,330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Less: Administrative expenses</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-30</w:t>
            </w:r>
            <w:r>
              <w:rPr>
                <w:rFonts w:eastAsia="Times New Roman"/>
                <w:szCs w:val="24"/>
                <w:lang w:val="en-IN" w:eastAsia="en-IN"/>
              </w:rPr>
              <w:t>,</w:t>
            </w:r>
            <w:r>
              <w:rPr>
                <w:rFonts w:eastAsia="Times New Roman"/>
                <w:szCs w:val="24"/>
                <w:lang w:val="en-IN" w:eastAsia="en-IN"/>
              </w:rPr>
              <w:t>000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Employee benefit expenses</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-8</w:t>
            </w:r>
            <w:r>
              <w:rPr>
                <w:rFonts w:eastAsia="Times New Roman"/>
                <w:szCs w:val="24"/>
                <w:lang w:val="en-IN" w:eastAsia="en-IN"/>
              </w:rPr>
              <w:t>,</w:t>
            </w:r>
            <w:r>
              <w:rPr>
                <w:rFonts w:eastAsia="Times New Roman"/>
                <w:szCs w:val="24"/>
                <w:lang w:val="en-IN" w:eastAsia="en-IN"/>
              </w:rPr>
              <w:t>000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Selling and distribution expenses</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-28</w:t>
            </w:r>
            <w:r>
              <w:rPr>
                <w:rFonts w:eastAsia="Times New Roman"/>
                <w:szCs w:val="24"/>
                <w:lang w:val="en-IN" w:eastAsia="en-IN"/>
              </w:rPr>
              <w:t>,</w:t>
            </w:r>
            <w:r>
              <w:rPr>
                <w:rFonts w:eastAsia="Times New Roman"/>
                <w:szCs w:val="24"/>
                <w:lang w:val="en-IN" w:eastAsia="en-IN"/>
              </w:rPr>
              <w:t>000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Earnings before interest and tax</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156,330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Less: Interest</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w:t>
            </w:r>
            <w:r>
              <w:rPr>
                <w:rFonts w:eastAsia="Times New Roman"/>
                <w:szCs w:val="24"/>
                <w:lang w:val="en-IN" w:eastAsia="en-IN"/>
              </w:rPr>
              <w:t>,</w:t>
            </w:r>
            <w:r>
              <w:rPr>
                <w:rFonts w:eastAsia="Times New Roman"/>
                <w:szCs w:val="24"/>
                <w:lang w:val="en-IN" w:eastAsia="en-IN"/>
              </w:rPr>
              <w:t>000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Earnings before tax</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154,330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Less: Tax</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-100</w:t>
            </w:r>
            <w:r>
              <w:rPr>
                <w:rFonts w:eastAsia="Times New Roman"/>
                <w:szCs w:val="24"/>
                <w:lang w:val="en-IN" w:eastAsia="en-IN"/>
              </w:rPr>
              <w:t>,</w:t>
            </w:r>
            <w:r>
              <w:rPr>
                <w:rFonts w:eastAsia="Times New Roman"/>
                <w:szCs w:val="24"/>
                <w:lang w:val="en-IN" w:eastAsia="en-IN"/>
              </w:rPr>
              <w:t>000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Earnings after tax</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54,330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Less: Preference dividend paid</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-30</w:t>
            </w:r>
            <w:r>
              <w:rPr>
                <w:rFonts w:eastAsia="Times New Roman"/>
                <w:szCs w:val="24"/>
                <w:lang w:val="en-IN" w:eastAsia="en-IN"/>
              </w:rPr>
              <w:t>,</w:t>
            </w:r>
            <w:r>
              <w:rPr>
                <w:rFonts w:eastAsia="Times New Roman"/>
                <w:szCs w:val="24"/>
                <w:lang w:val="en-IN" w:eastAsia="en-IN"/>
              </w:rPr>
              <w:t>000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Earnings available for equity shareholders</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24,330</w:t>
            </w:r>
          </w:p>
        </w:tc>
      </w:tr>
      <w:tr>
        <w:trPr>
          <w:trHeight w:val="314"/>
        </w:trPr>
        <w:tc>
          <w:tcPr>
            <w:cnfStyle w:val="00100010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Less: Dividend paid</w:t>
            </w:r>
          </w:p>
        </w:tc>
        <w:tc>
          <w:tcPr>
            <w:cnfStyle w:val="00000010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-20</w:t>
            </w:r>
            <w:r>
              <w:rPr>
                <w:rFonts w:eastAsia="Times New Roman"/>
                <w:szCs w:val="24"/>
                <w:lang w:val="en-IN" w:eastAsia="en-IN"/>
              </w:rPr>
              <w:t>,</w:t>
            </w:r>
            <w:r>
              <w:rPr>
                <w:rFonts w:eastAsia="Times New Roman"/>
                <w:szCs w:val="24"/>
                <w:lang w:val="en-IN" w:eastAsia="en-IN"/>
              </w:rPr>
              <w:t>000</w:t>
            </w:r>
          </w:p>
        </w:tc>
      </w:tr>
      <w:tr>
        <w:trPr>
          <w:trHeight w:val="314"/>
        </w:trPr>
        <w:tc>
          <w:tcPr>
            <w:cnfStyle w:val="001000010000"/>
            <w:tcW w:w="676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Net earnings</w:t>
            </w:r>
          </w:p>
        </w:tc>
        <w:tc>
          <w:tcPr>
            <w:cnfStyle w:val="000000010000"/>
            <w:tcW w:w="2093"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4,330</w:t>
            </w:r>
          </w:p>
        </w:tc>
      </w:tr>
    </w:tbl>
    <w:p/>
    <w:tbl>
      <w:tblPr>
        <w:tblW w:w="8788" w:type="dxa"/>
        <w:tblInd w:w="392" w:type="dxa"/>
        <w:tblLook w:val="04A0"/>
      </w:tblPr>
      <w:tblGrid>
        <w:gridCol w:w="6804"/>
        <w:gridCol w:w="1984"/>
      </w:tblGrid>
      <w:tr>
        <w:trPr>
          <w:trHeight w:val="312"/>
        </w:trPr>
        <w:tc>
          <w:tcPr>
            <w:cnfStyle w:val="101000000000"/>
            <w:tcW w:w="8788" w:type="dxa"/>
            <w:noWrap w:val="on"/>
            <w:gridSpan w:val="2"/>
            <w:tcBorders>
              <w:top w:val="single" w:color="auto" w:sz="4" w:space="0"/>
              <w:left w:val="single" w:color="auto"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bCs/>
                <w:szCs w:val="24"/>
                <w:lang w:val="en-IN" w:eastAsia="en-IN"/>
              </w:rPr>
            </w:pPr>
            <w:r>
              <w:rPr>
                <w:rFonts w:eastAsia="Times New Roman"/>
                <w:b/>
                <w:bCs/>
                <w:szCs w:val="24"/>
                <w:lang w:val="en-IN" w:eastAsia="en-IN"/>
              </w:rPr>
              <w:t>Statement of financial position</w:t>
            </w:r>
            <w:r>
              <w:rPr>
                <w:rFonts w:eastAsia="Times New Roman"/>
                <w:b/>
                <w:bCs/>
                <w:szCs w:val="24"/>
                <w:lang w:val="en-IN" w:eastAsia="en-IN"/>
              </w:rPr>
              <w:t xml:space="preserve"> of Wales PLC</w:t>
            </w:r>
            <w:r>
              <w:rPr>
                <w:rFonts w:eastAsia="Times New Roman"/>
                <w:b/>
                <w:bCs/>
                <w:szCs w:val="24"/>
                <w:lang w:val="en-IN" w:eastAsia="en-IN"/>
              </w:rPr>
              <w:t xml:space="preserve"> as at 31 December 2021</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95b3d7" w:themeFill="accent1" w:themeFillTint="99"/>
            <w:vAlign w:val="bottom"/>
          </w:tcPr>
          <w:p>
            <w:pPr>
              <w:spacing w:line="240" w:lineRule="auto"/>
              <w:jc w:val="left"/>
              <w:rPr>
                <w:rFonts w:eastAsia="Times New Roman"/>
                <w:b/>
                <w:bCs/>
                <w:szCs w:val="24"/>
                <w:lang w:val="en-IN" w:eastAsia="en-IN"/>
              </w:rPr>
            </w:pPr>
            <w:r>
              <w:rPr>
                <w:rFonts w:eastAsia="Times New Roman"/>
                <w:b/>
                <w:bCs/>
                <w:szCs w:val="24"/>
                <w:lang w:val="en-IN" w:eastAsia="en-IN"/>
              </w:rPr>
              <w:t>Particulars</w:t>
            </w:r>
          </w:p>
        </w:tc>
        <w:tc>
          <w:tcPr>
            <w:cnfStyle w:val="000000100000"/>
            <w:tcW w:w="1984" w:type="dxa"/>
            <w:noWrap w:val="on"/>
            <w:tcBorders>
              <w:top w:val="nil" w:sz="4" w:space="0"/>
              <w:left w:val="nil" w:sz="4" w:space="0"/>
              <w:bottom w:val="single" w:color="auto" w:sz="4" w:space="0"/>
              <w:right w:val="single" w:color="auto" w:sz="4" w:space="0"/>
            </w:tcBorders>
            <w:shd w:val="clear" w:color="auto" w:fill="95b3d7" w:themeFill="accent1" w:themeFillTint="99"/>
            <w:vAlign w:val="bottom"/>
          </w:tcPr>
          <w:p>
            <w:pPr>
              <w:spacing w:line="240" w:lineRule="auto"/>
              <w:jc w:val="left"/>
              <w:rPr>
                <w:rFonts w:eastAsia="Times New Roman"/>
                <w:b/>
                <w:bCs/>
                <w:szCs w:val="24"/>
                <w:lang w:val="en-IN" w:eastAsia="en-IN"/>
              </w:rPr>
            </w:pPr>
            <w:r>
              <w:rPr>
                <w:rFonts w:eastAsia="Times New Roman"/>
                <w:b/>
                <w:bCs/>
                <w:szCs w:val="24"/>
                <w:lang w:val="en-IN" w:eastAsia="en-IN"/>
              </w:rPr>
              <w:t>Amount (£)</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Non-current assets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Property, plant and equipment</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w:t>
            </w:r>
            <w:r>
              <w:rPr>
                <w:rFonts w:eastAsia="Times New Roman"/>
                <w:szCs w:val="24"/>
                <w:lang w:val="en-IN" w:eastAsia="en-IN"/>
              </w:rPr>
              <w:t>,</w:t>
            </w:r>
            <w:r>
              <w:rPr>
                <w:rFonts w:eastAsia="Times New Roman"/>
                <w:szCs w:val="24"/>
                <w:lang w:val="en-IN" w:eastAsia="en-IN"/>
              </w:rPr>
              <w:t>250</w:t>
            </w:r>
            <w:r>
              <w:rPr>
                <w:rFonts w:eastAsia="Times New Roman"/>
                <w:szCs w:val="24"/>
                <w:lang w:val="en-IN" w:eastAsia="en-IN"/>
              </w:rPr>
              <w:t>,</w:t>
            </w:r>
            <w:r>
              <w:rPr>
                <w:rFonts w:eastAsia="Times New Roman"/>
                <w:szCs w:val="24"/>
                <w:lang w:val="en-IN" w:eastAsia="en-IN"/>
              </w:rPr>
              <w:t>000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Total Non-current assets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bCs/>
                <w:szCs w:val="24"/>
                <w:lang w:val="en-IN" w:eastAsia="en-IN"/>
              </w:rPr>
            </w:pPr>
            <w:r>
              <w:rPr>
                <w:rFonts w:eastAsia="Times New Roman"/>
                <w:b/>
                <w:bCs/>
                <w:szCs w:val="24"/>
                <w:lang w:val="en-IN" w:eastAsia="en-IN"/>
              </w:rPr>
              <w:t>1</w:t>
            </w:r>
            <w:r>
              <w:rPr>
                <w:rFonts w:eastAsia="Times New Roman"/>
                <w:b/>
                <w:bCs/>
                <w:szCs w:val="24"/>
                <w:lang w:val="en-IN" w:eastAsia="en-IN"/>
              </w:rPr>
              <w:t>,</w:t>
            </w:r>
            <w:r>
              <w:rPr>
                <w:rFonts w:eastAsia="Times New Roman"/>
                <w:b/>
                <w:bCs/>
                <w:szCs w:val="24"/>
                <w:lang w:val="en-IN" w:eastAsia="en-IN"/>
              </w:rPr>
              <w:t>250</w:t>
            </w:r>
            <w:r>
              <w:rPr>
                <w:rFonts w:eastAsia="Times New Roman"/>
                <w:b/>
                <w:bCs/>
                <w:szCs w:val="24"/>
                <w:lang w:val="en-IN" w:eastAsia="en-IN"/>
              </w:rPr>
              <w:t>,</w:t>
            </w:r>
            <w:r>
              <w:rPr>
                <w:rFonts w:eastAsia="Times New Roman"/>
                <w:b/>
                <w:bCs/>
                <w:szCs w:val="24"/>
                <w:lang w:val="en-IN" w:eastAsia="en-IN"/>
              </w:rPr>
              <w:t>000</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Current assets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Inventory</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430</w:t>
            </w:r>
            <w:r>
              <w:rPr>
                <w:rFonts w:eastAsia="Times New Roman"/>
                <w:szCs w:val="24"/>
                <w:lang w:val="en-IN" w:eastAsia="en-IN"/>
              </w:rPr>
              <w:t>,</w:t>
            </w:r>
            <w:r>
              <w:rPr>
                <w:rFonts w:eastAsia="Times New Roman"/>
                <w:szCs w:val="24"/>
                <w:lang w:val="en-IN" w:eastAsia="en-IN"/>
              </w:rPr>
              <w:t>600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Trade rec</w:t>
            </w:r>
            <w:r>
              <w:rPr>
                <w:rFonts w:eastAsia="Times New Roman"/>
                <w:szCs w:val="24"/>
                <w:lang w:val="en-IN" w:eastAsia="en-IN"/>
              </w:rPr>
              <w:t>ei</w:t>
            </w:r>
            <w:r>
              <w:rPr>
                <w:rFonts w:eastAsia="Times New Roman"/>
                <w:szCs w:val="24"/>
                <w:lang w:val="en-IN" w:eastAsia="en-IN"/>
              </w:rPr>
              <w:t>vables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171</w:t>
            </w:r>
            <w:r>
              <w:rPr>
                <w:rFonts w:eastAsia="Times New Roman"/>
                <w:szCs w:val="24"/>
                <w:lang w:val="en-IN" w:eastAsia="en-IN"/>
              </w:rPr>
              <w:t>,</w:t>
            </w:r>
            <w:r>
              <w:rPr>
                <w:rFonts w:eastAsia="Times New Roman"/>
                <w:szCs w:val="24"/>
                <w:lang w:val="en-IN" w:eastAsia="en-IN"/>
              </w:rPr>
              <w:t>105</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Cash and bank</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176</w:t>
            </w:r>
            <w:r>
              <w:rPr>
                <w:rFonts w:eastAsia="Times New Roman"/>
                <w:szCs w:val="24"/>
                <w:lang w:val="en-IN" w:eastAsia="en-IN"/>
              </w:rPr>
              <w:t>,</w:t>
            </w:r>
            <w:r>
              <w:rPr>
                <w:rFonts w:eastAsia="Times New Roman"/>
                <w:szCs w:val="24"/>
                <w:lang w:val="en-IN" w:eastAsia="en-IN"/>
              </w:rPr>
              <w:t>250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Total Current assets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bCs/>
                <w:szCs w:val="24"/>
                <w:lang w:val="en-IN" w:eastAsia="en-IN"/>
              </w:rPr>
            </w:pPr>
            <w:r>
              <w:rPr>
                <w:rFonts w:eastAsia="Times New Roman"/>
                <w:b/>
                <w:bCs/>
                <w:szCs w:val="24"/>
                <w:lang w:val="en-IN" w:eastAsia="en-IN"/>
              </w:rPr>
              <w:t>777</w:t>
            </w:r>
            <w:r>
              <w:rPr>
                <w:rFonts w:eastAsia="Times New Roman"/>
                <w:b/>
                <w:bCs/>
                <w:szCs w:val="24"/>
                <w:lang w:val="en-IN" w:eastAsia="en-IN"/>
              </w:rPr>
              <w:t>,</w:t>
            </w:r>
            <w:r>
              <w:rPr>
                <w:rFonts w:eastAsia="Times New Roman"/>
                <w:b/>
                <w:bCs/>
                <w:szCs w:val="24"/>
                <w:lang w:val="en-IN" w:eastAsia="en-IN"/>
              </w:rPr>
              <w:t>955</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Total assets</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bCs/>
                <w:szCs w:val="24"/>
                <w:lang w:val="en-IN" w:eastAsia="en-IN"/>
              </w:rPr>
            </w:pPr>
            <w:r>
              <w:rPr>
                <w:rFonts w:eastAsia="Times New Roman"/>
                <w:b/>
                <w:bCs/>
                <w:szCs w:val="24"/>
                <w:lang w:val="en-IN" w:eastAsia="en-IN"/>
              </w:rPr>
              <w:t>2</w:t>
            </w:r>
            <w:r>
              <w:rPr>
                <w:rFonts w:eastAsia="Times New Roman"/>
                <w:b/>
                <w:bCs/>
                <w:szCs w:val="24"/>
                <w:lang w:val="en-IN" w:eastAsia="en-IN"/>
              </w:rPr>
              <w:t>,</w:t>
            </w:r>
            <w:r>
              <w:rPr>
                <w:rFonts w:eastAsia="Times New Roman"/>
                <w:b/>
                <w:bCs/>
                <w:szCs w:val="24"/>
                <w:lang w:val="en-IN" w:eastAsia="en-IN"/>
              </w:rPr>
              <w:t>027</w:t>
            </w:r>
            <w:r>
              <w:rPr>
                <w:rFonts w:eastAsia="Times New Roman"/>
                <w:b/>
                <w:bCs/>
                <w:szCs w:val="24"/>
                <w:lang w:val="en-IN" w:eastAsia="en-IN"/>
              </w:rPr>
              <w:t>,</w:t>
            </w:r>
            <w:r>
              <w:rPr>
                <w:rFonts w:eastAsia="Times New Roman"/>
                <w:b/>
                <w:bCs/>
                <w:szCs w:val="24"/>
                <w:lang w:val="en-IN" w:eastAsia="en-IN"/>
              </w:rPr>
              <w:t>955</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 </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 </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Current liabilities</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Trade payable</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188</w:t>
            </w:r>
            <w:r>
              <w:rPr>
                <w:rFonts w:eastAsia="Times New Roman"/>
                <w:szCs w:val="24"/>
                <w:lang w:val="en-IN" w:eastAsia="en-IN"/>
              </w:rPr>
              <w:t>,</w:t>
            </w:r>
            <w:r>
              <w:rPr>
                <w:rFonts w:eastAsia="Times New Roman"/>
                <w:szCs w:val="24"/>
                <w:lang w:val="en-IN" w:eastAsia="en-IN"/>
              </w:rPr>
              <w:t>625</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Corporate tax payable</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100</w:t>
            </w:r>
            <w:r>
              <w:rPr>
                <w:rFonts w:eastAsia="Times New Roman"/>
                <w:szCs w:val="24"/>
                <w:lang w:val="en-IN" w:eastAsia="en-IN"/>
              </w:rPr>
              <w:t>,</w:t>
            </w:r>
            <w:r>
              <w:rPr>
                <w:rFonts w:eastAsia="Times New Roman"/>
                <w:szCs w:val="24"/>
                <w:lang w:val="en-IN" w:eastAsia="en-IN"/>
              </w:rPr>
              <w:t>000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Commission payable</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w:t>
            </w:r>
            <w:r>
              <w:rPr>
                <w:rFonts w:eastAsia="Times New Roman"/>
                <w:szCs w:val="24"/>
                <w:lang w:val="en-IN" w:eastAsia="en-IN"/>
              </w:rPr>
              <w:t>,</w:t>
            </w:r>
            <w:r>
              <w:rPr>
                <w:rFonts w:eastAsia="Times New Roman"/>
                <w:szCs w:val="24"/>
                <w:lang w:val="en-IN" w:eastAsia="en-IN"/>
              </w:rPr>
              <w:t>000</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Total Current liabilities</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291</w:t>
            </w:r>
            <w:r>
              <w:rPr>
                <w:rFonts w:eastAsia="Times New Roman"/>
                <w:szCs w:val="24"/>
                <w:lang w:val="en-IN" w:eastAsia="en-IN"/>
              </w:rPr>
              <w:t>,</w:t>
            </w:r>
            <w:r>
              <w:rPr>
                <w:rFonts w:eastAsia="Times New Roman"/>
                <w:szCs w:val="24"/>
                <w:lang w:val="en-IN" w:eastAsia="en-IN"/>
              </w:rPr>
              <w:t>625</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Non-current liabilities</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4% Debentures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200</w:t>
            </w:r>
            <w:r>
              <w:rPr>
                <w:rFonts w:eastAsia="Times New Roman"/>
                <w:szCs w:val="24"/>
                <w:lang w:val="en-IN" w:eastAsia="en-IN"/>
              </w:rPr>
              <w:t>,</w:t>
            </w:r>
            <w:r>
              <w:rPr>
                <w:rFonts w:eastAsia="Times New Roman"/>
                <w:szCs w:val="24"/>
                <w:lang w:val="en-IN" w:eastAsia="en-IN"/>
              </w:rPr>
              <w:t>000</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Total Non-current liabilities</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200</w:t>
            </w:r>
            <w:r>
              <w:rPr>
                <w:rFonts w:eastAsia="Times New Roman"/>
                <w:szCs w:val="24"/>
                <w:lang w:val="en-IN" w:eastAsia="en-IN"/>
              </w:rPr>
              <w:t>,</w:t>
            </w:r>
            <w:r>
              <w:rPr>
                <w:rFonts w:eastAsia="Times New Roman"/>
                <w:szCs w:val="24"/>
                <w:lang w:val="en-IN" w:eastAsia="en-IN"/>
              </w:rPr>
              <w:t>000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Equity</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Ordinary share capital</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w:t>
            </w:r>
            <w:r>
              <w:rPr>
                <w:rFonts w:eastAsia="Times New Roman"/>
                <w:szCs w:val="24"/>
                <w:lang w:val="en-IN" w:eastAsia="en-IN"/>
              </w:rPr>
              <w:t>,</w:t>
            </w:r>
            <w:r>
              <w:rPr>
                <w:rFonts w:eastAsia="Times New Roman"/>
                <w:szCs w:val="24"/>
                <w:lang w:val="en-IN" w:eastAsia="en-IN"/>
              </w:rPr>
              <w:t>000</w:t>
            </w:r>
            <w:r>
              <w:rPr>
                <w:rFonts w:eastAsia="Times New Roman"/>
                <w:szCs w:val="24"/>
                <w:lang w:val="en-IN" w:eastAsia="en-IN"/>
              </w:rPr>
              <w:t>,</w:t>
            </w:r>
            <w:r>
              <w:rPr>
                <w:rFonts w:eastAsia="Times New Roman"/>
                <w:szCs w:val="24"/>
                <w:lang w:val="en-IN" w:eastAsia="en-IN"/>
              </w:rPr>
              <w:t>000</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10% preference share capital</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400</w:t>
            </w:r>
            <w:r>
              <w:rPr>
                <w:rFonts w:eastAsia="Times New Roman"/>
                <w:szCs w:val="24"/>
                <w:lang w:val="en-IN" w:eastAsia="en-IN"/>
              </w:rPr>
              <w:t>,</w:t>
            </w:r>
            <w:r>
              <w:rPr>
                <w:rFonts w:eastAsia="Times New Roman"/>
                <w:szCs w:val="24"/>
                <w:lang w:val="en-IN" w:eastAsia="en-IN"/>
              </w:rPr>
              <w:t>000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Retained earnings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136</w:t>
            </w:r>
            <w:r>
              <w:rPr>
                <w:rFonts w:eastAsia="Times New Roman"/>
                <w:szCs w:val="24"/>
                <w:lang w:val="en-IN" w:eastAsia="en-IN"/>
              </w:rPr>
              <w:t>,</w:t>
            </w:r>
            <w:r>
              <w:rPr>
                <w:rFonts w:eastAsia="Times New Roman"/>
                <w:szCs w:val="24"/>
                <w:lang w:val="en-IN" w:eastAsia="en-IN"/>
              </w:rPr>
              <w:t>330</w:t>
            </w:r>
          </w:p>
        </w:tc>
      </w:tr>
      <w:tr>
        <w:trPr>
          <w:trHeight w:val="312"/>
        </w:trPr>
        <w:tc>
          <w:tcPr>
            <w:cnfStyle w:val="00100010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b/>
                <w:bCs/>
                <w:szCs w:val="24"/>
                <w:lang w:val="en-IN" w:eastAsia="en-IN"/>
              </w:rPr>
            </w:pPr>
            <w:r>
              <w:rPr>
                <w:rFonts w:eastAsia="Times New Roman"/>
                <w:b/>
                <w:bCs/>
                <w:szCs w:val="24"/>
                <w:lang w:val="en-IN" w:eastAsia="en-IN"/>
              </w:rPr>
              <w:t>Total equity</w:t>
            </w:r>
          </w:p>
        </w:tc>
        <w:tc>
          <w:tcPr>
            <w:cnfStyle w:val="00000010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bCs/>
                <w:szCs w:val="24"/>
                <w:lang w:val="en-IN" w:eastAsia="en-IN"/>
              </w:rPr>
            </w:pPr>
            <w:r>
              <w:rPr>
                <w:rFonts w:eastAsia="Times New Roman"/>
                <w:b/>
                <w:bCs/>
                <w:szCs w:val="24"/>
                <w:lang w:val="en-IN" w:eastAsia="en-IN"/>
              </w:rPr>
              <w:t>1</w:t>
            </w:r>
            <w:r>
              <w:rPr>
                <w:rFonts w:eastAsia="Times New Roman"/>
                <w:b/>
                <w:bCs/>
                <w:szCs w:val="24"/>
                <w:lang w:val="en-IN" w:eastAsia="en-IN"/>
              </w:rPr>
              <w:t>,</w:t>
            </w:r>
            <w:r>
              <w:rPr>
                <w:rFonts w:eastAsia="Times New Roman"/>
                <w:b/>
                <w:bCs/>
                <w:szCs w:val="24"/>
                <w:lang w:val="en-IN" w:eastAsia="en-IN"/>
              </w:rPr>
              <w:t>536</w:t>
            </w:r>
            <w:r>
              <w:rPr>
                <w:rFonts w:eastAsia="Times New Roman"/>
                <w:b/>
                <w:bCs/>
                <w:szCs w:val="24"/>
                <w:lang w:val="en-IN" w:eastAsia="en-IN"/>
              </w:rPr>
              <w:t>,</w:t>
            </w:r>
            <w:r>
              <w:rPr>
                <w:rFonts w:eastAsia="Times New Roman"/>
                <w:b/>
                <w:bCs/>
                <w:szCs w:val="24"/>
                <w:lang w:val="en-IN" w:eastAsia="en-IN"/>
              </w:rPr>
              <w:t>330</w:t>
            </w:r>
          </w:p>
        </w:tc>
      </w:tr>
      <w:tr>
        <w:trPr>
          <w:trHeight w:val="312"/>
        </w:trPr>
        <w:tc>
          <w:tcPr>
            <w:cnfStyle w:val="001000010000"/>
            <w:tcW w:w="6804"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equities and liabilities</w:t>
            </w:r>
          </w:p>
        </w:tc>
        <w:tc>
          <w:tcPr>
            <w:cnfStyle w:val="000000010000"/>
            <w:tcW w:w="1984"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w:t>
            </w:r>
            <w:r>
              <w:rPr>
                <w:rFonts w:eastAsia="Times New Roman"/>
                <w:szCs w:val="24"/>
                <w:lang w:val="en-IN" w:eastAsia="en-IN"/>
              </w:rPr>
              <w:t>,</w:t>
            </w:r>
            <w:r>
              <w:rPr>
                <w:rFonts w:eastAsia="Times New Roman"/>
                <w:szCs w:val="24"/>
                <w:lang w:val="en-IN" w:eastAsia="en-IN"/>
              </w:rPr>
              <w:t>027</w:t>
            </w:r>
            <w:r>
              <w:rPr>
                <w:rFonts w:eastAsia="Times New Roman"/>
                <w:szCs w:val="24"/>
                <w:lang w:val="en-IN" w:eastAsia="en-IN"/>
              </w:rPr>
              <w:t>,</w:t>
            </w:r>
            <w:r>
              <w:rPr>
                <w:rFonts w:eastAsia="Times New Roman"/>
                <w:szCs w:val="24"/>
                <w:lang w:val="en-IN" w:eastAsia="en-IN"/>
              </w:rPr>
              <w:t>955</w:t>
            </w:r>
            <w:r>
              <w:rPr>
                <w:rFonts w:eastAsia="Times New Roman"/>
                <w:szCs w:val="24"/>
                <w:lang w:val="en-IN" w:eastAsia="en-IN"/>
              </w:rPr>
              <w:t>”</w:t>
            </w:r>
          </w:p>
        </w:tc>
      </w:tr>
    </w:tbl>
    <w:p/>
    <w:p>
      <w:pPr>
        <w:rPr>
          <w:b/>
        </w:rPr>
      </w:pPr>
      <w:r>
        <w:rPr>
          <w:b/>
        </w:rPr>
        <w:t>Notes to accounts</w:t>
      </w:r>
      <w:r>
        <w:rPr>
          <w:b/>
        </w:rPr>
        <w:t>:</w:t>
      </w:r>
    </w:p>
    <w:p>
      <w:pPr>
        <w:rPr>
          <w:b/>
        </w:rPr>
      </w:pPr>
      <w:r>
        <w:rPr>
          <w:b/>
        </w:rPr>
        <w:t xml:space="preserve">1. </w:t>
      </w:r>
      <w:r>
        <w:rPr>
          <w:b/>
        </w:rPr>
        <w:t>Sales</w:t>
      </w:r>
    </w:p>
    <w:p>
      <w:pPr>
        <w:rPr>
          <w:b/>
        </w:rPr>
      </w:pPr>
    </w:p>
    <w:tbl>
      <w:tblPr>
        <w:tblStyle w:val="TableGrid"/>
        <w:tblW w:w="0" w:type="auto"/>
        <w:tblInd w:w="392" w:type="dxa"/>
        <w:tblLook w:val="04A0"/>
      </w:tblPr>
      <w:tblGrid>
        <w:gridCol w:w="6804"/>
        <w:gridCol w:w="2380"/>
      </w:tblGrid>
      <w:tr>
        <w:trPr/>
        <w:tc>
          <w:tcPr>
            <w:cnfStyle w:val="101000000000"/>
            <w:tcW w:w="6804" w:type="dxa"/>
            <w:shd w:val="clear" w:color="auto" w:fill="95b3d7" w:themeFill="accent1" w:themeFillTint="99"/>
          </w:tcPr>
          <w:p>
            <w:pPr>
              <w:rPr>
                <w:b/>
              </w:rPr>
            </w:pPr>
            <w:r>
              <w:rPr>
                <w:rFonts w:eastAsia="Times New Roman"/>
                <w:b/>
                <w:bCs/>
                <w:szCs w:val="24"/>
                <w:lang w:val="en-IN" w:eastAsia="en-IN"/>
              </w:rPr>
              <w:t>Particulars</w:t>
            </w:r>
          </w:p>
        </w:tc>
        <w:tc>
          <w:tcPr>
            <w:cnfStyle w:val="100000000000"/>
            <w:tcW w:w="2380" w:type="dxa"/>
            <w:shd w:val="clear" w:color="auto" w:fill="95b3d7" w:themeFill="accent1" w:themeFillTint="99"/>
          </w:tcPr>
          <w:p>
            <w:pPr>
              <w:rPr>
                <w:b/>
              </w:rPr>
            </w:pPr>
            <w:r>
              <w:rPr>
                <w:rFonts w:eastAsia="Times New Roman"/>
                <w:b/>
                <w:bCs/>
                <w:szCs w:val="24"/>
                <w:lang w:val="en-IN" w:eastAsia="en-IN"/>
              </w:rPr>
              <w:t>Amount (£)</w:t>
            </w:r>
          </w:p>
        </w:tc>
      </w:tr>
      <w:tr>
        <w:trPr/>
        <w:tc>
          <w:tcPr>
            <w:cnfStyle w:val="001000100000"/>
            <w:tcW w:w="6804" w:type="dxa"/>
          </w:tcPr>
          <w:p>
            <w:r>
              <w:t>Total sales revenue</w:t>
            </w:r>
          </w:p>
        </w:tc>
        <w:tc>
          <w:tcPr>
            <w:cnfStyle w:val="000000100000"/>
            <w:tcW w:w="2380" w:type="dxa"/>
          </w:tcPr>
          <w:p>
            <w:r>
              <w:t>800,000</w:t>
            </w:r>
          </w:p>
        </w:tc>
      </w:tr>
      <w:tr>
        <w:trPr/>
        <w:tc>
          <w:tcPr>
            <w:cnfStyle w:val="001000010000"/>
            <w:tcW w:w="6804" w:type="dxa"/>
          </w:tcPr>
          <w:p>
            <w:r>
              <w:t xml:space="preserve">Add Goods sent to customers but payment not received </w:t>
            </w:r>
          </w:p>
        </w:tc>
        <w:tc>
          <w:tcPr>
            <w:cnfStyle w:val="000000010000"/>
            <w:tcW w:w="2380" w:type="dxa"/>
          </w:tcPr>
          <w:p>
            <w:r>
              <w:t>980</w:t>
            </w:r>
          </w:p>
        </w:tc>
      </w:tr>
      <w:tr>
        <w:trPr/>
        <w:tc>
          <w:tcPr>
            <w:cnfStyle w:val="001000100000"/>
            <w:tcW w:w="6804" w:type="dxa"/>
          </w:tcPr>
          <w:p>
            <w:r>
              <w:t>Total</w:t>
            </w:r>
            <w:r>
              <w:t xml:space="preserve"> sales</w:t>
            </w:r>
          </w:p>
        </w:tc>
        <w:tc>
          <w:tcPr>
            <w:cnfStyle w:val="000000100000"/>
            <w:tcW w:w="2380" w:type="dxa"/>
          </w:tcPr>
          <w:p>
            <w:r>
              <w:t>800,980</w:t>
            </w:r>
          </w:p>
        </w:tc>
      </w:tr>
    </w:tbl>
    <w:p>
      <w:pPr>
        <w:rPr>
          <w:b/>
        </w:rPr>
      </w:pPr>
    </w:p>
    <w:p>
      <w:r>
        <w:t>In the given case the goods that have been sold to the customer but for which the payment has not been received have been added to the gross amount of revenue by following the concept of the accrual system of accounting which states that the income and expenses should be recorded in the same accounting period to which they pertain irrespective of whether the payment has been received or paid or not (Kelly, 2022).</w:t>
      </w:r>
    </w:p>
    <w:p/>
    <w:p>
      <w:pPr>
        <w:rPr>
          <w:b/>
        </w:rPr>
      </w:pPr>
      <w:r>
        <w:rPr>
          <w:b/>
        </w:rPr>
        <w:t>2. Employee benefit expenses</w:t>
      </w:r>
    </w:p>
    <w:tbl>
      <w:tblPr>
        <w:tblStyle w:val="TableGrid"/>
        <w:tblW w:w="0" w:type="auto"/>
        <w:tblInd w:w="392" w:type="dxa"/>
        <w:tblLook w:val="04A0"/>
      </w:tblPr>
      <w:tblGrid>
        <w:gridCol w:w="6804"/>
        <w:gridCol w:w="2380"/>
      </w:tblGrid>
      <w:tr>
        <w:trPr/>
        <w:tc>
          <w:tcPr>
            <w:cnfStyle w:val="101000000000"/>
            <w:tcW w:w="6804" w:type="dxa"/>
            <w:shd w:val="clear" w:color="auto" w:fill="95b3d7" w:themeFill="accent1" w:themeFillTint="99"/>
          </w:tcPr>
          <w:p>
            <w:pPr>
              <w:rPr>
                <w:b/>
              </w:rPr>
            </w:pPr>
            <w:r>
              <w:rPr>
                <w:rFonts w:eastAsia="Times New Roman"/>
                <w:b/>
                <w:bCs/>
                <w:szCs w:val="24"/>
                <w:lang w:val="en-IN" w:eastAsia="en-IN"/>
              </w:rPr>
              <w:t>Particulars</w:t>
            </w:r>
          </w:p>
        </w:tc>
        <w:tc>
          <w:tcPr>
            <w:cnfStyle w:val="100000000000"/>
            <w:tcW w:w="2380" w:type="dxa"/>
            <w:shd w:val="clear" w:color="auto" w:fill="95b3d7" w:themeFill="accent1" w:themeFillTint="99"/>
          </w:tcPr>
          <w:p>
            <w:pPr>
              <w:rPr>
                <w:b/>
              </w:rPr>
            </w:pPr>
            <w:r>
              <w:rPr>
                <w:rFonts w:eastAsia="Times New Roman"/>
                <w:b/>
                <w:bCs/>
                <w:szCs w:val="24"/>
                <w:lang w:val="en-IN" w:eastAsia="en-IN"/>
              </w:rPr>
              <w:t>Amount (£)</w:t>
            </w:r>
          </w:p>
        </w:tc>
      </w:tr>
      <w:tr>
        <w:trPr/>
        <w:tc>
          <w:tcPr>
            <w:cnfStyle w:val="001000100000"/>
            <w:tcW w:w="6804" w:type="dxa"/>
          </w:tcPr>
          <w:p>
            <w:r>
              <w:t>Director’s remuneration</w:t>
            </w:r>
          </w:p>
        </w:tc>
        <w:tc>
          <w:tcPr>
            <w:cnfStyle w:val="000000100000"/>
            <w:tcW w:w="2380" w:type="dxa"/>
          </w:tcPr>
          <w:p>
            <w:r>
              <w:t>5,000</w:t>
            </w:r>
          </w:p>
        </w:tc>
      </w:tr>
      <w:tr>
        <w:trPr/>
        <w:tc>
          <w:tcPr>
            <w:cnfStyle w:val="001000010000"/>
            <w:tcW w:w="6804" w:type="dxa"/>
          </w:tcPr>
          <w:p>
            <w:r>
              <w:t>Commission payable to salesmen</w:t>
            </w:r>
          </w:p>
        </w:tc>
        <w:tc>
          <w:tcPr>
            <w:cnfStyle w:val="000000010000"/>
            <w:tcW w:w="2380" w:type="dxa"/>
          </w:tcPr>
          <w:p>
            <w:r>
              <w:t>3,000</w:t>
            </w:r>
          </w:p>
        </w:tc>
      </w:tr>
      <w:tr>
        <w:trPr/>
        <w:tc>
          <w:tcPr>
            <w:cnfStyle w:val="001000100000"/>
            <w:tcW w:w="6804" w:type="dxa"/>
          </w:tcPr>
          <w:p>
            <w:r>
              <w:t>Total</w:t>
            </w:r>
          </w:p>
        </w:tc>
        <w:tc>
          <w:tcPr>
            <w:cnfStyle w:val="000000100000"/>
            <w:tcW w:w="2380" w:type="dxa"/>
          </w:tcPr>
          <w:p>
            <w:r>
              <w:t>8,000</w:t>
            </w:r>
          </w:p>
        </w:tc>
      </w:tr>
    </w:tbl>
    <w:p/>
    <w:p>
      <w:r>
        <w:t>Commission payable to salesmen has also been added to the employee benefit expense as it has not yet been recorded in the books of accounts and hence does not form part of the trial balance. Further, it relates to the current period and hence should form part of the current period of expenses.</w:t>
      </w:r>
    </w:p>
    <w:p/>
    <w:p>
      <w:pPr>
        <w:rPr>
          <w:b/>
        </w:rPr>
      </w:pPr>
      <w:r>
        <w:rPr>
          <w:b/>
        </w:rPr>
        <w:t>3. Trade receivables</w:t>
      </w:r>
    </w:p>
    <w:p>
      <w:pPr>
        <w:rPr>
          <w:b/>
        </w:rPr>
      </w:pPr>
    </w:p>
    <w:tbl>
      <w:tblPr>
        <w:tblStyle w:val="TableGrid"/>
        <w:tblW w:w="0" w:type="auto"/>
        <w:tblInd w:w="392" w:type="dxa"/>
        <w:tblLook w:val="04A0"/>
      </w:tblPr>
      <w:tblGrid>
        <w:gridCol w:w="6804"/>
        <w:gridCol w:w="2380"/>
      </w:tblGrid>
      <w:tr>
        <w:trPr/>
        <w:tc>
          <w:tcPr>
            <w:cnfStyle w:val="101000000000"/>
            <w:tcW w:w="6804" w:type="dxa"/>
            <w:shd w:val="clear" w:color="auto" w:fill="95b3d7" w:themeFill="accent1" w:themeFillTint="99"/>
          </w:tcPr>
          <w:p>
            <w:pPr>
              <w:rPr>
                <w:b/>
              </w:rPr>
            </w:pPr>
            <w:r>
              <w:rPr>
                <w:rFonts w:eastAsia="Times New Roman"/>
                <w:b/>
                <w:bCs/>
                <w:szCs w:val="24"/>
                <w:lang w:val="en-IN" w:eastAsia="en-IN"/>
              </w:rPr>
              <w:t>Particulars</w:t>
            </w:r>
          </w:p>
        </w:tc>
        <w:tc>
          <w:tcPr>
            <w:cnfStyle w:val="100000000000"/>
            <w:tcW w:w="2380" w:type="dxa"/>
            <w:shd w:val="clear" w:color="auto" w:fill="95b3d7" w:themeFill="accent1" w:themeFillTint="99"/>
          </w:tcPr>
          <w:p>
            <w:pPr>
              <w:rPr>
                <w:b/>
              </w:rPr>
            </w:pPr>
            <w:r>
              <w:rPr>
                <w:rFonts w:eastAsia="Times New Roman"/>
                <w:b/>
                <w:bCs/>
                <w:szCs w:val="24"/>
                <w:lang w:val="en-IN" w:eastAsia="en-IN"/>
              </w:rPr>
              <w:t>Amount (£)</w:t>
            </w:r>
          </w:p>
        </w:tc>
      </w:tr>
      <w:tr>
        <w:trPr/>
        <w:tc>
          <w:tcPr>
            <w:cnfStyle w:val="001000100000"/>
            <w:tcW w:w="6804" w:type="dxa"/>
          </w:tcPr>
          <w:p>
            <w:r>
              <w:t>Trade receivables</w:t>
            </w:r>
          </w:p>
        </w:tc>
        <w:tc>
          <w:tcPr>
            <w:cnfStyle w:val="000000100000"/>
            <w:tcW w:w="2380" w:type="dxa"/>
          </w:tcPr>
          <w:p>
            <w:r>
              <w:t>170,125</w:t>
            </w:r>
          </w:p>
        </w:tc>
      </w:tr>
      <w:tr>
        <w:trPr/>
        <w:tc>
          <w:tcPr>
            <w:cnfStyle w:val="001000010000"/>
            <w:tcW w:w="6804" w:type="dxa"/>
          </w:tcPr>
          <w:p>
            <w:r>
              <w:t>Add Goods sold but payment not received</w:t>
            </w:r>
          </w:p>
        </w:tc>
        <w:tc>
          <w:tcPr>
            <w:cnfStyle w:val="000000010000"/>
            <w:tcW w:w="2380" w:type="dxa"/>
          </w:tcPr>
          <w:p>
            <w:r>
              <w:t>980</w:t>
            </w:r>
          </w:p>
        </w:tc>
      </w:tr>
      <w:tr>
        <w:trPr/>
        <w:tc>
          <w:tcPr>
            <w:cnfStyle w:val="001000100000"/>
            <w:tcW w:w="6804" w:type="dxa"/>
          </w:tcPr>
          <w:p>
            <w:r>
              <w:t>Total</w:t>
            </w:r>
          </w:p>
        </w:tc>
        <w:tc>
          <w:tcPr>
            <w:cnfStyle w:val="000000100000"/>
            <w:tcW w:w="2380" w:type="dxa"/>
          </w:tcPr>
          <w:p>
            <w:r>
              <w:t>171,105</w:t>
            </w:r>
          </w:p>
        </w:tc>
      </w:tr>
    </w:tbl>
    <w:p/>
    <w:p>
      <w:r>
        <w:t>The customer to whom the goods have been sold but the payment has not been received forms part of the accounts receivables and hence has been added to the same.</w:t>
      </w:r>
    </w:p>
    <w:p/>
    <w:p>
      <w:pPr>
        <w:rPr>
          <w:b/>
        </w:rPr>
      </w:pPr>
      <w:r>
        <w:rPr>
          <w:b/>
        </w:rPr>
        <w:t>4. Retained earnings</w:t>
      </w:r>
    </w:p>
    <w:p>
      <w:pPr>
        <w:rPr>
          <w:b/>
        </w:rPr>
      </w:pPr>
    </w:p>
    <w:tbl>
      <w:tblPr>
        <w:tblStyle w:val="TableGrid"/>
        <w:tblW w:w="0" w:type="auto"/>
        <w:tblInd w:w="392" w:type="dxa"/>
        <w:tblLook w:val="04A0"/>
      </w:tblPr>
      <w:tblGrid>
        <w:gridCol w:w="6804"/>
        <w:gridCol w:w="2380"/>
      </w:tblGrid>
      <w:tr>
        <w:trPr/>
        <w:tc>
          <w:tcPr>
            <w:cnfStyle w:val="101000000000"/>
            <w:tcW w:w="6804" w:type="dxa"/>
            <w:shd w:val="clear" w:color="auto" w:fill="95b3d7" w:themeFill="accent1" w:themeFillTint="99"/>
          </w:tcPr>
          <w:p>
            <w:pPr>
              <w:rPr>
                <w:b/>
              </w:rPr>
            </w:pPr>
            <w:r>
              <w:rPr>
                <w:rFonts w:eastAsia="Times New Roman"/>
                <w:b/>
                <w:bCs/>
                <w:szCs w:val="24"/>
                <w:lang w:val="en-IN" w:eastAsia="en-IN"/>
              </w:rPr>
              <w:t>Particulars</w:t>
            </w:r>
          </w:p>
        </w:tc>
        <w:tc>
          <w:tcPr>
            <w:cnfStyle w:val="100000000000"/>
            <w:tcW w:w="2380" w:type="dxa"/>
            <w:shd w:val="clear" w:color="auto" w:fill="95b3d7" w:themeFill="accent1" w:themeFillTint="99"/>
          </w:tcPr>
          <w:p>
            <w:pPr>
              <w:rPr>
                <w:b/>
              </w:rPr>
            </w:pPr>
            <w:r>
              <w:rPr>
                <w:rFonts w:eastAsia="Times New Roman"/>
                <w:b/>
                <w:bCs/>
                <w:szCs w:val="24"/>
                <w:lang w:val="en-IN" w:eastAsia="en-IN"/>
              </w:rPr>
              <w:t>Amount (£)</w:t>
            </w:r>
          </w:p>
        </w:tc>
      </w:tr>
      <w:tr>
        <w:trPr/>
        <w:tc>
          <w:tcPr>
            <w:cnfStyle w:val="001000100000"/>
            <w:tcW w:w="6804" w:type="dxa"/>
          </w:tcPr>
          <w:p>
            <w:r>
              <w:t>Retained profits at 1st January 2021</w:t>
            </w:r>
          </w:p>
        </w:tc>
        <w:tc>
          <w:tcPr>
            <w:cnfStyle w:val="000000100000"/>
            <w:tcW w:w="2380" w:type="dxa"/>
          </w:tcPr>
          <w:p>
            <w:r>
              <w:t>132,000</w:t>
            </w:r>
          </w:p>
        </w:tc>
      </w:tr>
      <w:tr>
        <w:trPr/>
        <w:tc>
          <w:tcPr>
            <w:cnfStyle w:val="001000010000"/>
            <w:tcW w:w="6804" w:type="dxa"/>
          </w:tcPr>
          <w:p>
            <w:r>
              <w:t>Add: Profits earned during the period</w:t>
            </w:r>
          </w:p>
        </w:tc>
        <w:tc>
          <w:tcPr>
            <w:cnfStyle w:val="000000010000"/>
            <w:tcW w:w="2380" w:type="dxa"/>
          </w:tcPr>
          <w:p>
            <w:r>
              <w:t>4,330</w:t>
            </w:r>
          </w:p>
        </w:tc>
      </w:tr>
      <w:tr>
        <w:trPr/>
        <w:tc>
          <w:tcPr>
            <w:cnfStyle w:val="001000100000"/>
            <w:tcW w:w="6804" w:type="dxa"/>
          </w:tcPr>
          <w:p>
            <w:r>
              <w:t>Total</w:t>
            </w:r>
          </w:p>
        </w:tc>
        <w:tc>
          <w:tcPr>
            <w:cnfStyle w:val="000000100000"/>
            <w:tcW w:w="2380" w:type="dxa"/>
          </w:tcPr>
          <w:p>
            <w:r>
              <w:t>136,330</w:t>
            </w:r>
          </w:p>
        </w:tc>
      </w:tr>
    </w:tbl>
    <w:p>
      <w:pPr>
        <w:rPr>
          <w:b/>
        </w:rPr>
      </w:pPr>
    </w:p>
    <w:p/>
    <w:p>
      <w:pPr>
        <w:rPr>
          <w:b/>
        </w:rPr>
      </w:pPr>
    </w:p>
    <w:p>
      <w:r>
        <w:t>ii)</w:t>
      </w:r>
      <w:r>
        <w:t xml:space="preserve"> </w:t>
      </w:r>
      <w:r>
        <w:t>Statement of financial position i.e. balance sheet always tally because of the fact that the sum of assets is always equal to the liabilities and equity in the business which makes the two sides of the balance sheet tally. It is because the assets can be acquired in the business either by way of external borrowings that are represented by liabilities in the balance sheet or they can be acquired by way of own funds that are represented by equity.</w:t>
      </w:r>
    </w:p>
    <w:p>
      <w:r>
        <w:t>Also, the financial records are prepared in the business by following the system of double entry which impacts both the credit and debit side of the different ledger accounts with the same amount and these ledger balances are only transferred to the statement of the financial position and thus making its tally. For example, if an asset is purchased and it is recorded in the books of account then it will impact the debit side of the asset account and the credit side of the cash account with the same amount. Such ledger balances will then be transferred to the trial balance. It makes the debit and credit side of the trial balance tally. Such trial balance amounts are then transferred to the statement of financial position which is further matched because the trial balance has also matched whose balances have been carried in the statement of financial position.</w:t>
      </w:r>
    </w:p>
    <w:p>
      <w:pPr>
        <w:pStyle w:val="Heading1"/>
        <w:ind w:left="0" w:firstLine="0"/>
        <w:rPr/>
      </w:pPr>
      <w:bookmarkStart w:id="2" w:name="_Toc121869993"/>
      <w:r>
        <w:t>Answer 2</w:t>
      </w:r>
      <w:bookmarkEnd w:id="2"/>
    </w:p>
    <w:p>
      <w:pPr>
        <w:rPr>
          <w:b/>
        </w:rPr>
      </w:pPr>
      <w:r>
        <w:t>i)</w:t>
      </w:r>
    </w:p>
    <w:tbl>
      <w:tblPr>
        <w:tblW w:w="9483" w:type="dxa"/>
        <w:tblInd w:w="93" w:type="dxa"/>
        <w:tblLook w:val="04A0"/>
      </w:tblPr>
      <w:tblGrid>
        <w:gridCol w:w="1663"/>
        <w:gridCol w:w="2622"/>
        <w:gridCol w:w="2759"/>
        <w:gridCol w:w="1241"/>
        <w:gridCol w:w="1212"/>
      </w:tblGrid>
      <w:tr>
        <w:trPr>
          <w:trHeight w:val="312"/>
        </w:trPr>
        <w:tc>
          <w:tcPr>
            <w:cnfStyle w:val="101000000000"/>
            <w:tcW w:w="1430" w:type="dxa"/>
            <w:noWrap w:val="on"/>
            <w:tcBorders>
              <w:top w:val="single" w:color="auto" w:sz="4" w:space="0"/>
              <w:left w:val="single" w:color="auto"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szCs w:val="24"/>
                <w:lang w:val="en-IN" w:eastAsia="en-IN"/>
              </w:rPr>
            </w:pPr>
            <w:r>
              <w:rPr>
                <w:rFonts w:eastAsia="Times New Roman"/>
                <w:b/>
                <w:szCs w:val="24"/>
                <w:lang w:val="en-IN" w:eastAsia="en-IN"/>
              </w:rPr>
              <w:t>“</w:t>
            </w:r>
            <w:r>
              <w:rPr>
                <w:rFonts w:eastAsia="Times New Roman"/>
                <w:b/>
                <w:szCs w:val="24"/>
                <w:lang w:val="en-IN" w:eastAsia="en-IN"/>
              </w:rPr>
              <w:t>Particulars</w:t>
            </w:r>
          </w:p>
        </w:tc>
        <w:tc>
          <w:tcPr>
            <w:cnfStyle w:val="100000000000"/>
            <w:tcW w:w="2695" w:type="dxa"/>
            <w:noWrap w:val="on"/>
            <w:tcBorders>
              <w:top w:val="single" w:color="auto" w:sz="4" w:space="0"/>
              <w:left w:val="nil"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szCs w:val="24"/>
                <w:lang w:val="en-IN" w:eastAsia="en-IN"/>
              </w:rPr>
            </w:pPr>
            <w:r>
              <w:rPr>
                <w:rFonts w:eastAsia="Times New Roman"/>
                <w:b/>
                <w:szCs w:val="24"/>
                <w:lang w:val="en-IN" w:eastAsia="en-IN"/>
              </w:rPr>
              <w:t>Formula</w:t>
            </w:r>
          </w:p>
        </w:tc>
        <w:tc>
          <w:tcPr>
            <w:cnfStyle w:val="100000000000"/>
            <w:tcW w:w="2836" w:type="dxa"/>
            <w:noWrap w:val="on"/>
            <w:tcBorders>
              <w:top w:val="single" w:color="auto" w:sz="4" w:space="0"/>
              <w:left w:val="nil"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szCs w:val="24"/>
                <w:lang w:val="en-IN" w:eastAsia="en-IN"/>
              </w:rPr>
            </w:pPr>
            <w:r>
              <w:rPr>
                <w:rFonts w:eastAsia="Times New Roman"/>
                <w:b/>
                <w:szCs w:val="24"/>
                <w:lang w:val="en-IN" w:eastAsia="en-IN"/>
              </w:rPr>
              <w:t>Ratio</w:t>
            </w:r>
          </w:p>
        </w:tc>
        <w:tc>
          <w:tcPr>
            <w:cnfStyle w:val="100000000000"/>
            <w:tcW w:w="1276" w:type="dxa"/>
            <w:noWrap w:val="on"/>
            <w:tcBorders>
              <w:top w:val="single" w:color="auto" w:sz="4" w:space="0"/>
              <w:left w:val="nil"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szCs w:val="24"/>
                <w:lang w:val="en-IN" w:eastAsia="en-IN"/>
              </w:rPr>
            </w:pPr>
            <w:r>
              <w:rPr>
                <w:rFonts w:eastAsia="Times New Roman"/>
                <w:b/>
                <w:szCs w:val="24"/>
                <w:lang w:val="en-IN" w:eastAsia="en-IN"/>
              </w:rPr>
              <w:t>2021</w:t>
            </w:r>
          </w:p>
        </w:tc>
        <w:tc>
          <w:tcPr>
            <w:cnfStyle w:val="100000000000"/>
            <w:tcW w:w="1246" w:type="dxa"/>
            <w:noWrap w:val="on"/>
            <w:tcBorders>
              <w:top w:val="single" w:color="auto" w:sz="4" w:space="0"/>
              <w:left w:val="nil" w:sz="4" w:space="0"/>
              <w:bottom w:val="single" w:color="auto" w:sz="4" w:space="0"/>
              <w:right w:val="single" w:color="auto" w:sz="4" w:space="0"/>
            </w:tcBorders>
            <w:shd w:val="clear" w:color="auto" w:fill="95b3d7" w:themeFill="accent1" w:themeFillTint="99"/>
            <w:vAlign w:val="bottom"/>
          </w:tcPr>
          <w:p>
            <w:pPr>
              <w:spacing w:line="240" w:lineRule="auto"/>
              <w:jc w:val="center"/>
              <w:rPr>
                <w:rFonts w:eastAsia="Times New Roman"/>
                <w:b/>
                <w:szCs w:val="24"/>
                <w:lang w:val="en-IN" w:eastAsia="en-IN"/>
              </w:rPr>
            </w:pPr>
            <w:r>
              <w:rPr>
                <w:rFonts w:eastAsia="Times New Roman"/>
                <w:b/>
                <w:szCs w:val="24"/>
                <w:lang w:val="en-IN" w:eastAsia="en-IN"/>
              </w:rPr>
              <w:t>2020</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ROCE</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Earnings before interest and tax / Total capital employed</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Earnings before interest and tax</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846</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720</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capital employed</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7225</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7041</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ROCE</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11.71%</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10.23%</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ROE</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xml:space="preserve">Earnings for equity / Equity </w:t>
            </w:r>
            <w:r>
              <w:rPr>
                <w:rFonts w:eastAsia="Times New Roman"/>
                <w:szCs w:val="24"/>
                <w:lang w:val="en-IN" w:eastAsia="en-IN"/>
              </w:rPr>
              <w:t>shareholders</w:t>
            </w:r>
            <w:r>
              <w:rPr>
                <w:rFonts w:eastAsia="Times New Roman"/>
                <w:szCs w:val="24"/>
                <w:lang w:val="en-IN" w:eastAsia="en-IN"/>
              </w:rPr>
              <w:t xml:space="preserve"> funds</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Earnings for equity</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431</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366</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xml:space="preserve">Equity </w:t>
            </w:r>
            <w:r>
              <w:rPr>
                <w:rFonts w:eastAsia="Times New Roman"/>
                <w:szCs w:val="24"/>
                <w:lang w:val="en-IN" w:eastAsia="en-IN"/>
              </w:rPr>
              <w:t>shareholders</w:t>
            </w:r>
            <w:r>
              <w:rPr>
                <w:rFonts w:eastAsia="Times New Roman"/>
                <w:szCs w:val="24"/>
                <w:lang w:val="en-IN" w:eastAsia="en-IN"/>
              </w:rPr>
              <w:t xml:space="preserve"> funds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3088</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2912</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ROE</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13.96%</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12.57%</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Earnings per share</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earnings for equity / Number of equity shares</w:t>
            </w:r>
            <w:r>
              <w:rPr>
                <w:rFonts w:eastAsia="Times New Roman"/>
                <w:szCs w:val="24"/>
                <w:lang w:val="en-IN" w:eastAsia="en-IN"/>
              </w:rPr>
              <w:t xml:space="preserve"> (One, 2022)</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earnings for equity</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431</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366</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Number of equity shares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600</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600</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Earnings per share</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w:t>
            </w:r>
            <w:r>
              <w:rPr>
                <w:rFonts w:eastAsia="Times New Roman"/>
                <w:b/>
                <w:szCs w:val="24"/>
                <w:lang w:val="en-IN" w:eastAsia="en-IN"/>
              </w:rPr>
              <w:t>0.72</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w:t>
            </w:r>
            <w:r>
              <w:rPr>
                <w:rFonts w:eastAsia="Times New Roman"/>
                <w:b/>
                <w:szCs w:val="24"/>
                <w:lang w:val="en-IN" w:eastAsia="en-IN"/>
              </w:rPr>
              <w:t>0.61</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Net profit margin</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Net profit / Sales</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Net profit</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431</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366</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Sales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6738</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6441</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Net profit margin</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6.40%</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5.68%</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Asset turnover</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Sales turnover / Total assets</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Sales turnover</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6738</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6441</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assets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9736</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10087</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Asset turnover</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0.69 times</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0.63 times</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Stock holding days</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(Average inventory / Cost of sales) * 365</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Average inventory</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683.5</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659</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Cost of sales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3235</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3096</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Stock holding days</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77.12</w:t>
            </w:r>
            <w:r>
              <w:rPr>
                <w:rFonts w:eastAsia="Times New Roman"/>
                <w:b/>
                <w:szCs w:val="24"/>
                <w:lang w:val="en-IN" w:eastAsia="en-IN"/>
              </w:rPr>
              <w:t xml:space="preserve"> days</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77.69</w:t>
            </w:r>
            <w:r>
              <w:rPr>
                <w:rFonts w:eastAsia="Times New Roman"/>
                <w:b/>
                <w:szCs w:val="24"/>
                <w:lang w:val="en-IN" w:eastAsia="en-IN"/>
              </w:rPr>
              <w:t xml:space="preserve"> days</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Debtors collection period</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(Average trade receivables / Credit sales) * 365</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Average trade receivables</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1268</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1287</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Credit sales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6738</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6441</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Debtors collection period</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68.69</w:t>
            </w:r>
            <w:r>
              <w:rPr>
                <w:rFonts w:eastAsia="Times New Roman"/>
                <w:b/>
                <w:szCs w:val="24"/>
                <w:lang w:val="en-IN" w:eastAsia="en-IN"/>
              </w:rPr>
              <w:t xml:space="preserve"> days</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72.93</w:t>
            </w:r>
            <w:r>
              <w:rPr>
                <w:rFonts w:eastAsia="Times New Roman"/>
                <w:b/>
                <w:szCs w:val="24"/>
                <w:lang w:val="en-IN" w:eastAsia="en-IN"/>
              </w:rPr>
              <w:t xml:space="preserve"> days</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Current ratio</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Current assets / Current liabilities</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Current assets</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2303</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2355</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Current liabilities</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2511</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3046</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Current ratio</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0.92</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0.77</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Gearing ratio</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debt / Total equity</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debt</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6648</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7175</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Total equity</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3088</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2912</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Gearing ratio</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2.15</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2.46</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Interest cover</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Earnings before interest and tax / Interest</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Earnings before interest and tax</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846</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720</w:t>
            </w:r>
          </w:p>
        </w:tc>
      </w:tr>
      <w:tr>
        <w:trPr>
          <w:trHeight w:val="312"/>
        </w:trPr>
        <w:tc>
          <w:tcPr>
            <w:cnfStyle w:val="00100001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01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Interest</w:t>
            </w:r>
          </w:p>
        </w:tc>
        <w:tc>
          <w:tcPr>
            <w:cnfStyle w:val="00000001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226</w:t>
            </w:r>
          </w:p>
        </w:tc>
        <w:tc>
          <w:tcPr>
            <w:cnfStyle w:val="00000001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szCs w:val="24"/>
                <w:lang w:val="en-IN" w:eastAsia="en-IN"/>
              </w:rPr>
            </w:pPr>
            <w:r>
              <w:rPr>
                <w:rFonts w:eastAsia="Times New Roman"/>
                <w:szCs w:val="24"/>
                <w:lang w:val="en-IN" w:eastAsia="en-IN"/>
              </w:rPr>
              <w:t>181</w:t>
            </w:r>
          </w:p>
        </w:tc>
      </w:tr>
      <w:tr>
        <w:trPr>
          <w:trHeight w:val="312"/>
        </w:trPr>
        <w:tc>
          <w:tcPr>
            <w:cnfStyle w:val="001000100000"/>
            <w:tcW w:w="1430" w:type="dxa"/>
            <w:noWrap w:val="on"/>
            <w:tcBorders>
              <w:top w:val="nil" w:sz="4" w:space="0"/>
              <w:left w:val="single" w:color="auto"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695"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szCs w:val="24"/>
                <w:lang w:val="en-IN" w:eastAsia="en-IN"/>
              </w:rPr>
            </w:pPr>
            <w:r>
              <w:rPr>
                <w:rFonts w:eastAsia="Times New Roman"/>
                <w:szCs w:val="24"/>
                <w:lang w:val="en-IN" w:eastAsia="en-IN"/>
              </w:rPr>
              <w:t> </w:t>
            </w:r>
          </w:p>
        </w:tc>
        <w:tc>
          <w:tcPr>
            <w:cnfStyle w:val="000000100000"/>
            <w:tcW w:w="283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left"/>
              <w:rPr>
                <w:rFonts w:eastAsia="Times New Roman"/>
                <w:b/>
                <w:szCs w:val="24"/>
                <w:lang w:val="en-IN" w:eastAsia="en-IN"/>
              </w:rPr>
            </w:pPr>
            <w:r>
              <w:rPr>
                <w:rFonts w:eastAsia="Times New Roman"/>
                <w:b/>
                <w:szCs w:val="24"/>
                <w:lang w:val="en-IN" w:eastAsia="en-IN"/>
              </w:rPr>
              <w:t>Interest cover</w:t>
            </w:r>
          </w:p>
        </w:tc>
        <w:tc>
          <w:tcPr>
            <w:cnfStyle w:val="000000100000"/>
            <w:tcW w:w="127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3.74</w:t>
            </w:r>
            <w:r>
              <w:rPr>
                <w:rFonts w:eastAsia="Times New Roman"/>
                <w:b/>
                <w:szCs w:val="24"/>
                <w:lang w:val="en-IN" w:eastAsia="en-IN"/>
              </w:rPr>
              <w:t xml:space="preserve"> times</w:t>
            </w:r>
          </w:p>
        </w:tc>
        <w:tc>
          <w:tcPr>
            <w:cnfStyle w:val="000000100000"/>
            <w:tcW w:w="1246" w:type="dxa"/>
            <w:noWrap w:val="on"/>
            <w:tcBorders>
              <w:top w:val="nil" w:sz="4" w:space="0"/>
              <w:left w:val="nil" w:sz="4" w:space="0"/>
              <w:bottom w:val="single" w:color="auto" w:sz="4" w:space="0"/>
              <w:right w:val="single" w:color="auto" w:sz="4" w:space="0"/>
            </w:tcBorders>
            <w:shd w:val="clear" w:color="auto" w:fill="auto"/>
            <w:vAlign w:val="bottom"/>
          </w:tcPr>
          <w:p>
            <w:pPr>
              <w:spacing w:line="240" w:lineRule="auto"/>
              <w:jc w:val="right"/>
              <w:rPr>
                <w:rFonts w:eastAsia="Times New Roman"/>
                <w:b/>
                <w:szCs w:val="24"/>
                <w:lang w:val="en-IN" w:eastAsia="en-IN"/>
              </w:rPr>
            </w:pPr>
            <w:r>
              <w:rPr>
                <w:rFonts w:eastAsia="Times New Roman"/>
                <w:b/>
                <w:szCs w:val="24"/>
                <w:lang w:val="en-IN" w:eastAsia="en-IN"/>
              </w:rPr>
              <w:t>3.98</w:t>
            </w:r>
            <w:r>
              <w:rPr>
                <w:rFonts w:eastAsia="Times New Roman"/>
                <w:b/>
                <w:szCs w:val="24"/>
                <w:lang w:val="en-IN" w:eastAsia="en-IN"/>
              </w:rPr>
              <w:t xml:space="preserve"> times</w:t>
            </w:r>
            <w:r>
              <w:rPr>
                <w:rFonts w:eastAsia="Times New Roman"/>
                <w:b/>
                <w:szCs w:val="24"/>
                <w:lang w:val="en-IN" w:eastAsia="en-IN"/>
              </w:rPr>
              <w:t>”</w:t>
            </w:r>
          </w:p>
        </w:tc>
      </w:tr>
    </w:tbl>
    <w:p>
      <w:r>
        <w:t xml:space="preserve"> </w:t>
      </w:r>
    </w:p>
    <w:p>
      <w:r>
        <w:t>ii</w:t>
      </w:r>
      <w:r>
        <w:t>) The following conclusions can be drawn from the above calculated ratios.</w:t>
      </w:r>
    </w:p>
    <w:p>
      <w:r>
        <w:t>The various ratios can be categorised into different heads based on their similar nature and characteristics. It includes profitability ratios, efficiency ratios, solvency ratios, investors ratios, liquidity ratios and various others. Each category of ratio has a different impact on the different categories of stakeholders.</w:t>
      </w:r>
    </w:p>
    <w:p>
      <w:pPr>
        <w:rPr>
          <w:b/>
        </w:rPr>
      </w:pPr>
      <w:r>
        <w:rPr>
          <w:b/>
        </w:rPr>
        <w:t>Analysis of profitability ratios of the company</w:t>
      </w:r>
    </w:p>
    <w:p>
      <w:r>
        <w:t xml:space="preserve">In the case of the profitability ratios, various ratios have been calculated including the net profit margin ratio and the interest coverage ratio. Net profit ratio </w:t>
      </w:r>
      <w:r>
        <w:t>help</w:t>
      </w:r>
      <w:r>
        <w:t xml:space="preserve"> to determine the profit-generating capacity of the business after deducting all the operating and non-operating expenses in the business. It indicates the efficiency with which the management of the company has been able to improve its sales and control its costs to improve the profit margins. This ratio of the company has increased because of the increase in sales which indicates the improvement in the financial performance of the business as compared to the previous period.</w:t>
      </w:r>
    </w:p>
    <w:p>
      <w:r>
        <w:t xml:space="preserve">The interest coverage ratio is considered to be relevant when the entity has external borrowings on which it is required to pay the interest. This ratio helps to determine whether the company has been able to earn sufficient profits such that it can make the payment for its interest expense without any default because of the insufficient amount of funds in the business. In the case of Sweets PLC, this ratio is high in both periods which implies that the company has a sufficient </w:t>
      </w:r>
      <w:r>
        <w:t>amount</w:t>
      </w:r>
      <w:r>
        <w:t xml:space="preserve"> of profits that it can easily make the payment for interest on the external borrowings made by it (</w:t>
      </w:r>
      <w:r>
        <w:rPr>
          <w:lang w:val="en-US"/>
        </w:rPr>
        <w:t>Finstanon</w:t>
      </w:r>
      <w:r>
        <w:rPr>
          <w:lang w:val="en-US"/>
        </w:rPr>
        <w:t>, 2022)</w:t>
      </w:r>
      <w:r>
        <w:t>.</w:t>
      </w:r>
    </w:p>
    <w:p>
      <w:pPr>
        <w:rPr>
          <w:b/>
        </w:rPr>
      </w:pPr>
      <w:r>
        <w:rPr>
          <w:b/>
        </w:rPr>
        <w:t xml:space="preserve">Analysis of </w:t>
      </w:r>
      <w:r>
        <w:rPr>
          <w:b/>
        </w:rPr>
        <w:t>investors</w:t>
      </w:r>
      <w:r>
        <w:rPr>
          <w:b/>
        </w:rPr>
        <w:t xml:space="preserve"> ratios of the company</w:t>
      </w:r>
    </w:p>
    <w:p>
      <w:r>
        <w:t>In this case, the return on equity and the EPS have been calculated.</w:t>
      </w:r>
    </w:p>
    <w:p>
      <w:r>
        <w:t>Since the return on equity of the company is increasing, it means that the company has been able to generate additional wealth for its equity shareholders This is because it has been able to provide higher returns to the equity shareholders as compared to the previous period It will lead to increase in the market price of the share of the company as well.</w:t>
      </w:r>
    </w:p>
    <w:p>
      <w:r>
        <w:t>It has also increased the EPS of the company (</w:t>
      </w:r>
      <w:r>
        <w:rPr>
          <w:lang w:val="en-IN"/>
        </w:rPr>
        <w:t>CFI, 2022)</w:t>
      </w:r>
      <w:r>
        <w:t>.</w:t>
      </w:r>
    </w:p>
    <w:p>
      <w:pPr>
        <w:rPr>
          <w:b/>
        </w:rPr>
      </w:pPr>
      <w:r>
        <w:rPr>
          <w:b/>
        </w:rPr>
        <w:t xml:space="preserve">Analysis of </w:t>
      </w:r>
      <w:r>
        <w:rPr>
          <w:b/>
        </w:rPr>
        <w:t>solvency</w:t>
      </w:r>
      <w:r>
        <w:rPr>
          <w:b/>
        </w:rPr>
        <w:t xml:space="preserve"> ratios of the company</w:t>
      </w:r>
    </w:p>
    <w:p>
      <w:r>
        <w:t xml:space="preserve">In this case, the gearing ratio has been calculated which helps to determine the proportion of liabilities held in the business as compared to the equity funds. It indicates whether the company is highly reliant on external funds or its funds for its various financing requirements. The ratio of the company is around 2 in both years which means that the company is more reliant on external </w:t>
      </w:r>
      <w:r>
        <w:t>debts as compared to the equity funds as its total debt is almost double the equity funds. It can be considered a favourable position for the business as the payment of interest on such debt gives tax savings to the company and increase the amount of profits that are available for the shareholders.</w:t>
      </w:r>
    </w:p>
    <w:p>
      <w:pPr>
        <w:rPr>
          <w:b/>
        </w:rPr>
      </w:pPr>
      <w:r>
        <w:rPr>
          <w:b/>
        </w:rPr>
        <w:t xml:space="preserve">Analysis of </w:t>
      </w:r>
      <w:r>
        <w:rPr>
          <w:b/>
        </w:rPr>
        <w:t>liquidity</w:t>
      </w:r>
      <w:r>
        <w:rPr>
          <w:b/>
        </w:rPr>
        <w:t xml:space="preserve"> ratios of the company</w:t>
      </w:r>
    </w:p>
    <w:p>
      <w:r>
        <w:t>For this purpose, the current ratio has been calculated. It helps to determine the relationship between the current assets and current liabilities of the business. The ratio of the company is very low in both periods and even less than 1. It indicates that the current assets held in the business are not sufficient for making payment for the current liabilities. It means that there can be a delay on the part of the company to make the payment for its liabilities because of the inadequacy of funds. Thus, the company is required to take the steps to improve its liquidity position (</w:t>
      </w:r>
      <w:r>
        <w:t>Quickbooks</w:t>
      </w:r>
      <w:r>
        <w:t>, 2022).</w:t>
      </w:r>
    </w:p>
    <w:p>
      <w:pPr>
        <w:rPr>
          <w:b/>
        </w:rPr>
      </w:pPr>
      <w:r>
        <w:rPr>
          <w:b/>
        </w:rPr>
        <w:t xml:space="preserve">Analysis of </w:t>
      </w:r>
      <w:r>
        <w:rPr>
          <w:b/>
        </w:rPr>
        <w:t xml:space="preserve">efficiency </w:t>
      </w:r>
      <w:r>
        <w:rPr>
          <w:b/>
        </w:rPr>
        <w:t>ratios of the company</w:t>
      </w:r>
    </w:p>
    <w:p>
      <w:r>
        <w:t>For this purpose, the assets turnover ratio, stock holding period and the debtors' collection period have been calculated.</w:t>
      </w:r>
    </w:p>
    <w:p>
      <w:r>
        <w:t>The stock holding ratio of the company has reduced in the year 2021 which indicates the efficiency of the sales department of the company as they have taken less time to make the sales of the items that have been lying in the inventory. A reduction in the such ratio is considered to be favourable for the company.</w:t>
      </w:r>
    </w:p>
    <w:p>
      <w:r>
        <w:t>Similarly, the debtors' collection period has also reduced during the period which means that the company has been more efficient during the period to collect the amount due from the debtors. Thus, the debtors have been converted into cash in a lesser period of time during the year 2021.</w:t>
      </w:r>
    </w:p>
    <w:p>
      <w:r>
        <w:t>The assets turnover ratio of the company has also improved during the period. It means that the company has more optimally utilised its current assets during the year 2021 to generate sales. It means the assets of the company have been put to more productive use during such a period (Indeed, 2022).</w:t>
      </w:r>
    </w:p>
    <w:p/>
    <w:p>
      <w:r>
        <w:t xml:space="preserve">Thus, it can be said that the overall performance of the company has improved to a very great extent during the year 2021 as indicated by the increase in profitability during the period. The only area that needs the attention of the management is the liquidity position as the such ratio of the company is very low and needs to be improved. </w:t>
      </w:r>
    </w:p>
    <w:p/>
    <w:p/>
    <w:p>
      <w:pPr>
        <w:pStyle w:val="Heading1"/>
        <w:ind w:left="0" w:firstLine="0"/>
        <w:rPr/>
      </w:pPr>
      <w:bookmarkStart w:id="3" w:name="_Toc121869994"/>
      <w:r>
        <w:t>Conclusion</w:t>
      </w:r>
      <w:bookmarkEnd w:id="3"/>
    </w:p>
    <w:p>
      <w:r>
        <w:t>Based on the above, it can be said that it is not enough for the management to prepare the financial statements. To analyse the performance of the business during such a period, the management needs to apply various techniques to evaluate the performance. Thus, for this purpose, the ratio analysis technique can be used. It will help the company to determine the inter-relationship between various components of the financial statements and also to compare the same with that of the previous periods so that important conclusions can be drawn about the financial health of the business.</w:t>
      </w:r>
    </w:p>
    <w:p/>
    <w:p/>
    <w:p/>
    <w:p/>
    <w:p/>
    <w:p/>
    <w:p/>
    <w:p/>
    <w:p/>
    <w:p/>
    <w:p>
      <w:r>
        <w:rPr/>
        <w:br w:type="page"/>
      </w:r>
    </w:p>
    <w:p>
      <w:pPr>
        <w:pStyle w:val="Heading1"/>
        <w:rPr/>
      </w:pPr>
      <w:bookmarkStart w:id="4" w:name="_Toc121869995"/>
      <w:r>
        <w:t>References List</w:t>
      </w:r>
      <w:bookmarkEnd w:id="4"/>
    </w:p>
    <w:p>
      <w:pPr>
        <w:ind w:left="720" w:hanging="720"/>
        <w:rPr/>
      </w:pPr>
      <w:r>
        <w:t xml:space="preserve">Corporatefinanceinstitute.com, (2022). </w:t>
      </w:r>
      <w:r>
        <w:rPr>
          <w:i/>
        </w:rPr>
        <w:t>‘</w:t>
      </w:r>
      <w:r>
        <w:rPr>
          <w:i/>
        </w:rPr>
        <w:t>Financial Ratios</w:t>
      </w:r>
      <w:r>
        <w:rPr>
          <w:i/>
        </w:rPr>
        <w:t xml:space="preserve">’. </w:t>
      </w:r>
      <w:r>
        <w:t xml:space="preserve">[Online]. Available at: </w:t>
      </w:r>
      <w:r>
        <w:fldChar w:fldCharType="begin"/>
      </w:r>
      <w:r>
        <w:instrText xml:space="preserve">HYPERLINK "https://corporatefinanceinstitute.com/resources/accounting/financial-ratios/" </w:instrText>
      </w:r>
      <w:r>
        <w:fldChar w:fldCharType="separate"/>
      </w:r>
      <w:r>
        <w:rPr>
          <w:rStyle w:val="Hyperlink"/>
        </w:rPr>
        <w:t>https://corporatefinanceinstitute.com/resources/accounting/financial-ratios/</w:t>
      </w:r>
      <w:r>
        <w:fldChar w:fldCharType="end"/>
      </w:r>
      <w:r>
        <w:t>. (Accessed on 11 December 2022).</w:t>
      </w:r>
    </w:p>
    <w:p>
      <w:pPr>
        <w:ind w:left="720" w:hanging="720"/>
        <w:rPr/>
      </w:pPr>
      <w:r>
        <w:t xml:space="preserve">Finstanon.com, (2022). </w:t>
      </w:r>
      <w:r>
        <w:rPr>
          <w:i/>
        </w:rPr>
        <w:t>‘</w:t>
      </w:r>
      <w:r>
        <w:rPr>
          <w:i/>
        </w:rPr>
        <w:t>Profitability Ratio Analysis</w:t>
      </w:r>
      <w:r>
        <w:rPr>
          <w:i/>
        </w:rPr>
        <w:t xml:space="preserve">’. </w:t>
      </w:r>
      <w:r>
        <w:t xml:space="preserve">[Online]. Available at: </w:t>
      </w:r>
      <w:r>
        <w:fldChar w:fldCharType="begin"/>
      </w:r>
      <w:r>
        <w:instrText xml:space="preserve">HYPERLINK "https://www.finstanon.com/articles/35-profitability-ratio-analysis" </w:instrText>
      </w:r>
      <w:r>
        <w:fldChar w:fldCharType="separate"/>
      </w:r>
      <w:r>
        <w:rPr>
          <w:rStyle w:val="Hyperlink"/>
        </w:rPr>
        <w:t>https://www.finstanon.com/articles/35-profitability-ratio-analysis</w:t>
      </w:r>
      <w:r>
        <w:fldChar w:fldCharType="end"/>
      </w:r>
      <w:r>
        <w:t>. (Accessed on 11 December 2022).</w:t>
      </w:r>
    </w:p>
    <w:p>
      <w:pPr>
        <w:ind w:left="720" w:hanging="720"/>
        <w:rPr/>
      </w:pPr>
      <w:r>
        <w:t xml:space="preserve">Quickbooks.intuit.com, (2022). </w:t>
      </w:r>
      <w:r>
        <w:rPr>
          <w:i/>
        </w:rPr>
        <w:t>‘</w:t>
      </w:r>
      <w:r>
        <w:rPr>
          <w:i/>
        </w:rPr>
        <w:t>Understanding Liquidity Ratio Analysis</w:t>
      </w:r>
      <w:r>
        <w:rPr>
          <w:i/>
        </w:rPr>
        <w:t xml:space="preserve">’. </w:t>
      </w:r>
      <w:r>
        <w:t xml:space="preserve">[Online]. Available at: </w:t>
      </w:r>
      <w:r>
        <w:fldChar w:fldCharType="begin"/>
      </w:r>
      <w:r>
        <w:instrText xml:space="preserve">HYPERLINK "https://quickbooks.intuit.com/in/resources/accounting/understanding-liquidity-ratio-analysis/" </w:instrText>
      </w:r>
      <w:r>
        <w:fldChar w:fldCharType="separate"/>
      </w:r>
      <w:r>
        <w:rPr>
          <w:rStyle w:val="Hyperlink"/>
        </w:rPr>
        <w:t>https://quickbooks.intuit.com/in/resources/accounting/understanding-liquidity-ratio-analysis/</w:t>
      </w:r>
      <w:r>
        <w:fldChar w:fldCharType="end"/>
      </w:r>
      <w:r>
        <w:t>. (Accessed on 11 December 2022).</w:t>
      </w:r>
    </w:p>
    <w:p>
      <w:pPr>
        <w:ind w:left="720" w:hanging="720"/>
        <w:rPr/>
      </w:pPr>
      <w:r>
        <w:t xml:space="preserve">Kelly, T, (2022). </w:t>
      </w:r>
      <w:r>
        <w:rPr>
          <w:i/>
        </w:rPr>
        <w:t>‘</w:t>
      </w:r>
      <w:r>
        <w:rPr>
          <w:i/>
        </w:rPr>
        <w:t>Accrual-Based Accounting Explained: What It Is, Advantages &amp; Examples</w:t>
      </w:r>
      <w:r>
        <w:rPr>
          <w:i/>
        </w:rPr>
        <w:t xml:space="preserve">’. </w:t>
      </w:r>
      <w:r>
        <w:t xml:space="preserve">[Online]. Available at: </w:t>
      </w:r>
      <w:r>
        <w:fldChar w:fldCharType="begin"/>
      </w:r>
      <w:r>
        <w:instrText xml:space="preserve">HYPERLINK "https://www.netsuite.com/portal/resource/articles/accounting/accrual-basis-accounting.shtml" </w:instrText>
      </w:r>
      <w:r>
        <w:fldChar w:fldCharType="separate"/>
      </w:r>
      <w:r>
        <w:rPr>
          <w:rStyle w:val="Hyperlink"/>
        </w:rPr>
        <w:t>https://www.netsuite.com/portal/resource/articles/accounting/accrual-basis-accounting.shtml</w:t>
      </w:r>
      <w:r>
        <w:fldChar w:fldCharType="end"/>
      </w:r>
      <w:r>
        <w:t>. (Accessed on 11 December 2022).</w:t>
      </w:r>
    </w:p>
    <w:p>
      <w:pPr>
        <w:ind w:left="720" w:hanging="720"/>
        <w:rPr/>
      </w:pPr>
      <w:r>
        <w:t xml:space="preserve">One, A, (2022). </w:t>
      </w:r>
      <w:r>
        <w:rPr>
          <w:i/>
        </w:rPr>
        <w:t xml:space="preserve">‘EPS Formula’. </w:t>
      </w:r>
      <w:r>
        <w:t xml:space="preserve">[Online]. Available at: </w:t>
      </w:r>
      <w:r>
        <w:fldChar w:fldCharType="begin"/>
      </w:r>
      <w:r>
        <w:instrText xml:space="preserve">HYPERLINK "https://www.angelone.in/knowledge-center/share-market/eps-formula" </w:instrText>
      </w:r>
      <w:r>
        <w:fldChar w:fldCharType="separate"/>
      </w:r>
      <w:r>
        <w:rPr>
          <w:rStyle w:val="Hyperlink"/>
        </w:rPr>
        <w:t>https://www.angelone.in/knowledge-center/share-market/eps-formula</w:t>
      </w:r>
      <w:r>
        <w:fldChar w:fldCharType="end"/>
      </w:r>
      <w:r>
        <w:t>. (Accessed on 11 December 2022).</w:t>
      </w:r>
    </w:p>
    <w:p>
      <w:pPr>
        <w:ind w:left="720" w:hanging="720"/>
        <w:rPr/>
      </w:pPr>
      <w:r>
        <w:t xml:space="preserve">Uk.indeed.com, (2022). </w:t>
      </w:r>
      <w:r>
        <w:rPr>
          <w:i/>
        </w:rPr>
        <w:t>‘</w:t>
      </w:r>
      <w:r>
        <w:rPr>
          <w:i/>
        </w:rPr>
        <w:t>6 efficiency ratios and how to calculate them (plus FAQs)</w:t>
      </w:r>
      <w:r>
        <w:rPr>
          <w:i/>
        </w:rPr>
        <w:t xml:space="preserve">’. </w:t>
      </w:r>
      <w:r>
        <w:t xml:space="preserve">[Online]. Available at: </w:t>
      </w:r>
      <w:r>
        <w:fldChar w:fldCharType="begin"/>
      </w:r>
      <w:r>
        <w:instrText xml:space="preserve">HYPERLINK "https://uk.indeed.com/career-advice/career-development/efficiency-ratios" </w:instrText>
      </w:r>
      <w:r>
        <w:fldChar w:fldCharType="separate"/>
      </w:r>
      <w:r>
        <w:rPr>
          <w:rStyle w:val="Hyperlink"/>
        </w:rPr>
        <w:t>https://uk.indeed.com/career-advice/career-development/efficiency-ratios</w:t>
      </w:r>
      <w:r>
        <w:fldChar w:fldCharType="end"/>
      </w:r>
      <w:r>
        <w:t>. (Accessed on 11 December 2022).</w:t>
      </w:r>
    </w:p>
    <w:p/>
    <w:p/>
    <w:p/>
    <w:p/>
    <w:sectPr>
      <w:footerReference w:type="default" r:id="rId17"/>
      <w:pgSz w:w="12240" w:h="15840"/>
      <w:pgMar w:top="1440" w:right="1440" w:bottom="1440" w:left="1440" w:header="720" w:footer="720" w:gutter="0"/>
      <w:pgBorders w:display="allPages" w:offsetFrom="page" w:zOrder="front">
        <w:top w:val="single" w:color="auto" w:sz="4" w:space="24"/>
        <w:left w:val="single" w:color="auto" w:sz="4" w:space="24"/>
        <w:right w:val="single" w:color="auto" w:sz="4" w:space="24"/>
        <w:bottom w:val="single" w:color="auto" w:sz="4" w:space="2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OpenSymbol">
    <w:charset w:val="00"/>
    <w:family w:val="auto"/>
    <w:pitch w:val="variable"/>
    <w:sig w:usb0="00000000" w:usb1="1001ecea" w:usb2="00000000" w:usb3="00000000" w:csb0="00000001"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Droid Sans">
    <w:altName w:val="MS Mincho"/>
    <w:charset w:val="80"/>
    <w:family w:val="auto"/>
    <w:pitch w:val="variable"/>
  </w:font>
  <w:font w:name="DejaVu Sans">
    <w:altName w:val="Arial"/>
    <w:charset w:val="00"/>
    <w:family w:val="swiss"/>
    <w:pitch w:val="variable"/>
    <w:sig w:usb0="00000000" w:usb1="00000000" w:usb2="0a246029" w:usb3="00000000" w:csb0="000001ff" w:csb1="00000000"/>
  </w:font>
  <w:font w:name="Tinos">
    <w:altName w:val="Yu Gothic"/>
    <w:charset w:val="80"/>
    <w:family w:val="roman"/>
    <w:pitch w:val="variable"/>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Tahoma">
    <w:panose1 w:val="020b0604030504040204"/>
    <w:charset w:val="00"/>
    <w:family w:val="swiss"/>
    <w:pitch w:val="variable"/>
    <w:sig w:usb0="00000000" w:usb1="00000000" w:usb2="00000029" w:usb3="00000000" w:csb0="0001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pPr>
      <w:pStyle w:val="Footer"/>
      <w:jc w:val="right"/>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none"/>
      <w:suff w:val="nothing"/>
      <w:lvlText w:val=""/>
      <w:lvlJc w:val="left"/>
      <w:pPr>
        <w:tabs>
          <w:tab w:val="num" w:pos="0"/>
        </w:tabs>
        <w:ind w:left="432" w:hanging="432"/>
      </w:pPr>
    </w:lvl>
    <w:lvl w:ilvl="1" w:tentative="0">
      <w:start w:val="1"/>
      <w:numFmt w:val="none"/>
      <w:suff w:val="nothing"/>
      <w:lvlText w:val=""/>
      <w:lvlJc w:val="left"/>
      <w:pPr>
        <w:tabs>
          <w:tab w:val="num" w:pos="0"/>
        </w:tabs>
        <w:ind w:left="576" w:hanging="576"/>
      </w:pPr>
    </w:lvl>
    <w:lvl w:ilvl="2" w:tentative="0">
      <w:start w:val="1"/>
      <w:numFmt w:val="none"/>
      <w:suff w:val="nothing"/>
      <w:lvlText w:val=""/>
      <w:lvlJc w:val="left"/>
      <w:pPr>
        <w:tabs>
          <w:tab w:val="num" w:pos="0"/>
        </w:tabs>
        <w:ind w:left="720" w:hanging="720"/>
      </w:pPr>
    </w:lvl>
    <w:lvl w:ilvl="3" w:tentative="0">
      <w:start w:val="1"/>
      <w:numFmt w:val="none"/>
      <w:suff w:val="nothing"/>
      <w:lvlText w:val=""/>
      <w:lvlJc w:val="left"/>
      <w:pPr>
        <w:tabs>
          <w:tab w:val="num" w:pos="0"/>
        </w:tabs>
        <w:ind w:left="864" w:hanging="864"/>
      </w:pPr>
    </w:lvl>
    <w:lvl w:ilvl="4" w:tentative="0">
      <w:start w:val="1"/>
      <w:numFmt w:val="none"/>
      <w:suff w:val="nothing"/>
      <w:lvlText w:val=""/>
      <w:lvlJc w:val="left"/>
      <w:pPr>
        <w:tabs>
          <w:tab w:val="num" w:pos="0"/>
        </w:tabs>
        <w:ind w:left="1008" w:hanging="1008"/>
      </w:pPr>
    </w:lvl>
    <w:lvl w:ilvl="5" w:tentative="0">
      <w:start w:val="1"/>
      <w:numFmt w:val="none"/>
      <w:suff w:val="nothing"/>
      <w:lvlText w:val=""/>
      <w:lvlJc w:val="left"/>
      <w:pPr>
        <w:tabs>
          <w:tab w:val="num" w:pos="0"/>
        </w:tabs>
        <w:ind w:left="1152" w:hanging="1152"/>
      </w:pPr>
    </w:lvl>
    <w:lvl w:ilvl="6" w:tentative="0">
      <w:start w:val="1"/>
      <w:numFmt w:val="none"/>
      <w:suff w:val="nothing"/>
      <w:lvlText w:val=""/>
      <w:lvlJc w:val="left"/>
      <w:pPr>
        <w:tabs>
          <w:tab w:val="num" w:pos="0"/>
        </w:tabs>
        <w:ind w:left="1296" w:hanging="1296"/>
      </w:pPr>
    </w:lvl>
    <w:lvl w:ilvl="7" w:tentative="0">
      <w:start w:val="1"/>
      <w:numFmt w:val="none"/>
      <w:suff w:val="nothing"/>
      <w:lvlText w:val=""/>
      <w:lvlJc w:val="left"/>
      <w:pPr>
        <w:tabs>
          <w:tab w:val="num" w:pos="0"/>
        </w:tabs>
        <w:ind w:left="1440" w:hanging="1440"/>
      </w:pPr>
    </w:lvl>
    <w:lvl w:ilvl="8" w:tentative="0">
      <w:start w:val="1"/>
      <w:numFmt w:val="none"/>
      <w:suff w:val="nothing"/>
      <w:lvlText w:val=""/>
      <w:lvlJc w:val="left"/>
      <w:pPr>
        <w:tabs>
          <w:tab w:val="num" w:pos="0"/>
        </w:tabs>
        <w:ind w:left="1584" w:hanging="1584"/>
      </w:pPr>
    </w:lvl>
  </w:abstractNum>
  <w:abstractNum w:abstractNumId="1">
    <w:multiLevelType w:val="multilevel"/>
    <w:lvl w:ilvl="0" w:tentative="0">
      <w:start w:val="1"/>
      <w:numFmt w:val="none"/>
      <w:suff w:val="nothing"/>
      <w:lvlText w:val=""/>
      <w:lvlJc w:val="left"/>
      <w:pPr>
        <w:tabs>
          <w:tab w:val="num" w:pos="0"/>
        </w:tabs>
        <w:ind w:left="432" w:hanging="432"/>
      </w:pPr>
      <w:rPr>
        <w:rFonts w:ascii="Symbol" w:cs="OpenSymbol" w:hAnsi="Symbol"/>
      </w:rPr>
    </w:lvl>
    <w:lvl w:ilvl="1" w:tentative="0">
      <w:start w:val="1"/>
      <w:numFmt w:val="none"/>
      <w:suff w:val="nothing"/>
      <w:lvlText w:val=""/>
      <w:lvlJc w:val="left"/>
      <w:pPr>
        <w:tabs>
          <w:tab w:val="num" w:pos="0"/>
        </w:tabs>
        <w:ind w:left="576" w:hanging="576"/>
      </w:pPr>
      <w:rPr>
        <w:rFonts w:ascii="OpenSymbol" w:cs="OpenSymbol" w:hAnsi="OpenSymbol"/>
      </w:rPr>
    </w:lvl>
    <w:lvl w:ilvl="2" w:tentative="0">
      <w:start w:val="1"/>
      <w:numFmt w:val="none"/>
      <w:suff w:val="nothing"/>
      <w:lvlText w:val=""/>
      <w:lvlJc w:val="left"/>
      <w:pPr>
        <w:tabs>
          <w:tab w:val="num" w:pos="0"/>
        </w:tabs>
        <w:ind w:left="720" w:hanging="720"/>
      </w:pPr>
    </w:lvl>
    <w:lvl w:ilvl="3" w:tentative="0">
      <w:start w:val="1"/>
      <w:numFmt w:val="none"/>
      <w:suff w:val="nothing"/>
      <w:lvlText w:val=""/>
      <w:lvlJc w:val="left"/>
      <w:pPr>
        <w:tabs>
          <w:tab w:val="num" w:pos="0"/>
        </w:tabs>
        <w:ind w:left="864" w:hanging="864"/>
      </w:pPr>
    </w:lvl>
    <w:lvl w:ilvl="4" w:tentative="0">
      <w:start w:val="1"/>
      <w:numFmt w:val="none"/>
      <w:suff w:val="nothing"/>
      <w:lvlText w:val=""/>
      <w:lvlJc w:val="left"/>
      <w:pPr>
        <w:tabs>
          <w:tab w:val="num" w:pos="0"/>
        </w:tabs>
        <w:ind w:left="1008" w:hanging="1008"/>
      </w:pPr>
    </w:lvl>
    <w:lvl w:ilvl="5" w:tentative="0">
      <w:start w:val="1"/>
      <w:numFmt w:val="none"/>
      <w:suff w:val="nothing"/>
      <w:lvlText w:val=""/>
      <w:lvlJc w:val="left"/>
      <w:pPr>
        <w:tabs>
          <w:tab w:val="num" w:pos="0"/>
        </w:tabs>
        <w:ind w:left="1152" w:hanging="1152"/>
      </w:pPr>
    </w:lvl>
    <w:lvl w:ilvl="6" w:tentative="0">
      <w:start w:val="1"/>
      <w:numFmt w:val="none"/>
      <w:suff w:val="nothing"/>
      <w:lvlText w:val=""/>
      <w:lvlJc w:val="left"/>
      <w:pPr>
        <w:tabs>
          <w:tab w:val="num" w:pos="0"/>
        </w:tabs>
        <w:ind w:left="1296" w:hanging="1296"/>
      </w:pPr>
    </w:lvl>
    <w:lvl w:ilvl="7" w:tentative="0">
      <w:start w:val="1"/>
      <w:numFmt w:val="none"/>
      <w:suff w:val="nothing"/>
      <w:lvlText w:val=""/>
      <w:lvlJc w:val="left"/>
      <w:pPr>
        <w:tabs>
          <w:tab w:val="num" w:pos="0"/>
        </w:tabs>
        <w:ind w:left="1440" w:hanging="1440"/>
      </w:pPr>
    </w:lvl>
    <w:lvl w:ilvl="8" w:tentative="0">
      <w:start w:val="1"/>
      <w:numFmt w:val="none"/>
      <w:suff w:val="nothing"/>
      <w:lvlText w:val=""/>
      <w:lvlJc w:val="left"/>
      <w:pPr>
        <w:tabs>
          <w:tab w:val="num" w:pos="0"/>
        </w:tabs>
        <w:ind w:left="1584" w:hanging="1584"/>
      </w:p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9">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6">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15"/>
  </w:num>
  <w:num w:numId="5">
    <w:abstractNumId w:val="4"/>
  </w:num>
  <w:num w:numId="6">
    <w:abstractNumId w:val="6"/>
  </w:num>
  <w:num w:numId="7">
    <w:abstractNumId w:val="2"/>
  </w:num>
  <w:num w:numId="8">
    <w:abstractNumId w:val="12"/>
  </w:num>
  <w:num w:numId="9">
    <w:abstractNumId w:val="13"/>
  </w:num>
  <w:num w:numId="10">
    <w:abstractNumId w:val="16"/>
  </w:num>
  <w:num w:numId="11">
    <w:abstractNumId w:val="14"/>
  </w:num>
  <w:num w:numId="12">
    <w:abstractNumId w:val="8"/>
  </w:num>
  <w:num w:numId="13">
    <w:abstractNumId w:val="11"/>
  </w:num>
  <w:num w:numId="14">
    <w:abstractNumId w:val="5"/>
  </w:num>
  <w:num w:numId="15">
    <w:abstractNumId w:val="10"/>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GIksLU3MTI0NTAyBbSUcpOLW4ODM/D6TAtBYABvifDCwAAAA="/>
  </w:docVars>
  <w:rsids>
    <w:rsidRoot w:val="00DC51BB"/>
    <w:rsid w:val="000133BC"/>
    <w:rsid w:val="0003184F"/>
    <w:rsid w:val="00034ACC"/>
    <w:rsid w:val="000709A5"/>
    <w:rsid w:val="00096ACA"/>
    <w:rsid w:val="000D51B4"/>
    <w:rsid w:val="000D772C"/>
    <w:rsid w:val="000E1958"/>
    <w:rsid w:val="000E356A"/>
    <w:rsid w:val="000F085E"/>
    <w:rsid w:val="001271BA"/>
    <w:rsid w:val="0013732D"/>
    <w:rsid w:val="00195912"/>
    <w:rsid w:val="001A3E01"/>
    <w:rsid w:val="001A53D9"/>
    <w:rsid w:val="001B60B2"/>
    <w:rsid w:val="001B63D5"/>
    <w:rsid w:val="001C21C1"/>
    <w:rsid w:val="001E583B"/>
    <w:rsid w:val="001F5AF8"/>
    <w:rsid w:val="0020132E"/>
    <w:rsid w:val="002169DE"/>
    <w:rsid w:val="00262A01"/>
    <w:rsid w:val="0026339D"/>
    <w:rsid w:val="00267A95"/>
    <w:rsid w:val="00295732"/>
    <w:rsid w:val="002C2E31"/>
    <w:rsid w:val="002E5CBA"/>
    <w:rsid w:val="002F5D0A"/>
    <w:rsid w:val="0030733D"/>
    <w:rsid w:val="00311A73"/>
    <w:rsid w:val="00351F9D"/>
    <w:rsid w:val="003748D6"/>
    <w:rsid w:val="003C6B16"/>
    <w:rsid w:val="003D1BFD"/>
    <w:rsid w:val="00425594"/>
    <w:rsid w:val="00425D85"/>
    <w:rsid w:val="00426720"/>
    <w:rsid w:val="004354EC"/>
    <w:rsid w:val="00471387"/>
    <w:rsid w:val="004C3A98"/>
    <w:rsid w:val="004E2741"/>
    <w:rsid w:val="005070FE"/>
    <w:rsid w:val="005D7802"/>
    <w:rsid w:val="005E5B37"/>
    <w:rsid w:val="00603257"/>
    <w:rsid w:val="00605419"/>
    <w:rsid w:val="00605901"/>
    <w:rsid w:val="00612F2A"/>
    <w:rsid w:val="00614830"/>
    <w:rsid w:val="00617CCA"/>
    <w:rsid w:val="00636EDB"/>
    <w:rsid w:val="00646270"/>
    <w:rsid w:val="00652C68"/>
    <w:rsid w:val="006647E3"/>
    <w:rsid w:val="00672698"/>
    <w:rsid w:val="00695A42"/>
    <w:rsid w:val="006A559D"/>
    <w:rsid w:val="006C1B8A"/>
    <w:rsid w:val="006F2F8A"/>
    <w:rsid w:val="007104DA"/>
    <w:rsid w:val="007130B4"/>
    <w:rsid w:val="00727D5B"/>
    <w:rsid w:val="007364F2"/>
    <w:rsid w:val="007376F5"/>
    <w:rsid w:val="00745678"/>
    <w:rsid w:val="007801BE"/>
    <w:rsid w:val="007A1C20"/>
    <w:rsid w:val="007B6A36"/>
    <w:rsid w:val="007C12B6"/>
    <w:rsid w:val="007E1CAE"/>
    <w:rsid w:val="007F5EFF"/>
    <w:rsid w:val="00815E6A"/>
    <w:rsid w:val="0083449F"/>
    <w:rsid w:val="00865951"/>
    <w:rsid w:val="00880C32"/>
    <w:rsid w:val="008B79DB"/>
    <w:rsid w:val="008D1697"/>
    <w:rsid w:val="008E1E8D"/>
    <w:rsid w:val="008E6E52"/>
    <w:rsid w:val="00900194"/>
    <w:rsid w:val="0090082C"/>
    <w:rsid w:val="00943D00"/>
    <w:rsid w:val="0096168D"/>
    <w:rsid w:val="009C1AB0"/>
    <w:rsid w:val="009F7DD4"/>
    <w:rsid w:val="00A460E9"/>
    <w:rsid w:val="00A47D96"/>
    <w:rsid w:val="00A60140"/>
    <w:rsid w:val="00A80DFC"/>
    <w:rsid w:val="00A86CF8"/>
    <w:rsid w:val="00A87122"/>
    <w:rsid w:val="00A97606"/>
    <w:rsid w:val="00AB1792"/>
    <w:rsid w:val="00AC7B1F"/>
    <w:rsid w:val="00AD1764"/>
    <w:rsid w:val="00AD51F0"/>
    <w:rsid w:val="00B06AC3"/>
    <w:rsid w:val="00B12E6F"/>
    <w:rsid w:val="00B16C9B"/>
    <w:rsid w:val="00B1704F"/>
    <w:rsid w:val="00B50921"/>
    <w:rsid w:val="00B5664A"/>
    <w:rsid w:val="00B56B6B"/>
    <w:rsid w:val="00B75E35"/>
    <w:rsid w:val="00B9430A"/>
    <w:rsid w:val="00BF4F3A"/>
    <w:rsid w:val="00C20E41"/>
    <w:rsid w:val="00C21360"/>
    <w:rsid w:val="00C27773"/>
    <w:rsid w:val="00C31296"/>
    <w:rsid w:val="00C72649"/>
    <w:rsid w:val="00C734D6"/>
    <w:rsid w:val="00C84652"/>
    <w:rsid w:val="00CB765F"/>
    <w:rsid w:val="00D32151"/>
    <w:rsid w:val="00D4716D"/>
    <w:rsid w:val="00D63C99"/>
    <w:rsid w:val="00D6405A"/>
    <w:rsid w:val="00D67944"/>
    <w:rsid w:val="00DA4358"/>
    <w:rsid w:val="00DC51BB"/>
    <w:rsid w:val="00E15AAE"/>
    <w:rsid w:val="00E227B3"/>
    <w:rsid w:val="00E26451"/>
    <w:rsid w:val="00E34092"/>
    <w:rsid w:val="00E656BE"/>
    <w:rsid w:val="00E85E5A"/>
    <w:rsid w:val="00E951A2"/>
    <w:rsid w:val="00EA6F0F"/>
    <w:rsid w:val="00EC6C76"/>
    <w:rsid w:val="00EE78C8"/>
    <w:rsid w:val="00EE7ED7"/>
    <w:rsid w:val="00F23CE7"/>
    <w:rsid w:val="00F27901"/>
    <w:rsid w:val="00F36910"/>
    <w:rsid w:val="00F450DB"/>
    <w:rsid w:val="00F55951"/>
    <w:rsid w:val="00F606B0"/>
    <w:rsid w:val="00F66D6C"/>
    <w:rsid w:val="00F94536"/>
    <w:rsid w:val="00FB5FF6"/>
    <w:rsid w:val="00FB6AA6"/>
    <w:rsid w:val="00FC50D3"/>
    <w:rsid w:val="00FF2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B0E406F"/>
  <w15:docId w15:val="{0F65959C-023A-4C71-983A-A488E958020F}"/>
  <w:footnotePr>
    <w:footnote w:id="0"/>
    <w:footnote w:id="1"/>
  </w:footnotePr>
  <w:endnotePr>
    <w:endnote w:id="0"/>
    <w:endnote w:id="1"/>
  </w:endnotePr>
  <w:displayBackgroundShape w:val="on"/>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imes New Roman" w:eastAsia="Times New Roman" w:hAnsi="Times New Roman"/>
        <w:lang w:val="en-US" w:bidi="ar-SA" w:eastAsia="en-US"/>
      </w:rPr>
    </w:rPrDefault>
    <w:pPrDefault/>
  </w:docDefaults>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line="360" w:lineRule="auto"/>
      <w:jc w:val="both"/>
    </w:pPr>
    <w:rPr>
      <w:rFonts w:eastAsia="Calibri"/>
      <w:color w:val="000000"/>
      <w:sz w:val="24"/>
      <w:szCs w:val="22"/>
      <w:lang w:val="en-GB" w:eastAsia="ar-SA"/>
    </w:rPr>
  </w:style>
  <w:style w:type="paragraph" w:styleId="Heading1">
    <w:name w:val="Heading 1"/>
    <w:basedOn w:val="Normal"/>
    <w:next w:val="Normal"/>
    <w:uiPriority w:val="99"/>
    <w:qFormat w:val="on"/>
    <w:pPr>
      <w:keepNext w:val="on"/>
      <w:keepLines w:val="on"/>
      <w:tabs>
        <w:tab w:val="num" w:pos="0"/>
      </w:tabs>
      <w:spacing w:before="113"/>
      <w:ind w:left="432" w:hanging="432"/>
    </w:pPr>
    <w:rPr>
      <w:rFonts w:eastAsia="Times New Roman"/>
      <w:b/>
      <w:bCs/>
      <w:sz w:val="28"/>
      <w:szCs w:val="28"/>
    </w:rPr>
  </w:style>
  <w:style w:type="paragraph" w:styleId="Heading2">
    <w:name w:val="Heading 2"/>
    <w:basedOn w:val="Normal"/>
    <w:next w:val="Normal"/>
    <w:uiPriority w:val="99"/>
    <w:qFormat w:val="on"/>
    <w:pPr>
      <w:keepNext w:val="on"/>
      <w:keepLines w:val="on"/>
      <w:tabs>
        <w:tab w:val="num" w:pos="0"/>
      </w:tabs>
      <w:spacing w:before="113"/>
      <w:ind w:left="576" w:hanging="576"/>
    </w:pPr>
    <w:rPr>
      <w:rFonts w:eastAsia="Times New Roman"/>
      <w:bCs/>
      <w:szCs w:val="26"/>
      <w:u w:val="single"/>
    </w:rPr>
  </w:style>
  <w:style w:type="paragraph" w:styleId="Heading3">
    <w:name w:val="Heading 3"/>
    <w:basedOn w:val="Heading"/>
    <w:next w:val="BodyText"/>
    <w:uiPriority w:val="99"/>
    <w:qFormat w:val="on"/>
    <w:pPr>
      <w:tabs>
        <w:tab w:val="num" w:pos="0"/>
      </w:tabs>
      <w:ind w:left="720" w:hanging="720"/>
    </w:pPr>
    <w:rPr>
      <w:b/>
      <w:bCs/>
    </w:rPr>
  </w:style>
  <w:style w:type="paragraph" w:styleId="Heading4">
    <w:name w:val="Heading 4"/>
    <w:basedOn w:val="Heading"/>
    <w:next w:val="BodyText"/>
    <w:uiPriority w:val="99"/>
    <w:qFormat w:val="on"/>
    <w:pPr>
      <w:tabs>
        <w:tab w:val="num" w:pos="0"/>
      </w:tabs>
      <w:ind w:left="864" w:hanging="864"/>
    </w:pPr>
    <w:rPr>
      <w:b/>
      <w:bCs/>
      <w:i/>
      <w:iCs/>
      <w:sz w:val="24"/>
      <w:szCs w:val="24"/>
    </w:rPr>
  </w:style>
  <w:style w:type="paragraph" w:styleId="Heading5">
    <w:name w:val="Heading 5"/>
    <w:basedOn w:val="Heading"/>
    <w:next w:val="BodyText"/>
    <w:uiPriority w:val="99"/>
    <w:qFormat w:val="on"/>
    <w:pPr>
      <w:tabs>
        <w:tab w:val="num" w:pos="0"/>
      </w:tabs>
      <w:ind w:left="1008" w:hanging="1008"/>
    </w:pPr>
    <w:rPr>
      <w:b/>
      <w:bCs/>
      <w:sz w:val="24"/>
      <w:szCs w:val="24"/>
    </w:rPr>
  </w:style>
  <w:style w:type="paragraph" w:styleId="Heading6">
    <w:name w:val="Heading 6"/>
    <w:basedOn w:val="Heading"/>
    <w:next w:val="BodyText"/>
    <w:uiPriority w:val="99"/>
    <w:qFormat w:val="on"/>
    <w:pPr>
      <w:tabs>
        <w:tab w:val="num" w:pos="0"/>
      </w:tabs>
      <w:ind w:left="1152" w:hanging="1152"/>
    </w:pPr>
    <w:rPr>
      <w:b/>
      <w:bCs/>
      <w:sz w:val="21"/>
      <w:szCs w:val="21"/>
    </w:rPr>
  </w:style>
  <w:style w:type="paragraph" w:styleId="Heading7">
    <w:name w:val="Heading 7"/>
    <w:basedOn w:val="Heading"/>
    <w:next w:val="BodyText"/>
    <w:uiPriority w:val="99"/>
    <w:qFormat w:val="on"/>
    <w:pPr>
      <w:tabs>
        <w:tab w:val="num" w:pos="0"/>
      </w:tabs>
      <w:ind w:left="1296" w:hanging="1296"/>
    </w:pPr>
    <w:rPr>
      <w:b/>
      <w:bCs/>
      <w:sz w:val="21"/>
      <w:szCs w:val="21"/>
    </w:rPr>
  </w:style>
  <w:style w:type="paragraph" w:styleId="Heading8">
    <w:name w:val="Heading 8"/>
    <w:basedOn w:val="Heading"/>
    <w:next w:val="BodyText"/>
    <w:uiPriority w:val="99"/>
    <w:qFormat w:val="on"/>
    <w:pPr>
      <w:tabs>
        <w:tab w:val="num" w:pos="0"/>
      </w:tabs>
      <w:ind w:left="1440" w:hanging="1440"/>
    </w:pPr>
    <w:rPr>
      <w:b/>
      <w:bCs/>
      <w:sz w:val="21"/>
      <w:szCs w:val="21"/>
    </w:rPr>
  </w:style>
  <w:style w:type="paragraph" w:styleId="Heading9">
    <w:name w:val="Heading 9"/>
    <w:basedOn w:val="Heading"/>
    <w:next w:val="BodyText"/>
    <w:uiPriority w:val="99"/>
    <w:qFormat w:val="on"/>
    <w:pPr>
      <w:tabs>
        <w:tab w:val="num" w:pos="0"/>
      </w:tabs>
      <w:ind w:left="1584" w:hanging="1584"/>
    </w:pPr>
    <w:rPr>
      <w:b/>
      <w:bCs/>
      <w:sz w:val="21"/>
      <w:szCs w:val="21"/>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WW8Num1z0">
    <w:name w:val="WW8Num1z0"/>
    <w:uiPriority w:val="99"/>
  </w:style>
  <w:style w:type="character" w:customStyle="1" w:styleId="WW8Num1z1">
    <w:name w:val="WW8Num1z1"/>
    <w:uiPriority w:val="99"/>
  </w:style>
  <w:style w:type="character" w:customStyle="1" w:styleId="WW8Num1z2">
    <w:name w:val="WW8Num1z2"/>
    <w:uiPriority w:val="99"/>
  </w:style>
  <w:style w:type="character" w:customStyle="1" w:styleId="WW8Num1z3">
    <w:name w:val="WW8Num1z3"/>
    <w:uiPriority w:val="99"/>
  </w:style>
  <w:style w:type="character" w:customStyle="1" w:styleId="WW8Num1z4">
    <w:name w:val="WW8Num1z4"/>
    <w:uiPriority w:val="99"/>
  </w:style>
  <w:style w:type="character" w:customStyle="1" w:styleId="WW8Num1z5">
    <w:name w:val="WW8Num1z5"/>
    <w:uiPriority w:val="99"/>
  </w:style>
  <w:style w:type="character" w:customStyle="1" w:styleId="WW8Num1z6">
    <w:name w:val="WW8Num1z6"/>
    <w:uiPriority w:val="99"/>
  </w:style>
  <w:style w:type="character" w:customStyle="1" w:styleId="WW8Num1z7">
    <w:name w:val="WW8Num1z7"/>
    <w:uiPriority w:val="99"/>
  </w:style>
  <w:style w:type="character" w:customStyle="1" w:styleId="WW8Num1z8">
    <w:name w:val="WW8Num1z8"/>
    <w:uiPriority w:val="99"/>
  </w:style>
  <w:style w:type="character" w:customStyle="1" w:styleId="WW8Num2z0">
    <w:name w:val="WW8Num2z0"/>
    <w:uiPriority w:val="99"/>
    <w:rPr>
      <w:rFonts w:ascii="Symbol" w:cs="OpenSymbol" w:hAnsi="Symbol"/>
    </w:rPr>
  </w:style>
  <w:style w:type="character" w:customStyle="1" w:styleId="WW8Num2z1">
    <w:name w:val="WW8Num2z1"/>
    <w:uiPriority w:val="99"/>
    <w:rPr>
      <w:rFonts w:ascii="OpenSymbol" w:cs="OpenSymbol" w:hAnsi="OpenSymbol"/>
    </w:rPr>
  </w:style>
  <w:style w:type="character" w:customStyle="1" w:styleId="WW8Num2z2">
    <w:name w:val="WW8Num2z2"/>
    <w:uiPriority w:val="99"/>
  </w:style>
  <w:style w:type="character" w:customStyle="1" w:styleId="WW8Num2z3">
    <w:name w:val="WW8Num2z3"/>
    <w:uiPriority w:val="99"/>
  </w:style>
  <w:style w:type="character" w:customStyle="1" w:styleId="WW8Num2z4">
    <w:name w:val="WW8Num2z4"/>
    <w:uiPriority w:val="99"/>
  </w:style>
  <w:style w:type="character" w:customStyle="1" w:styleId="WW8Num2z5">
    <w:name w:val="WW8Num2z5"/>
    <w:uiPriority w:val="99"/>
  </w:style>
  <w:style w:type="character" w:customStyle="1" w:styleId="WW8Num2z6">
    <w:name w:val="WW8Num2z6"/>
    <w:uiPriority w:val="99"/>
  </w:style>
  <w:style w:type="character" w:customStyle="1" w:styleId="WW8Num2z7">
    <w:name w:val="WW8Num2z7"/>
    <w:uiPriority w:val="99"/>
  </w:style>
  <w:style w:type="character" w:customStyle="1" w:styleId="WW8Num2z8">
    <w:name w:val="WW8Num2z8"/>
    <w:uiPriority w:val="99"/>
  </w:style>
  <w:style w:type="character" w:customStyle="1" w:styleId="WW8Num3z0">
    <w:name w:val="WW8Num3z0"/>
    <w:uiPriority w:val="99"/>
    <w:rPr>
      <w:rFonts w:ascii="Symbol" w:cs="OpenSymbol" w:hAnsi="Symbol"/>
    </w:rPr>
  </w:style>
  <w:style w:type="character" w:customStyle="1" w:styleId="WW8Num3z1">
    <w:name w:val="WW8Num3z1"/>
    <w:uiPriority w:val="99"/>
    <w:rPr>
      <w:rFonts w:ascii="OpenSymbol" w:cs="OpenSymbol" w:hAnsi="OpenSymbol"/>
    </w:rPr>
  </w:style>
  <w:style w:type="character" w:customStyle="1" w:styleId="WW8Num3z2">
    <w:name w:val="WW8Num3z2"/>
    <w:uiPriority w:val="99"/>
  </w:style>
  <w:style w:type="character" w:customStyle="1" w:styleId="WW8Num3z3">
    <w:name w:val="WW8Num3z3"/>
    <w:uiPriority w:val="99"/>
  </w:style>
  <w:style w:type="character" w:customStyle="1" w:styleId="WW8Num3z4">
    <w:name w:val="WW8Num3z4"/>
    <w:uiPriority w:val="99"/>
  </w:style>
  <w:style w:type="character" w:customStyle="1" w:styleId="WW8Num3z5">
    <w:name w:val="WW8Num3z5"/>
    <w:uiPriority w:val="99"/>
  </w:style>
  <w:style w:type="character" w:customStyle="1" w:styleId="WW8Num3z6">
    <w:name w:val="WW8Num3z6"/>
    <w:uiPriority w:val="99"/>
  </w:style>
  <w:style w:type="character" w:customStyle="1" w:styleId="WW8Num3z7">
    <w:name w:val="WW8Num3z7"/>
    <w:uiPriority w:val="99"/>
  </w:style>
  <w:style w:type="character" w:customStyle="1" w:styleId="WW8Num3z8">
    <w:name w:val="WW8Num3z8"/>
    <w:uiPriority w:val="99"/>
  </w:style>
  <w:style w:type="character" w:customStyle="1" w:styleId="WW-DefaultParagraphFont">
    <w:name w:val="WW-Default Paragraph Font"/>
    <w:uiPriority w:val="99"/>
  </w:style>
  <w:style w:type="character" w:customStyle="1" w:styleId="WW-DefaultParagraphFont1">
    <w:name w:val="WW-Default Paragraph Font1"/>
    <w:uiPriority w:val="99"/>
  </w:style>
  <w:style w:type="character" w:customStyle="1" w:styleId="HeaderChar">
    <w:name w:val="Header Char"/>
    <w:basedOn w:val="WW-DefaultParagraphFont1"/>
    <w:uiPriority w:val="99"/>
  </w:style>
  <w:style w:type="character" w:customStyle="1" w:styleId="FooterChar">
    <w:name w:val="Footer Char"/>
    <w:basedOn w:val="WW-DefaultParagraphFont1"/>
    <w:uiPriority w:val="99"/>
  </w:style>
  <w:style w:type="character" w:customStyle="1" w:styleId="Heading1Char">
    <w:name w:val="Heading 1 Char"/>
    <w:uiPriority w:val="99"/>
    <w:rPr>
      <w:rFonts w:ascii="Times New Roman" w:cs="Times New Roman" w:eastAsia="Times New Roman" w:hAnsi="Times New Roman"/>
      <w:b/>
      <w:bCs/>
      <w:sz w:val="28"/>
      <w:szCs w:val="28"/>
    </w:rPr>
  </w:style>
  <w:style w:type="character" w:customStyle="1" w:styleId="Heading2Char">
    <w:name w:val="Heading 2 Char"/>
    <w:uiPriority w:val="99"/>
    <w:rPr>
      <w:rFonts w:ascii="Times New Roman" w:cs="Times New Roman" w:eastAsia="Times New Roman" w:hAnsi="Times New Roman"/>
      <w:bCs/>
      <w:sz w:val="24"/>
      <w:szCs w:val="26"/>
      <w:u w:val="single"/>
    </w:rPr>
  </w:style>
  <w:style w:type="character" w:customStyle="1" w:styleId="Bullets">
    <w:name w:val="Bullets"/>
    <w:uiPriority w:val="99"/>
    <w:rPr>
      <w:rFonts w:ascii="OpenSymbol" w:cs="OpenSymbol" w:eastAsia="OpenSymbol" w:hAnsi="OpenSymbol"/>
    </w:rPr>
  </w:style>
  <w:style w:type="character" w:styleId="Hyperlink">
    <w:name w:val="Hyperlink"/>
    <w:uiPriority w:val="99"/>
    <w:rPr>
      <w:color w:val="000080"/>
      <w:u w:val="single"/>
    </w:rPr>
  </w:style>
  <w:style w:type="character" w:customStyle="1" w:styleId="NumberingSymbols">
    <w:name w:val="Numbering Symbols"/>
    <w:uiPriority w:val="99"/>
  </w:style>
  <w:style w:type="paragraph" w:customStyle="1" w:styleId="Heading">
    <w:name w:val="Heading"/>
    <w:basedOn w:val="Normal"/>
    <w:next w:val="BodyText"/>
    <w:uiPriority w:val="99"/>
    <w:pPr>
      <w:keepNext w:val="on"/>
      <w:spacing w:before="240" w:after="120"/>
    </w:pPr>
    <w:rPr>
      <w:rFonts w:ascii="Arial" w:cs="DejaVu Sans" w:eastAsia="Droid Sans" w:hAnsi="Arial"/>
      <w:sz w:val="28"/>
      <w:szCs w:val="28"/>
    </w:rPr>
  </w:style>
  <w:style w:type="paragraph" w:styleId="BodyText">
    <w:name w:val="Body Text"/>
    <w:basedOn w:val="Normal"/>
    <w:uiPriority w:val="99"/>
  </w:style>
  <w:style w:type="paragraph" w:styleId="List">
    <w:name w:val="List"/>
    <w:basedOn w:val="BodyText"/>
    <w:uiPriority w:val="99"/>
    <w:rPr>
      <w:rFonts w:cs="DejaVu Sans"/>
    </w:rPr>
  </w:style>
  <w:style w:type="paragraph" w:styleId="Caption">
    <w:name w:val="Caption"/>
    <w:basedOn w:val="Normal"/>
    <w:uiPriority w:val="99"/>
    <w:qFormat w:val="on"/>
    <w:pPr>
      <w:spacing w:before="120" w:after="120"/>
    </w:pPr>
    <w:rPr>
      <w:rFonts w:cs="DejaVu Sans"/>
      <w:i/>
      <w:iCs/>
      <w:szCs w:val="24"/>
    </w:rPr>
  </w:style>
  <w:style w:type="paragraph" w:customStyle="1" w:styleId="Index">
    <w:name w:val="Index"/>
    <w:basedOn w:val="Normal"/>
    <w:uiPriority w:val="99"/>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uiPriority w:val="99"/>
    <w:pPr>
      <w:jc w:val="center"/>
    </w:pPr>
    <w:rPr>
      <w:rFonts w:ascii="Times New Roman" w:cs="Times New Roman" w:hAnsi="Times New Roman"/>
      <w:b/>
      <w:bCs/>
      <w:szCs w:val="32"/>
    </w:rPr>
  </w:style>
  <w:style w:type="paragraph" w:styleId="NoSpacing">
    <w:name w:val="No Spacing"/>
    <w:uiPriority w:val="99"/>
    <w:qFormat w:val="on"/>
    <w:pPr>
      <w:spacing w:line="100" w:lineRule="atLeast"/>
    </w:pPr>
    <w:rPr>
      <w:rFonts w:ascii="Tinos" w:cs="DejaVu Sans" w:eastAsia="Droid Sans" w:hAnsi="Tinos"/>
      <w:sz w:val="24"/>
      <w:szCs w:val="24"/>
      <w:lang w:val="en-GB" w:bidi="hi-IN" w:eastAsia="hi-IN"/>
    </w:rPr>
  </w:style>
  <w:style w:type="paragraph" w:customStyle="1" w:styleId="Heading10">
    <w:name w:val="Heading 10"/>
    <w:basedOn w:val="Heading"/>
    <w:next w:val="BodyText"/>
    <w:uiPriority w:val="99"/>
    <w:pPr>
      <w:tabs>
        <w:tab w:val="num" w:pos="0"/>
      </w:tabs>
      <w:ind w:left="432" w:hanging="432"/>
    </w:pPr>
    <w:rPr>
      <w:b/>
      <w:bCs/>
      <w:sz w:val="21"/>
      <w:szCs w:val="21"/>
    </w:rPr>
  </w:style>
  <w:style w:type="paragraph" w:styleId="TOCHeading">
    <w:name w:val="TOC Heading"/>
    <w:basedOn w:val="Heading1"/>
    <w:next w:val="Normal"/>
    <w:uiPriority w:val="39"/>
    <w:unhideWhenUsed w:val="on"/>
    <w:qFormat w:val="on"/>
    <w:pPr>
      <w:tabs>
        <w:tab w:val="clear" w:pos="0"/>
      </w:tabs>
      <w:spacing w:before="240" w:line="259" w:lineRule="auto"/>
      <w:ind w:left="0" w:firstLine="0"/>
      <w:jc w:val="left"/>
    </w:pPr>
    <w:rPr>
      <w:rFonts w:ascii="Calibri Light" w:hAnsi="Calibri Light"/>
      <w:b w:val="off"/>
      <w:bCs w:val="off"/>
      <w:color w:val="2f5496"/>
      <w:sz w:val="32"/>
      <w:szCs w:val="32"/>
      <w:lang w:val="en-US" w:eastAsia="en-US"/>
    </w:rPr>
  </w:style>
  <w:style w:type="paragraph" w:styleId="Toc1">
    <w:name w:val="Toc 1"/>
    <w:basedOn w:val="Normal"/>
    <w:next w:val="Normal"/>
    <w:uiPriority w:val="39"/>
    <w:unhideWhenUsed w:val="on"/>
  </w:style>
  <w:style w:type="paragraph" w:styleId="Toc2">
    <w:name w:val="Toc 2"/>
    <w:basedOn w:val="Normal"/>
    <w:next w:val="Normal"/>
    <w:uiPriority w:val="39"/>
    <w:unhideWhenUsed w:val="on"/>
    <w:pPr>
      <w:ind w:left="240"/>
    </w:pPr>
  </w:style>
  <w:style w:type="character" w:styleId="Strong">
    <w:name w:val="Strong"/>
    <w:basedOn w:val="DefaultParagraphFont"/>
    <w:uiPriority w:val="22"/>
    <w:qFormat w:val="on"/>
    <w:rPr>
      <w:b/>
      <w:bCs/>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lang w:val="en-GB" w:eastAsia="ar-SA"/>
    </w:rPr>
  </w:style>
  <w:style w:type="paragraph" w:styleId="BalloonText">
    <w:name w:val="Balloon Text"/>
    <w:basedOn w:val="Normal"/>
    <w:link w:val="BalloonTextChar"/>
    <w:uiPriority w:val="99"/>
    <w:semiHidden w:val="on"/>
    <w:unhideWhenUsed w:val="on"/>
    <w:pPr>
      <w:spacing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eastAsia="Calibri" w:hAnsi="Tahoma"/>
      <w:color w:val="000000"/>
      <w:sz w:val="16"/>
      <w:szCs w:val="16"/>
      <w:lang w:val="en-GB" w:eastAsia="ar-SA"/>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lang w:val="en-GB" w:eastAsia="ar-SA"/>
    </w:rPr>
  </w:style>
  <w:style w:type="paragraph" w:styleId="ListParagraph">
    <w:name w:val="List Paragraph"/>
    <w:basedOn w:val="Normal"/>
    <w:uiPriority w:val="34"/>
    <w:qFormat w:val="on"/>
    <w:pPr>
      <w:ind w:left="720"/>
      <w:contextualSpacing w:val="on"/>
    </w:pPr>
  </w:style>
  <w:style w:type="table" w:styleId="TableGrid">
    <w:name w:val="Table Grid"/>
    <w:basedOn w:val="NormalTable"/>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31164">
      <w:bodyDiv w:val="1"/>
      <w:marLeft w:val="0"/>
      <w:marRight w:val="0"/>
      <w:marTop w:val="0"/>
      <w:marBottom w:val="0"/>
      <w:divBdr>
        <w:top w:val="none" w:sz="0" w:space="0" w:color="auto"/>
        <w:left w:val="none" w:sz="0" w:space="0" w:color="auto"/>
        <w:bottom w:val="none" w:sz="0" w:space="0" w:color="auto"/>
        <w:right w:val="none" w:sz="0" w:space="0" w:color="auto"/>
      </w:divBdr>
    </w:div>
    <w:div w:id="339506086">
      <w:bodyDiv w:val="1"/>
      <w:marLeft w:val="0"/>
      <w:marRight w:val="0"/>
      <w:marTop w:val="0"/>
      <w:marBottom w:val="0"/>
      <w:divBdr>
        <w:top w:val="none" w:sz="0" w:space="0" w:color="auto"/>
        <w:left w:val="none" w:sz="0" w:space="0" w:color="auto"/>
        <w:bottom w:val="none" w:sz="0" w:space="0" w:color="auto"/>
        <w:right w:val="none" w:sz="0" w:space="0" w:color="auto"/>
      </w:divBdr>
    </w:div>
    <w:div w:id="844857024">
      <w:bodyDiv w:val="1"/>
      <w:marLeft w:val="0"/>
      <w:marRight w:val="0"/>
      <w:marTop w:val="0"/>
      <w:marBottom w:val="0"/>
      <w:divBdr>
        <w:top w:val="none" w:sz="0" w:space="0" w:color="auto"/>
        <w:left w:val="none" w:sz="0" w:space="0" w:color="auto"/>
        <w:bottom w:val="none" w:sz="0" w:space="0" w:color="auto"/>
        <w:right w:val="none" w:sz="0" w:space="0" w:color="auto"/>
      </w:divBdr>
    </w:div>
    <w:div w:id="1332177577">
      <w:bodyDiv w:val="1"/>
      <w:marLeft w:val="0"/>
      <w:marRight w:val="0"/>
      <w:marTop w:val="0"/>
      <w:marBottom w:val="0"/>
      <w:divBdr>
        <w:top w:val="none" w:sz="0" w:space="0" w:color="auto"/>
        <w:left w:val="none" w:sz="0" w:space="0" w:color="auto"/>
        <w:bottom w:val="none" w:sz="0" w:space="0" w:color="auto"/>
        <w:right w:val="none" w:sz="0" w:space="0" w:color="auto"/>
      </w:divBdr>
    </w:div>
    <w:div w:id="1657953273">
      <w:bodyDiv w:val="1"/>
      <w:marLeft w:val="0"/>
      <w:marRight w:val="0"/>
      <w:marTop w:val="0"/>
      <w:marBottom w:val="0"/>
      <w:divBdr>
        <w:top w:val="none" w:sz="0" w:space="0" w:color="auto"/>
        <w:left w:val="none" w:sz="0" w:space="0" w:color="auto"/>
        <w:bottom w:val="none" w:sz="0" w:space="0" w:color="auto"/>
        <w:right w:val="none" w:sz="0" w:space="0" w:color="auto"/>
      </w:divBdr>
    </w:div>
    <w:div w:id="177139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15" Type="http://schemas.openxmlformats.org/officeDocument/2006/relationships/fontTable" Target="fontTable.xml"/><Relationship Id="rId16" Type="http://schemas.openxmlformats.org/officeDocument/2006/relationships/theme" Target="theme/theme1.xml"/><Relationship Id="rId17"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hyperlink" Target="https://corporatefinanceinstitute.com/resources/accounting/financial-ratios/" TargetMode="External"/><Relationship Id="rId9" Type="http://schemas.openxmlformats.org/officeDocument/2006/relationships/hyperlink" Target="https://www.finstanon.com/articles/35-profitability-ratio-analysis" TargetMode="External"/><Relationship Id="rId10" Type="http://schemas.openxmlformats.org/officeDocument/2006/relationships/hyperlink" Target="https://quickbooks.intuit.com/in/resources/accounting/understanding-liquidity-ratio-analysis/" TargetMode="External"/><Relationship Id="rId11" Type="http://schemas.openxmlformats.org/officeDocument/2006/relationships/hyperlink" Target="https://www.netsuite.com/portal/resource/articles/accounting/accrual-basis-accounting.shtml" TargetMode="External"/><Relationship Id="rId12" Type="http://schemas.openxmlformats.org/officeDocument/2006/relationships/hyperlink" Target="https://www.angelone.in/knowledge-center/share-market/eps-formula" TargetMode="External"/><Relationship Id="rId13" Type="http://schemas.openxmlformats.org/officeDocument/2006/relationships/hyperlink" Target="https://uk.indeed.com/career-advice/career-development/efficiency-ratios"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42A1D-B71E-42FD-96DF-6830B8BBB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11</Pages>
  <Words>2150</Words>
  <Characters>12260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14382</CharactersWithSpaces>
  <SharedDoc>false</SharedDoc>
  <HLinks>
    <vt:vector size="90" baseType="variant">
      <vt:variant>
        <vt:i4>1179706</vt:i4>
      </vt:variant>
      <vt:variant>
        <vt:i4>86</vt:i4>
      </vt:variant>
      <vt:variant>
        <vt:i4>0</vt:i4>
      </vt:variant>
      <vt:variant>
        <vt:i4>5</vt:i4>
      </vt:variant>
      <vt:variant>
        <vt:lpwstr/>
      </vt:variant>
      <vt:variant>
        <vt:lpwstr>_Toc92402651</vt:lpwstr>
      </vt:variant>
      <vt:variant>
        <vt:i4>1245242</vt:i4>
      </vt:variant>
      <vt:variant>
        <vt:i4>80</vt:i4>
      </vt:variant>
      <vt:variant>
        <vt:i4>0</vt:i4>
      </vt:variant>
      <vt:variant>
        <vt:i4>5</vt:i4>
      </vt:variant>
      <vt:variant>
        <vt:lpwstr/>
      </vt:variant>
      <vt:variant>
        <vt:lpwstr>_Toc92402650</vt:lpwstr>
      </vt:variant>
      <vt:variant>
        <vt:i4>1703995</vt:i4>
      </vt:variant>
      <vt:variant>
        <vt:i4>74</vt:i4>
      </vt:variant>
      <vt:variant>
        <vt:i4>0</vt:i4>
      </vt:variant>
      <vt:variant>
        <vt:i4>5</vt:i4>
      </vt:variant>
      <vt:variant>
        <vt:lpwstr/>
      </vt:variant>
      <vt:variant>
        <vt:lpwstr>_Toc92402649</vt:lpwstr>
      </vt:variant>
      <vt:variant>
        <vt:i4>1769531</vt:i4>
      </vt:variant>
      <vt:variant>
        <vt:i4>68</vt:i4>
      </vt:variant>
      <vt:variant>
        <vt:i4>0</vt:i4>
      </vt:variant>
      <vt:variant>
        <vt:i4>5</vt:i4>
      </vt:variant>
      <vt:variant>
        <vt:lpwstr/>
      </vt:variant>
      <vt:variant>
        <vt:lpwstr>_Toc92402648</vt:lpwstr>
      </vt:variant>
      <vt:variant>
        <vt:i4>1310779</vt:i4>
      </vt:variant>
      <vt:variant>
        <vt:i4>62</vt:i4>
      </vt:variant>
      <vt:variant>
        <vt:i4>0</vt:i4>
      </vt:variant>
      <vt:variant>
        <vt:i4>5</vt:i4>
      </vt:variant>
      <vt:variant>
        <vt:lpwstr/>
      </vt:variant>
      <vt:variant>
        <vt:lpwstr>_Toc92402647</vt:lpwstr>
      </vt:variant>
      <vt:variant>
        <vt:i4>1376315</vt:i4>
      </vt:variant>
      <vt:variant>
        <vt:i4>56</vt:i4>
      </vt:variant>
      <vt:variant>
        <vt:i4>0</vt:i4>
      </vt:variant>
      <vt:variant>
        <vt:i4>5</vt:i4>
      </vt:variant>
      <vt:variant>
        <vt:lpwstr/>
      </vt:variant>
      <vt:variant>
        <vt:lpwstr>_Toc92402646</vt:lpwstr>
      </vt:variant>
      <vt:variant>
        <vt:i4>1441851</vt:i4>
      </vt:variant>
      <vt:variant>
        <vt:i4>50</vt:i4>
      </vt:variant>
      <vt:variant>
        <vt:i4>0</vt:i4>
      </vt:variant>
      <vt:variant>
        <vt:i4>5</vt:i4>
      </vt:variant>
      <vt:variant>
        <vt:lpwstr/>
      </vt:variant>
      <vt:variant>
        <vt:lpwstr>_Toc92402645</vt:lpwstr>
      </vt:variant>
      <vt:variant>
        <vt:i4>1507387</vt:i4>
      </vt:variant>
      <vt:variant>
        <vt:i4>44</vt:i4>
      </vt:variant>
      <vt:variant>
        <vt:i4>0</vt:i4>
      </vt:variant>
      <vt:variant>
        <vt:i4>5</vt:i4>
      </vt:variant>
      <vt:variant>
        <vt:lpwstr/>
      </vt:variant>
      <vt:variant>
        <vt:lpwstr>_Toc92402644</vt:lpwstr>
      </vt:variant>
      <vt:variant>
        <vt:i4>1048635</vt:i4>
      </vt:variant>
      <vt:variant>
        <vt:i4>38</vt:i4>
      </vt:variant>
      <vt:variant>
        <vt:i4>0</vt:i4>
      </vt:variant>
      <vt:variant>
        <vt:i4>5</vt:i4>
      </vt:variant>
      <vt:variant>
        <vt:lpwstr/>
      </vt:variant>
      <vt:variant>
        <vt:lpwstr>_Toc92402643</vt:lpwstr>
      </vt:variant>
      <vt:variant>
        <vt:i4>1114171</vt:i4>
      </vt:variant>
      <vt:variant>
        <vt:i4>32</vt:i4>
      </vt:variant>
      <vt:variant>
        <vt:i4>0</vt:i4>
      </vt:variant>
      <vt:variant>
        <vt:i4>5</vt:i4>
      </vt:variant>
      <vt:variant>
        <vt:lpwstr/>
      </vt:variant>
      <vt:variant>
        <vt:lpwstr>_Toc92402642</vt:lpwstr>
      </vt:variant>
      <vt:variant>
        <vt:i4>1179707</vt:i4>
      </vt:variant>
      <vt:variant>
        <vt:i4>26</vt:i4>
      </vt:variant>
      <vt:variant>
        <vt:i4>0</vt:i4>
      </vt:variant>
      <vt:variant>
        <vt:i4>5</vt:i4>
      </vt:variant>
      <vt:variant>
        <vt:lpwstr/>
      </vt:variant>
      <vt:variant>
        <vt:lpwstr>_Toc92402641</vt:lpwstr>
      </vt:variant>
      <vt:variant>
        <vt:i4>1245243</vt:i4>
      </vt:variant>
      <vt:variant>
        <vt:i4>20</vt:i4>
      </vt:variant>
      <vt:variant>
        <vt:i4>0</vt:i4>
      </vt:variant>
      <vt:variant>
        <vt:i4>5</vt:i4>
      </vt:variant>
      <vt:variant>
        <vt:lpwstr/>
      </vt:variant>
      <vt:variant>
        <vt:lpwstr>_Toc92402640</vt:lpwstr>
      </vt:variant>
      <vt:variant>
        <vt:i4>1703996</vt:i4>
      </vt:variant>
      <vt:variant>
        <vt:i4>14</vt:i4>
      </vt:variant>
      <vt:variant>
        <vt:i4>0</vt:i4>
      </vt:variant>
      <vt:variant>
        <vt:i4>5</vt:i4>
      </vt:variant>
      <vt:variant>
        <vt:lpwstr/>
      </vt:variant>
      <vt:variant>
        <vt:lpwstr>_Toc92402639</vt:lpwstr>
      </vt:variant>
      <vt:variant>
        <vt:i4>1769532</vt:i4>
      </vt:variant>
      <vt:variant>
        <vt:i4>8</vt:i4>
      </vt:variant>
      <vt:variant>
        <vt:i4>0</vt:i4>
      </vt:variant>
      <vt:variant>
        <vt:i4>5</vt:i4>
      </vt:variant>
      <vt:variant>
        <vt:lpwstr/>
      </vt:variant>
      <vt:variant>
        <vt:lpwstr>_Toc92402638</vt:lpwstr>
      </vt:variant>
      <vt:variant>
        <vt:i4>1310780</vt:i4>
      </vt:variant>
      <vt:variant>
        <vt:i4>2</vt:i4>
      </vt:variant>
      <vt:variant>
        <vt:i4>0</vt:i4>
      </vt:variant>
      <vt:variant>
        <vt:i4>5</vt:i4>
      </vt:variant>
      <vt:variant>
        <vt:lpwstr/>
      </vt:variant>
      <vt:variant>
        <vt:lpwstr>_Toc92402637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Akanksha</dc:creator>
  <cp:lastModifiedBy>cristinadffdf</cp:lastModifiedBy>
</cp:coreProperties>
</file>