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1020473171"/>
        <w:docPartObj>
          <w:docPartGallery w:val="Cover Pages"/>
          <w:docPartUnique/>
        </w:docPartObj>
      </w:sdtPr>
      <w:sdtEndPr>
        <w:rPr>
          <w:rFonts w:eastAsiaTheme="minorHAnsi"/>
          <w:kern w:val="2"/>
          <w:sz w:val="22"/>
          <w:lang w:eastAsia="en-US"/>
          <w14:ligatures w14:val="standardContextual"/>
        </w:rPr>
      </w:sdtEndPr>
      <w:sdtContent>
        <w:p w14:paraId="7AD630D0" w14:textId="444FE73E" w:rsidR="000B3D8F" w:rsidRDefault="000B3D8F">
          <w:pPr>
            <w:pStyle w:val="NoSpacing"/>
            <w:rPr>
              <w:sz w:val="2"/>
            </w:rPr>
          </w:pPr>
          <w:r>
            <w:rPr>
              <w:noProof/>
            </w:rPr>
            <mc:AlternateContent>
              <mc:Choice Requires="wps">
                <w:drawing>
                  <wp:anchor distT="0" distB="0" distL="114300" distR="114300" simplePos="0" relativeHeight="251661312" behindDoc="0" locked="0" layoutInCell="1" allowOverlap="1" wp14:anchorId="68A728D1" wp14:editId="4D86FF75">
                    <wp:simplePos x="0" y="0"/>
                    <wp:positionH relativeFrom="page">
                      <wp:posOffset>350520</wp:posOffset>
                    </wp:positionH>
                    <wp:positionV relativeFrom="margin">
                      <wp:align>top</wp:align>
                    </wp:positionV>
                    <wp:extent cx="6926580" cy="914400"/>
                    <wp:effectExtent l="0" t="0" r="0" b="2540"/>
                    <wp:wrapNone/>
                    <wp:docPr id="62" name="Text Box 15"/>
                    <wp:cNvGraphicFramePr/>
                    <a:graphic xmlns:a="http://schemas.openxmlformats.org/drawingml/2006/main">
                      <a:graphicData uri="http://schemas.microsoft.com/office/word/2010/wordprocessingShape">
                        <wps:wsp>
                          <wps:cNvSpPr txBox="1"/>
                          <wps:spPr>
                            <a:xfrm>
                              <a:off x="0" y="0"/>
                              <a:ext cx="692658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0E8CED6" w14:textId="30D75759" w:rsidR="000B3D8F" w:rsidRDefault="000B3D8F">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Introducing the modern workplace</w:t>
                                    </w:r>
                                  </w:p>
                                </w:sdtContent>
                              </w:sdt>
                              <w:p w14:paraId="3E53BA50" w14:textId="16583DA4" w:rsidR="000B3D8F" w:rsidRDefault="000B3D8F">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w:t>
                                    </w:r>
                                    <w:r w:rsidRPr="000B3D8F">
                                      <w:rPr>
                                        <w:color w:val="4472C4" w:themeColor="accent1"/>
                                        <w:sz w:val="36"/>
                                        <w:szCs w:val="36"/>
                                      </w:rPr>
                                      <w:t>LCBB4003</w:t>
                                    </w:r>
                                    <w:r>
                                      <w:rPr>
                                        <w:color w:val="4472C4" w:themeColor="accent1"/>
                                        <w:sz w:val="36"/>
                                        <w:szCs w:val="36"/>
                                      </w:rPr>
                                      <w:t>)</w:t>
                                    </w:r>
                                  </w:sdtContent>
                                </w:sdt>
                                <w:r>
                                  <w:t xml:space="preserve"> </w:t>
                                </w:r>
                              </w:p>
                              <w:p w14:paraId="2D1F6F59" w14:textId="77777777" w:rsidR="000B3D8F" w:rsidRDefault="000B3D8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anchor>
                </w:drawing>
              </mc:Choice>
              <mc:Fallback>
                <w:pict>
                  <v:shapetype w14:anchorId="68A728D1" id="_x0000_t202" coordsize="21600,21600" o:spt="202" path="m,l,21600r21600,l21600,xe">
                    <v:stroke joinstyle="miter"/>
                    <v:path gradientshapeok="t" o:connecttype="rect"/>
                  </v:shapetype>
                  <v:shape id="Text Box 15" o:spid="_x0000_s1026" type="#_x0000_t202" style="position:absolute;margin-left:27.6pt;margin-top:0;width:545.4pt;height:1in;z-index:251661312;visibility:visible;mso-wrap-style:square;mso-width-percent:0;mso-wrap-distance-left:9pt;mso-wrap-distance-top:0;mso-wrap-distance-right:9pt;mso-wrap-distance-bottom:0;mso-position-horizontal:absolute;mso-position-horizontal-relative:page;mso-position-vertical:top;mso-position-vertical-relative:margin;mso-width-percent:0;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0E8CED6" w14:textId="30D75759" w:rsidR="000B3D8F" w:rsidRDefault="000B3D8F">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Introducing the modern workplace</w:t>
                              </w:r>
                            </w:p>
                          </w:sdtContent>
                        </w:sdt>
                        <w:p w14:paraId="3E53BA50" w14:textId="16583DA4" w:rsidR="000B3D8F" w:rsidRDefault="000B3D8F">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w:t>
                              </w:r>
                              <w:r w:rsidRPr="000B3D8F">
                                <w:rPr>
                                  <w:color w:val="4472C4" w:themeColor="accent1"/>
                                  <w:sz w:val="36"/>
                                  <w:szCs w:val="36"/>
                                </w:rPr>
                                <w:t>LCBB4003</w:t>
                              </w:r>
                              <w:r>
                                <w:rPr>
                                  <w:color w:val="4472C4" w:themeColor="accent1"/>
                                  <w:sz w:val="36"/>
                                  <w:szCs w:val="36"/>
                                </w:rPr>
                                <w:t>)</w:t>
                              </w:r>
                            </w:sdtContent>
                          </w:sdt>
                          <w:r>
                            <w:t xml:space="preserve"> </w:t>
                          </w:r>
                        </w:p>
                        <w:p w14:paraId="2D1F6F59" w14:textId="77777777" w:rsidR="000B3D8F" w:rsidRDefault="000B3D8F"/>
                      </w:txbxContent>
                    </v:textbox>
                    <w10:wrap anchorx="page" anchory="margin"/>
                  </v:shape>
                </w:pict>
              </mc:Fallback>
            </mc:AlternateContent>
          </w:r>
        </w:p>
        <w:p w14:paraId="061B8417" w14:textId="6664CE6C" w:rsidR="000B3D8F" w:rsidRDefault="000B3D8F">
          <w:r>
            <w:rPr>
              <w:noProof/>
              <w:color w:val="4472C4" w:themeColor="accent1"/>
              <w:sz w:val="36"/>
              <w:szCs w:val="36"/>
            </w:rPr>
            <mc:AlternateContent>
              <mc:Choice Requires="wpg">
                <w:drawing>
                  <wp:anchor distT="0" distB="0" distL="114300" distR="114300" simplePos="0" relativeHeight="251660288" behindDoc="1" locked="0" layoutInCell="1" allowOverlap="1" wp14:anchorId="7507D03E" wp14:editId="47CCCD63">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26850EE"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16F03A57" wp14:editId="18FADA40">
                    <wp:simplePos x="0" y="0"/>
                    <wp:positionH relativeFrom="page">
                      <wp:align>center</wp:align>
                    </wp:positionH>
                    <wp:positionV relativeFrom="margin">
                      <wp:align>bottom</wp:align>
                    </wp:positionV>
                    <wp:extent cx="5943600" cy="374904"/>
                    <wp:effectExtent l="0" t="0" r="0" b="2540"/>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F107D8" w14:textId="0FE5409C" w:rsidR="000B3D8F" w:rsidRDefault="000B3D8F">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 xml:space="preserve">PR: DUDLEY OFORI </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7C6B18D" w14:textId="534D0ACA" w:rsidR="000B3D8F" w:rsidRDefault="000B3D8F">
                                    <w:pPr>
                                      <w:pStyle w:val="NoSpacing"/>
                                      <w:jc w:val="right"/>
                                      <w:rPr>
                                        <w:color w:val="4472C4" w:themeColor="accent1"/>
                                        <w:sz w:val="36"/>
                                        <w:szCs w:val="36"/>
                                      </w:rPr>
                                    </w:pPr>
                                    <w:r>
                                      <w:rPr>
                                        <w:color w:val="4472C4" w:themeColor="accent1"/>
                                        <w:sz w:val="36"/>
                                        <w:szCs w:val="36"/>
                                      </w:rPr>
                                      <w:t>ST: MALINA GABRIELA BOJEAN</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16F03A57" id="Text Box 16"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46F107D8" w14:textId="0FE5409C" w:rsidR="000B3D8F" w:rsidRDefault="000B3D8F">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 xml:space="preserve">PR: DUDLEY OFORI </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7C6B18D" w14:textId="534D0ACA" w:rsidR="000B3D8F" w:rsidRDefault="000B3D8F">
                              <w:pPr>
                                <w:pStyle w:val="NoSpacing"/>
                                <w:jc w:val="right"/>
                                <w:rPr>
                                  <w:color w:val="4472C4" w:themeColor="accent1"/>
                                  <w:sz w:val="36"/>
                                  <w:szCs w:val="36"/>
                                </w:rPr>
                              </w:pPr>
                              <w:r>
                                <w:rPr>
                                  <w:color w:val="4472C4" w:themeColor="accent1"/>
                                  <w:sz w:val="36"/>
                                  <w:szCs w:val="36"/>
                                </w:rPr>
                                <w:t>ST: MALINA GABRIELA BOJEAN</w:t>
                              </w:r>
                            </w:p>
                          </w:sdtContent>
                        </w:sdt>
                      </w:txbxContent>
                    </v:textbox>
                    <w10:wrap anchorx="page" anchory="margin"/>
                  </v:shape>
                </w:pict>
              </mc:Fallback>
            </mc:AlternateContent>
          </w:r>
        </w:p>
        <w:p w14:paraId="5ABD89DD" w14:textId="6A937707" w:rsidR="000B3D8F" w:rsidRDefault="000B3D8F">
          <w:r>
            <w:br w:type="page"/>
          </w:r>
        </w:p>
      </w:sdtContent>
    </w:sdt>
    <w:p w14:paraId="467436ED" w14:textId="5C6A2E18" w:rsidR="000B3D8F" w:rsidRPr="00345C13" w:rsidRDefault="00345C13" w:rsidP="002C31B9">
      <w:pPr>
        <w:spacing w:line="276" w:lineRule="auto"/>
        <w:jc w:val="both"/>
        <w:rPr>
          <w:b/>
          <w:bCs/>
          <w:sz w:val="28"/>
          <w:szCs w:val="28"/>
        </w:rPr>
      </w:pPr>
      <w:r w:rsidRPr="00345C13">
        <w:rPr>
          <w:b/>
          <w:bCs/>
          <w:sz w:val="28"/>
          <w:szCs w:val="28"/>
        </w:rPr>
        <w:lastRenderedPageBreak/>
        <w:t>I. Introduction</w:t>
      </w:r>
      <w:r w:rsidR="000B3D8F" w:rsidRPr="00345C13">
        <w:rPr>
          <w:b/>
          <w:bCs/>
          <w:sz w:val="28"/>
          <w:szCs w:val="28"/>
        </w:rPr>
        <w:t>:</w:t>
      </w:r>
    </w:p>
    <w:p w14:paraId="49ACE87E" w14:textId="77777777" w:rsidR="002911CC" w:rsidRDefault="002911CC" w:rsidP="002C31B9">
      <w:pPr>
        <w:spacing w:line="276" w:lineRule="auto"/>
        <w:jc w:val="both"/>
      </w:pPr>
      <w:r>
        <w:t>In the dynamic landscape of contemporary business, organisations grapple with multifaceted challenges and opportunities that necessitate a nuanced understanding of key concepts. This essay embarks on an exploration of Philips, a globally renowned company in the technology and healthcare sectors. The scrutiny will revolve around three pivotal concepts: organisational structure, culture, and individual motivation. Grounded in the foundations of the strategic management process, SWOT analysis, corporate social responsibility (CSR), and stakeholder theory, this analysis seeks to unravel the importance of these concepts in steering organisational success.</w:t>
      </w:r>
    </w:p>
    <w:p w14:paraId="09601659" w14:textId="77777777" w:rsidR="002911CC" w:rsidRDefault="002911CC" w:rsidP="002C31B9">
      <w:pPr>
        <w:spacing w:line="276" w:lineRule="auto"/>
        <w:jc w:val="both"/>
      </w:pPr>
    </w:p>
    <w:p w14:paraId="08C8B4D0" w14:textId="019AAA48" w:rsidR="002911CC" w:rsidRPr="002911CC" w:rsidRDefault="002911CC" w:rsidP="002C31B9">
      <w:pPr>
        <w:spacing w:line="276" w:lineRule="auto"/>
        <w:jc w:val="both"/>
        <w:rPr>
          <w:b/>
          <w:bCs/>
        </w:rPr>
      </w:pPr>
      <w:r w:rsidRPr="002911CC">
        <w:rPr>
          <w:b/>
          <w:bCs/>
        </w:rPr>
        <w:t>Conceptual Foundations:</w:t>
      </w:r>
    </w:p>
    <w:p w14:paraId="5C5DBF1F" w14:textId="25834DB8" w:rsidR="002911CC" w:rsidRPr="002911CC" w:rsidRDefault="002911CC" w:rsidP="002C31B9">
      <w:pPr>
        <w:spacing w:line="276" w:lineRule="auto"/>
        <w:jc w:val="both"/>
        <w:rPr>
          <w:b/>
          <w:bCs/>
        </w:rPr>
      </w:pPr>
      <w:r w:rsidRPr="002911CC">
        <w:rPr>
          <w:b/>
          <w:bCs/>
        </w:rPr>
        <w:t>Strategic Management Process:</w:t>
      </w:r>
    </w:p>
    <w:p w14:paraId="1379EFF7" w14:textId="77777777" w:rsidR="002911CC" w:rsidRDefault="002911CC" w:rsidP="002C31B9">
      <w:pPr>
        <w:spacing w:line="276" w:lineRule="auto"/>
        <w:jc w:val="both"/>
      </w:pPr>
      <w:r>
        <w:t>The strategic management process encompasses the formulation, implementation, and evaluation of organisational strategies to achieve long-term goals. It provides a structured approach for aligning an organisation's internal capabilities with external opportunities and threats. For Philips, strategic management ensures a systematic decision-making process to navigate the complexities of its diverse business domains, including healthcare, consumer lifestyle, and lighting.</w:t>
      </w:r>
    </w:p>
    <w:p w14:paraId="47F79931" w14:textId="77777777" w:rsidR="002911CC" w:rsidRDefault="002911CC" w:rsidP="002C31B9">
      <w:pPr>
        <w:spacing w:line="276" w:lineRule="auto"/>
        <w:jc w:val="both"/>
      </w:pPr>
    </w:p>
    <w:p w14:paraId="65C6EB9E" w14:textId="39496336" w:rsidR="002911CC" w:rsidRPr="002911CC" w:rsidRDefault="002911CC" w:rsidP="002C31B9">
      <w:pPr>
        <w:spacing w:line="276" w:lineRule="auto"/>
        <w:jc w:val="both"/>
        <w:rPr>
          <w:b/>
          <w:bCs/>
        </w:rPr>
      </w:pPr>
      <w:r w:rsidRPr="002911CC">
        <w:rPr>
          <w:b/>
          <w:bCs/>
        </w:rPr>
        <w:t>SWOT Analysis:</w:t>
      </w:r>
    </w:p>
    <w:p w14:paraId="1B49FF31" w14:textId="77777777" w:rsidR="002911CC" w:rsidRDefault="002911CC" w:rsidP="002C31B9">
      <w:pPr>
        <w:spacing w:line="276" w:lineRule="auto"/>
        <w:jc w:val="both"/>
      </w:pPr>
      <w:r>
        <w:t>SWOT analysis evaluates an organisation's strengths, weaknesses, opportunities, and threats. Philips leverages SWOT analysis to gain insights into its internal competencies (e.g., technological innovation in healthcare solutions) and external factors (e.g., competitive market dynamics). This analysis informs strategic decision-making by identifying areas for improvement, potential growth avenues, and risks that require mitigation.</w:t>
      </w:r>
    </w:p>
    <w:p w14:paraId="00CFC43C" w14:textId="77777777" w:rsidR="002911CC" w:rsidRDefault="002911CC" w:rsidP="002C31B9">
      <w:pPr>
        <w:spacing w:line="276" w:lineRule="auto"/>
        <w:jc w:val="both"/>
      </w:pPr>
    </w:p>
    <w:p w14:paraId="6D1EFF95" w14:textId="4F6FEC04" w:rsidR="002911CC" w:rsidRPr="002911CC" w:rsidRDefault="002911CC" w:rsidP="002C31B9">
      <w:pPr>
        <w:spacing w:line="276" w:lineRule="auto"/>
        <w:jc w:val="both"/>
        <w:rPr>
          <w:b/>
          <w:bCs/>
        </w:rPr>
      </w:pPr>
      <w:r w:rsidRPr="002911CC">
        <w:rPr>
          <w:b/>
          <w:bCs/>
        </w:rPr>
        <w:t>Corporate Social Responsibility (CSR):</w:t>
      </w:r>
    </w:p>
    <w:p w14:paraId="593FF1DC" w14:textId="77777777" w:rsidR="002911CC" w:rsidRDefault="002911CC" w:rsidP="002C31B9">
      <w:pPr>
        <w:spacing w:line="276" w:lineRule="auto"/>
        <w:jc w:val="both"/>
      </w:pPr>
      <w:r>
        <w:t>CSR involves an organisation's commitment to ethical and socially responsible practices that extend beyond profit-making. Philips, deeply entrenched in the healthcare sector, integrates CSR into its business model. Initiatives such as access to healthcare in underserved communities, eco-friendly product design, and responsible supply chain management exemplify Philips' dedication to societal well-being.</w:t>
      </w:r>
    </w:p>
    <w:p w14:paraId="2BAB94E6" w14:textId="77777777" w:rsidR="002911CC" w:rsidRDefault="002911CC" w:rsidP="002C31B9">
      <w:pPr>
        <w:spacing w:line="276" w:lineRule="auto"/>
        <w:jc w:val="both"/>
        <w:rPr>
          <w:b/>
          <w:bCs/>
        </w:rPr>
      </w:pPr>
    </w:p>
    <w:p w14:paraId="50806D3D" w14:textId="1C9F7080" w:rsidR="002911CC" w:rsidRPr="002911CC" w:rsidRDefault="002911CC" w:rsidP="002C31B9">
      <w:pPr>
        <w:spacing w:line="276" w:lineRule="auto"/>
        <w:jc w:val="both"/>
        <w:rPr>
          <w:b/>
          <w:bCs/>
        </w:rPr>
      </w:pPr>
      <w:r w:rsidRPr="002911CC">
        <w:rPr>
          <w:b/>
          <w:bCs/>
        </w:rPr>
        <w:t>Stakeholders:</w:t>
      </w:r>
    </w:p>
    <w:p w14:paraId="44409D64" w14:textId="77777777" w:rsidR="002911CC" w:rsidRDefault="002911CC" w:rsidP="002C31B9">
      <w:pPr>
        <w:spacing w:line="276" w:lineRule="auto"/>
        <w:jc w:val="both"/>
      </w:pPr>
      <w:r>
        <w:t>Stakeholder theory posits that organisations should consider the interests of various stakeholders, including employees, customers, suppliers, and communities. Philips recognizes the significance of stakeholders in its success. For instance, the company collaborates with healthcare professionals to develop innovative medical solutions and engages with communities through CSR initiatives, aligning its strategies with the diverse needs of stakeholders.</w:t>
      </w:r>
    </w:p>
    <w:p w14:paraId="3FB3E34D" w14:textId="628FDDE6" w:rsidR="002911CC" w:rsidRPr="002911CC" w:rsidRDefault="002911CC" w:rsidP="002C31B9">
      <w:pPr>
        <w:spacing w:line="276" w:lineRule="auto"/>
        <w:jc w:val="both"/>
        <w:rPr>
          <w:b/>
          <w:bCs/>
        </w:rPr>
      </w:pPr>
      <w:r w:rsidRPr="002911CC">
        <w:rPr>
          <w:b/>
          <w:bCs/>
        </w:rPr>
        <w:lastRenderedPageBreak/>
        <w:t>Different Types of the Phenomenon:</w:t>
      </w:r>
    </w:p>
    <w:p w14:paraId="41A80E12" w14:textId="60C1B070" w:rsidR="002911CC" w:rsidRPr="002911CC" w:rsidRDefault="002911CC" w:rsidP="002C31B9">
      <w:pPr>
        <w:spacing w:line="276" w:lineRule="auto"/>
        <w:jc w:val="both"/>
        <w:rPr>
          <w:b/>
          <w:bCs/>
        </w:rPr>
      </w:pPr>
      <w:r w:rsidRPr="002911CC">
        <w:rPr>
          <w:b/>
          <w:bCs/>
        </w:rPr>
        <w:t>Organisational Structure:</w:t>
      </w:r>
    </w:p>
    <w:p w14:paraId="6730A346" w14:textId="77777777" w:rsidR="002911CC" w:rsidRDefault="002911CC" w:rsidP="002C31B9">
      <w:pPr>
        <w:spacing w:line="276" w:lineRule="auto"/>
        <w:jc w:val="both"/>
      </w:pPr>
      <w:r>
        <w:t>Philips exhibits a matrix organisational structure, combining functional and divisional elements. This hybrid model accommodates the complexities of its diversified business segments, ensuring efficient coordination while allowing flexibility in responding to unique industry demands.</w:t>
      </w:r>
    </w:p>
    <w:p w14:paraId="4FF4B35C" w14:textId="77777777" w:rsidR="002911CC" w:rsidRDefault="002911CC" w:rsidP="002C31B9">
      <w:pPr>
        <w:spacing w:line="276" w:lineRule="auto"/>
        <w:jc w:val="both"/>
      </w:pPr>
    </w:p>
    <w:p w14:paraId="6282F1ED" w14:textId="2F22AFDE" w:rsidR="002911CC" w:rsidRPr="002911CC" w:rsidRDefault="002911CC" w:rsidP="002C31B9">
      <w:pPr>
        <w:spacing w:line="276" w:lineRule="auto"/>
        <w:jc w:val="both"/>
        <w:rPr>
          <w:b/>
          <w:bCs/>
        </w:rPr>
      </w:pPr>
      <w:r w:rsidRPr="002911CC">
        <w:rPr>
          <w:b/>
          <w:bCs/>
        </w:rPr>
        <w:t>Organisational Culture:</w:t>
      </w:r>
    </w:p>
    <w:p w14:paraId="5487FF51" w14:textId="77777777" w:rsidR="002911CC" w:rsidRDefault="002911CC" w:rsidP="002C31B9">
      <w:pPr>
        <w:spacing w:line="276" w:lineRule="auto"/>
        <w:jc w:val="both"/>
      </w:pPr>
      <w:r>
        <w:t>Philips fosters a culture of innovation and collaboration, essential in the technology and healthcare sectors. The company values a forward-thinking mindset, encouraging employees to contribute to groundbreaking solutions. This cultural aspect permeates the organisation, influencing product development, customer relations, and overall performance.</w:t>
      </w:r>
    </w:p>
    <w:p w14:paraId="005AA7B0" w14:textId="77777777" w:rsidR="002911CC" w:rsidRDefault="002911CC" w:rsidP="002C31B9">
      <w:pPr>
        <w:spacing w:line="276" w:lineRule="auto"/>
        <w:jc w:val="both"/>
      </w:pPr>
    </w:p>
    <w:p w14:paraId="11458972" w14:textId="00614863" w:rsidR="002911CC" w:rsidRPr="002911CC" w:rsidRDefault="002911CC" w:rsidP="002C31B9">
      <w:pPr>
        <w:spacing w:line="276" w:lineRule="auto"/>
        <w:jc w:val="both"/>
        <w:rPr>
          <w:b/>
          <w:bCs/>
        </w:rPr>
      </w:pPr>
      <w:r w:rsidRPr="002911CC">
        <w:rPr>
          <w:b/>
          <w:bCs/>
        </w:rPr>
        <w:t>Individual Motivation:</w:t>
      </w:r>
    </w:p>
    <w:p w14:paraId="33B68F64" w14:textId="77777777" w:rsidR="002911CC" w:rsidRDefault="002911CC" w:rsidP="002C31B9">
      <w:pPr>
        <w:spacing w:line="276" w:lineRule="auto"/>
        <w:jc w:val="both"/>
      </w:pPr>
      <w:r>
        <w:t>Philips employs diverse motivation strategies, including recognition programs, skill development, and employee well-being initiatives. For instance, in the healthcare division, employees are motivated by the impact of their work on improving patient outcomes, aligning personal motivation with the broader societal benefit.</w:t>
      </w:r>
    </w:p>
    <w:p w14:paraId="03E5E2CE" w14:textId="77777777" w:rsidR="002911CC" w:rsidRDefault="002911CC" w:rsidP="002C31B9">
      <w:pPr>
        <w:spacing w:line="276" w:lineRule="auto"/>
        <w:jc w:val="both"/>
      </w:pPr>
    </w:p>
    <w:p w14:paraId="45AC4F91" w14:textId="5BC9EB7B" w:rsidR="002911CC" w:rsidRPr="002911CC" w:rsidRDefault="002911CC" w:rsidP="002C31B9">
      <w:pPr>
        <w:spacing w:line="276" w:lineRule="auto"/>
        <w:jc w:val="both"/>
        <w:rPr>
          <w:b/>
          <w:bCs/>
          <w:sz w:val="28"/>
          <w:szCs w:val="28"/>
        </w:rPr>
      </w:pPr>
      <w:r w:rsidRPr="002911CC">
        <w:rPr>
          <w:b/>
          <w:bCs/>
          <w:sz w:val="28"/>
          <w:szCs w:val="28"/>
        </w:rPr>
        <w:t>II. Strategic Management Process and Philips</w:t>
      </w:r>
      <w:r w:rsidRPr="002911CC">
        <w:rPr>
          <w:b/>
          <w:bCs/>
          <w:sz w:val="28"/>
          <w:szCs w:val="28"/>
        </w:rPr>
        <w:t>:</w:t>
      </w:r>
    </w:p>
    <w:p w14:paraId="72C9F5B1" w14:textId="3E3803F8" w:rsidR="002911CC" w:rsidRPr="002911CC" w:rsidRDefault="002911CC" w:rsidP="002C31B9">
      <w:pPr>
        <w:spacing w:line="276" w:lineRule="auto"/>
        <w:jc w:val="both"/>
        <w:rPr>
          <w:b/>
          <w:bCs/>
        </w:rPr>
      </w:pPr>
      <w:r w:rsidRPr="002911CC">
        <w:rPr>
          <w:b/>
          <w:bCs/>
        </w:rPr>
        <w:t>A. Overview of Strategic Management Process:</w:t>
      </w:r>
    </w:p>
    <w:p w14:paraId="48E38E19" w14:textId="77777777" w:rsidR="002911CC" w:rsidRDefault="002911CC" w:rsidP="002C31B9">
      <w:pPr>
        <w:spacing w:line="276" w:lineRule="auto"/>
        <w:jc w:val="both"/>
      </w:pPr>
      <w:r>
        <w:t>The strategic management process serves as a comprehensive framework for organisations to formulate, implement, and evaluate strategies aimed at achieving long-term goals. In essence, it provides a roadmap for aligning an organisation's internal capabilities with external opportunities and threats, facilitating a systematic approach to decision-making.</w:t>
      </w:r>
    </w:p>
    <w:p w14:paraId="5CCF263A" w14:textId="77777777" w:rsidR="002911CC" w:rsidRDefault="002911CC" w:rsidP="002C31B9">
      <w:pPr>
        <w:spacing w:line="276" w:lineRule="auto"/>
        <w:jc w:val="both"/>
      </w:pPr>
    </w:p>
    <w:p w14:paraId="5050A4DA" w14:textId="759708C2" w:rsidR="002911CC" w:rsidRPr="002911CC" w:rsidRDefault="002911CC" w:rsidP="002C31B9">
      <w:pPr>
        <w:spacing w:line="276" w:lineRule="auto"/>
        <w:jc w:val="both"/>
        <w:rPr>
          <w:b/>
          <w:bCs/>
        </w:rPr>
      </w:pPr>
      <w:r w:rsidRPr="002911CC">
        <w:rPr>
          <w:b/>
          <w:bCs/>
        </w:rPr>
        <w:t>B. Application to Philips: Formulation, Implementation, and Evaluation:</w:t>
      </w:r>
    </w:p>
    <w:p w14:paraId="33F8FA91" w14:textId="1B2F853D" w:rsidR="002911CC" w:rsidRDefault="002911CC" w:rsidP="002C31B9">
      <w:pPr>
        <w:spacing w:line="276" w:lineRule="auto"/>
        <w:jc w:val="both"/>
      </w:pPr>
      <w:r>
        <w:t>Philips, operating in the dynamic realms of technology and healthcare, strategically employs the strategic management process to navigate its diverse business domains. The formulation phase involves assessing internal strengths, weaknesses, external opportunities, and threats, akin to a SWOT analysis. Philips meticulously evaluates its technological capabilities, market presence, and industry trends to derive a strategic direction.</w:t>
      </w:r>
    </w:p>
    <w:p w14:paraId="3D634B60" w14:textId="6D050B7F" w:rsidR="002911CC" w:rsidRDefault="002911CC" w:rsidP="002C31B9">
      <w:pPr>
        <w:spacing w:line="276" w:lineRule="auto"/>
        <w:jc w:val="both"/>
      </w:pPr>
      <w:r>
        <w:t>In the implementation phase, Philips executes its formulated strategies, leveraging its position as a leader in health technology. For example, the company invests in research and development to introduce innovative healthcare solutions, ranging from advanced imaging equipment to digital health platforms. This strategic focus aligns with the company's commitment to improving people's health and well-being through meaningful innovations.</w:t>
      </w:r>
    </w:p>
    <w:p w14:paraId="254F7FC3" w14:textId="77777777" w:rsidR="002911CC" w:rsidRDefault="002911CC" w:rsidP="002C31B9">
      <w:pPr>
        <w:spacing w:line="276" w:lineRule="auto"/>
        <w:jc w:val="both"/>
      </w:pPr>
      <w:r>
        <w:lastRenderedPageBreak/>
        <w:t>The evaluation phase is crucial for Philips to gauge the effectiveness of implemented strategies. The company employs key performance indicators (KPIs) to measure success, such as market share growth, customer satisfaction, and financial performance. Regular assessments allow Philips to adapt its strategies in response to evolving market dynamics and ensure alignment with overarching organisational goals.</w:t>
      </w:r>
    </w:p>
    <w:p w14:paraId="75E5262A" w14:textId="77777777" w:rsidR="002911CC" w:rsidRPr="002911CC" w:rsidRDefault="002911CC" w:rsidP="002C31B9">
      <w:pPr>
        <w:spacing w:line="276" w:lineRule="auto"/>
        <w:jc w:val="both"/>
        <w:rPr>
          <w:b/>
          <w:bCs/>
        </w:rPr>
      </w:pPr>
    </w:p>
    <w:p w14:paraId="674F8932" w14:textId="3AE7E33A" w:rsidR="002911CC" w:rsidRPr="002911CC" w:rsidRDefault="002911CC" w:rsidP="002C31B9">
      <w:pPr>
        <w:spacing w:line="276" w:lineRule="auto"/>
        <w:jc w:val="both"/>
        <w:rPr>
          <w:b/>
          <w:bCs/>
        </w:rPr>
      </w:pPr>
      <w:r w:rsidRPr="002911CC">
        <w:rPr>
          <w:b/>
          <w:bCs/>
        </w:rPr>
        <w:t>C. Role in Navigating Diverse Business Domains:</w:t>
      </w:r>
    </w:p>
    <w:p w14:paraId="08094823" w14:textId="7A917FFC" w:rsidR="002911CC" w:rsidRDefault="002911CC" w:rsidP="002C31B9">
      <w:pPr>
        <w:spacing w:line="276" w:lineRule="auto"/>
        <w:jc w:val="both"/>
      </w:pPr>
      <w:r>
        <w:t>Given Philips' diverse business domains spanning healthcare, consumer lifestyle, and lighting, the strategic management process plays a pivotal role in harmonizing the company's multifaceted operations. For instance, the healthcare division may have distinct strategic goals compared to the consumer lifestyle segment. The strategic management process facilitates coherence by ensuring that each business domain aligns with the overarching mission and adapts strategies to suit its unique challenges and opportunities.</w:t>
      </w:r>
    </w:p>
    <w:p w14:paraId="7A642D93" w14:textId="4AF02A3F" w:rsidR="002911CC" w:rsidRDefault="002911CC" w:rsidP="002C31B9">
      <w:pPr>
        <w:spacing w:line="276" w:lineRule="auto"/>
        <w:jc w:val="both"/>
      </w:pPr>
      <w:r>
        <w:t>Philips' strategic approach involves staying at the forefront of technological advancements in healthcare, positioning itself as an innovative leader. Simultaneously, in consumer lifestyle and lighting, the company aligns its strategies with evolving consumer preferences, sustainability goals, and advancements in energy-efficient technologies. The strategic management process at Philips, therefore, becomes an essential tool for navigating the complexities of diverse business domains, ensuring a cohesive and purposeful organisational direction.</w:t>
      </w:r>
    </w:p>
    <w:p w14:paraId="577584C9" w14:textId="703561A7" w:rsidR="002911CC" w:rsidRDefault="002911CC" w:rsidP="002C31B9">
      <w:pPr>
        <w:spacing w:line="276" w:lineRule="auto"/>
        <w:jc w:val="both"/>
      </w:pPr>
      <w:r>
        <w:t>As we delve deeper into Philips' strategic management practices, it becomes apparent that the company's success is not merely a result of its innovative products but is intrinsically linked to a systematic and adaptive approach to strategic decision-making. The next section will explore how Philips leverages SWOT analysis to gain insights into its internal competencies and external market dynamics.</w:t>
      </w:r>
    </w:p>
    <w:p w14:paraId="5CA65709" w14:textId="77777777" w:rsidR="002911CC" w:rsidRDefault="002911CC" w:rsidP="002C31B9">
      <w:pPr>
        <w:spacing w:line="276" w:lineRule="auto"/>
        <w:jc w:val="both"/>
      </w:pPr>
    </w:p>
    <w:p w14:paraId="105E775F" w14:textId="1E055D19" w:rsidR="002911CC" w:rsidRPr="002911CC" w:rsidRDefault="002911CC" w:rsidP="002C31B9">
      <w:pPr>
        <w:spacing w:line="276" w:lineRule="auto"/>
        <w:jc w:val="both"/>
        <w:rPr>
          <w:b/>
          <w:bCs/>
          <w:sz w:val="28"/>
          <w:szCs w:val="28"/>
        </w:rPr>
      </w:pPr>
      <w:r w:rsidRPr="002911CC">
        <w:rPr>
          <w:b/>
          <w:bCs/>
          <w:sz w:val="28"/>
          <w:szCs w:val="28"/>
        </w:rPr>
        <w:t xml:space="preserve">III. SWOT Analysis and Philips </w:t>
      </w:r>
    </w:p>
    <w:p w14:paraId="5311CDE0" w14:textId="4ED14F7D" w:rsidR="002911CC" w:rsidRPr="002C31B9" w:rsidRDefault="002911CC" w:rsidP="002C31B9">
      <w:pPr>
        <w:spacing w:line="276" w:lineRule="auto"/>
        <w:jc w:val="both"/>
        <w:rPr>
          <w:b/>
          <w:bCs/>
        </w:rPr>
      </w:pPr>
      <w:r w:rsidRPr="002C31B9">
        <w:rPr>
          <w:b/>
          <w:bCs/>
        </w:rPr>
        <w:t>A. Understanding SWOT Analysis:</w:t>
      </w:r>
    </w:p>
    <w:p w14:paraId="6D13F84B" w14:textId="77777777" w:rsidR="002911CC" w:rsidRDefault="002911CC" w:rsidP="002C31B9">
      <w:pPr>
        <w:spacing w:line="276" w:lineRule="auto"/>
        <w:jc w:val="both"/>
      </w:pPr>
      <w:r>
        <w:t>SWOT analysis is a strategic management tool that evaluates an organization's internal Strengths and Weaknesses and external Opportunities and Threats. This structured analysis provides insights into the current state of the organization and aids in strategic decision-making by identifying areas of improvement and potential avenues for growth.</w:t>
      </w:r>
    </w:p>
    <w:p w14:paraId="322940FF" w14:textId="77777777" w:rsidR="002911CC" w:rsidRPr="002C31B9" w:rsidRDefault="002911CC" w:rsidP="002C31B9">
      <w:pPr>
        <w:spacing w:line="276" w:lineRule="auto"/>
        <w:jc w:val="both"/>
        <w:rPr>
          <w:b/>
          <w:bCs/>
        </w:rPr>
      </w:pPr>
    </w:p>
    <w:p w14:paraId="231A5EC2" w14:textId="4EE34C38" w:rsidR="002911CC" w:rsidRPr="002C31B9" w:rsidRDefault="002911CC" w:rsidP="002C31B9">
      <w:pPr>
        <w:spacing w:line="276" w:lineRule="auto"/>
        <w:jc w:val="both"/>
        <w:rPr>
          <w:b/>
          <w:bCs/>
        </w:rPr>
      </w:pPr>
      <w:r w:rsidRPr="002C31B9">
        <w:rPr>
          <w:b/>
          <w:bCs/>
        </w:rPr>
        <w:t>B. Philips' Internal Strengths and Weaknesses:</w:t>
      </w:r>
    </w:p>
    <w:p w14:paraId="064D0C88" w14:textId="00EFEA12" w:rsidR="002911CC" w:rsidRDefault="002911CC" w:rsidP="002C31B9">
      <w:pPr>
        <w:spacing w:line="276" w:lineRule="auto"/>
        <w:jc w:val="both"/>
      </w:pPr>
      <w:r>
        <w:t>Philips, as a technology and healthcare giant, possesses internal strengths that underpin its market leadership. The company's strengths lie in its robust research and development capabilities, technological innovation, and a strong global brand presence. Philips' historical commitment to innovation has resulted in a diverse portfolio of cutting-edge products, from medical imaging equipment to consumer electronics.</w:t>
      </w:r>
    </w:p>
    <w:p w14:paraId="27F85A9A" w14:textId="0EF37355" w:rsidR="002911CC" w:rsidRPr="002C31B9" w:rsidRDefault="002911CC" w:rsidP="002C31B9">
      <w:pPr>
        <w:spacing w:line="276" w:lineRule="auto"/>
        <w:jc w:val="both"/>
        <w:rPr>
          <w:b/>
          <w:bCs/>
        </w:rPr>
      </w:pPr>
      <w:r w:rsidRPr="002C31B9">
        <w:rPr>
          <w:b/>
          <w:bCs/>
        </w:rPr>
        <w:lastRenderedPageBreak/>
        <w:t>C. External Opportunities and Threats:</w:t>
      </w:r>
    </w:p>
    <w:p w14:paraId="2D108820" w14:textId="2C9C3F99" w:rsidR="002911CC" w:rsidRDefault="002911CC" w:rsidP="002C31B9">
      <w:pPr>
        <w:spacing w:line="276" w:lineRule="auto"/>
        <w:jc w:val="both"/>
      </w:pPr>
      <w:r>
        <w:t xml:space="preserve">The external environment presents both opportunities and threats for Philips. Opportunities may arise from advancements in technology, emerging markets, and evolving consumer preferences. Philips, with its strong focus on innovation, </w:t>
      </w:r>
      <w:proofErr w:type="gramStart"/>
      <w:r>
        <w:t>has the opportunity to</w:t>
      </w:r>
      <w:proofErr w:type="gramEnd"/>
      <w:r>
        <w:t xml:space="preserve"> capitalize on the growing demand for healthcare solutions, especially in the context of the digital transformation of the healthcare industry.</w:t>
      </w:r>
    </w:p>
    <w:p w14:paraId="6E430BF7" w14:textId="77777777" w:rsidR="002911CC" w:rsidRDefault="002911CC" w:rsidP="002C31B9">
      <w:pPr>
        <w:spacing w:line="276" w:lineRule="auto"/>
        <w:jc w:val="both"/>
      </w:pPr>
      <w:r>
        <w:t>Conversely, external threats may come from factors such as competitive forces, regulatory changes, or economic uncertainties. Philips' global operations expose it to diverse regulatory landscapes and geopolitical influences. By conducting a SWOT analysis, the company can proactively navigate potential threats, whether by diversifying its market presence or adapting its product offerings to align with changing regulatory requirements.</w:t>
      </w:r>
    </w:p>
    <w:p w14:paraId="1D2EE27E" w14:textId="77777777" w:rsidR="002911CC" w:rsidRDefault="002911CC" w:rsidP="002C31B9">
      <w:pPr>
        <w:spacing w:line="276" w:lineRule="auto"/>
        <w:jc w:val="both"/>
      </w:pPr>
    </w:p>
    <w:p w14:paraId="4B25F29C" w14:textId="0140AD03" w:rsidR="002911CC" w:rsidRPr="002C31B9" w:rsidRDefault="002911CC" w:rsidP="002C31B9">
      <w:pPr>
        <w:spacing w:line="276" w:lineRule="auto"/>
        <w:jc w:val="both"/>
        <w:rPr>
          <w:b/>
          <w:bCs/>
        </w:rPr>
      </w:pPr>
      <w:r w:rsidRPr="002C31B9">
        <w:rPr>
          <w:b/>
          <w:bCs/>
        </w:rPr>
        <w:t>D. Influence on Strategic Decision-Making:</w:t>
      </w:r>
    </w:p>
    <w:p w14:paraId="6BD03672" w14:textId="2939EE72" w:rsidR="002911CC" w:rsidRDefault="002911CC" w:rsidP="002C31B9">
      <w:pPr>
        <w:spacing w:line="276" w:lineRule="auto"/>
        <w:jc w:val="both"/>
      </w:pPr>
      <w:r>
        <w:t>The insights derived from the SWOT analysis significantly influence Philips' strategic decision-making. Strengths provide a foundation upon which the company can build and leverage its competitive advantage. For example, recognizing the strength of its technological innovation, Philips can strategically invest in research and development to maintain a leadership position in emerging healthcare technologies.</w:t>
      </w:r>
    </w:p>
    <w:p w14:paraId="14AB0499" w14:textId="2E7D5CE7" w:rsidR="002911CC" w:rsidRDefault="002911CC" w:rsidP="002C31B9">
      <w:pPr>
        <w:spacing w:line="276" w:lineRule="auto"/>
        <w:jc w:val="both"/>
      </w:pPr>
      <w:r>
        <w:t>Weaknesses identified through the SWOT analysis serve as focal points for improvement. Philips may implement strategies to address operational inefficiencies, streamline business processes, or diversify its product offerings to mitigate weaknesses and enhance overall organizational resilience.</w:t>
      </w:r>
    </w:p>
    <w:p w14:paraId="38715A03" w14:textId="1A61CA36" w:rsidR="002911CC" w:rsidRDefault="002911CC" w:rsidP="002C31B9">
      <w:pPr>
        <w:spacing w:line="276" w:lineRule="auto"/>
        <w:jc w:val="both"/>
      </w:pPr>
      <w:r>
        <w:t>Opportunities identified in the external environment guide Philips in capitalizing on emerging trends. For instance, recognizing the opportunity in the growing demand for telehealth solutions, Philips can strategically position itself as a leader in providing remote patient monitoring and digital healthcare services.</w:t>
      </w:r>
    </w:p>
    <w:p w14:paraId="020549D0" w14:textId="6F96ED65" w:rsidR="002911CC" w:rsidRDefault="002911CC" w:rsidP="002C31B9">
      <w:pPr>
        <w:spacing w:line="276" w:lineRule="auto"/>
        <w:jc w:val="both"/>
      </w:pPr>
      <w:r>
        <w:t>Threats, when identified through SWOT analysis, prompt Philips to develop contingency plans. By proactively addressing potential challenges, such as changes in regulatory requirements or increased competition, Philips can navigate uncertainties more effectively, ensuring sustained growth and market relevance.</w:t>
      </w:r>
    </w:p>
    <w:p w14:paraId="25C98D7B" w14:textId="77777777" w:rsidR="002911CC" w:rsidRDefault="002911CC" w:rsidP="002C31B9">
      <w:pPr>
        <w:spacing w:line="276" w:lineRule="auto"/>
        <w:jc w:val="both"/>
      </w:pPr>
    </w:p>
    <w:p w14:paraId="01B40FA0" w14:textId="046E441D" w:rsidR="002911CC" w:rsidRPr="002911CC" w:rsidRDefault="002911CC" w:rsidP="002C31B9">
      <w:pPr>
        <w:spacing w:line="276" w:lineRule="auto"/>
        <w:jc w:val="both"/>
        <w:rPr>
          <w:b/>
          <w:bCs/>
          <w:sz w:val="28"/>
          <w:szCs w:val="28"/>
        </w:rPr>
      </w:pPr>
      <w:r w:rsidRPr="002911CC">
        <w:rPr>
          <w:b/>
          <w:bCs/>
          <w:sz w:val="28"/>
          <w:szCs w:val="28"/>
        </w:rPr>
        <w:t>IV. Corporate Social Responsibility (CSR) and Philips</w:t>
      </w:r>
      <w:r w:rsidRPr="002911CC">
        <w:rPr>
          <w:b/>
          <w:bCs/>
          <w:sz w:val="28"/>
          <w:szCs w:val="28"/>
        </w:rPr>
        <w:t>:</w:t>
      </w:r>
    </w:p>
    <w:p w14:paraId="0799D6E7" w14:textId="77777777" w:rsidR="002911CC" w:rsidRDefault="002911CC" w:rsidP="002C31B9">
      <w:pPr>
        <w:spacing w:line="276" w:lineRule="auto"/>
        <w:jc w:val="both"/>
      </w:pPr>
    </w:p>
    <w:p w14:paraId="67E63EEA" w14:textId="7B6C5F88" w:rsidR="002911CC" w:rsidRPr="002C31B9" w:rsidRDefault="002911CC" w:rsidP="002C31B9">
      <w:pPr>
        <w:spacing w:line="276" w:lineRule="auto"/>
        <w:jc w:val="both"/>
        <w:rPr>
          <w:b/>
          <w:bCs/>
        </w:rPr>
      </w:pPr>
      <w:r w:rsidRPr="002C31B9">
        <w:rPr>
          <w:b/>
          <w:bCs/>
        </w:rPr>
        <w:t>A. Definition and Significance of CSR:</w:t>
      </w:r>
    </w:p>
    <w:p w14:paraId="07089411" w14:textId="77777777" w:rsidR="002911CC" w:rsidRDefault="002911CC" w:rsidP="002C31B9">
      <w:pPr>
        <w:spacing w:line="276" w:lineRule="auto"/>
        <w:jc w:val="both"/>
      </w:pPr>
      <w:r>
        <w:t>Corporate Social Responsibility (CSR) is a commitment by organisations to conduct business in an ethical and socially responsible manner, considering the impact of their activities on various stakeholders, including employees, customers, communities, and the environment. CSR extends beyond profit-making and emphasizes contributions to societal well-being, environmental sustainability, and ethical business practices.</w:t>
      </w:r>
    </w:p>
    <w:p w14:paraId="6F2509B8" w14:textId="77777777" w:rsidR="002911CC" w:rsidRDefault="002911CC" w:rsidP="002C31B9">
      <w:pPr>
        <w:spacing w:line="276" w:lineRule="auto"/>
        <w:jc w:val="both"/>
      </w:pPr>
    </w:p>
    <w:p w14:paraId="4E773737" w14:textId="3AA03480" w:rsidR="002911CC" w:rsidRPr="002911CC" w:rsidRDefault="002911CC" w:rsidP="002C31B9">
      <w:pPr>
        <w:spacing w:line="276" w:lineRule="auto"/>
        <w:jc w:val="both"/>
        <w:rPr>
          <w:b/>
          <w:bCs/>
        </w:rPr>
      </w:pPr>
      <w:r w:rsidRPr="002911CC">
        <w:rPr>
          <w:b/>
          <w:bCs/>
        </w:rPr>
        <w:t>B. Philips' CSR Initiatives in Healthcare and Technology:</w:t>
      </w:r>
    </w:p>
    <w:p w14:paraId="3991E9B0" w14:textId="388AA9C8" w:rsidR="002911CC" w:rsidRDefault="002911CC" w:rsidP="002C31B9">
      <w:pPr>
        <w:spacing w:line="276" w:lineRule="auto"/>
        <w:jc w:val="both"/>
      </w:pPr>
      <w:r>
        <w:t>Philips, as a major player in healthcare and technology, integrates CSR into its business model, aligning its strategies with societal well-being. One notable initiative is the company's commitment to increasing access to healthcare in underserved communities. Philips collaborates with healthcare professionals and organizations to develop innovative solutions that address healthcare disparities globally.</w:t>
      </w:r>
    </w:p>
    <w:p w14:paraId="2DBEE020" w14:textId="77777777" w:rsidR="002911CC" w:rsidRDefault="002911CC" w:rsidP="002C31B9">
      <w:pPr>
        <w:spacing w:line="276" w:lineRule="auto"/>
        <w:jc w:val="both"/>
      </w:pPr>
      <w:r>
        <w:t>In the realm of technology, Philips emphasizes eco-friendly product design and responsible supply chain management. The company recognizes its responsibility to minimize its environmental footprint and actively seeks ways to reduce waste, energy consumption, and emissions in its manufacturing processes. By incorporating sustainability into its product lifecycle, Philips demonstrates a commitment to environmental stewardship.</w:t>
      </w:r>
    </w:p>
    <w:p w14:paraId="0EA907A4" w14:textId="77777777" w:rsidR="002911CC" w:rsidRDefault="002911CC" w:rsidP="002C31B9">
      <w:pPr>
        <w:spacing w:line="276" w:lineRule="auto"/>
        <w:jc w:val="both"/>
      </w:pPr>
    </w:p>
    <w:p w14:paraId="0655B124" w14:textId="6FB61D30" w:rsidR="002911CC" w:rsidRPr="002911CC" w:rsidRDefault="002911CC" w:rsidP="002C31B9">
      <w:pPr>
        <w:spacing w:line="276" w:lineRule="auto"/>
        <w:jc w:val="both"/>
        <w:rPr>
          <w:b/>
          <w:bCs/>
        </w:rPr>
      </w:pPr>
      <w:r w:rsidRPr="002911CC">
        <w:rPr>
          <w:b/>
          <w:bCs/>
        </w:rPr>
        <w:t>C. Integration into Business Model for Societal Well-being:</w:t>
      </w:r>
    </w:p>
    <w:p w14:paraId="6C1D0B8C" w14:textId="163AFAD9" w:rsidR="002911CC" w:rsidRDefault="002911CC" w:rsidP="002C31B9">
      <w:pPr>
        <w:spacing w:line="276" w:lineRule="auto"/>
        <w:jc w:val="both"/>
      </w:pPr>
      <w:r>
        <w:t>The integration of CSR into Philips' business model goes beyond philanthropy; it is a strategic choice that aligns the company's objectives with societal needs. For instance, Philips' initiatives to improve access to healthcare in underserved regions not only contribute to societal well-being but also create new market opportunities for the company. By addressing critical healthcare challenges, such as maternal and child mortality, Philips establishes itself as a responsible corporate citizen while expanding its market reach.</w:t>
      </w:r>
    </w:p>
    <w:p w14:paraId="0AF2056D" w14:textId="20A933F5" w:rsidR="002911CC" w:rsidRDefault="002911CC" w:rsidP="002C31B9">
      <w:pPr>
        <w:spacing w:line="276" w:lineRule="auto"/>
        <w:jc w:val="both"/>
      </w:pPr>
      <w:r>
        <w:t>The focus on eco-friendly product design and responsible supply chain management is another facet of Philips' CSR integration. The company recognizes that sustainable practices are not only ethically essential but also contribute to long-term business success. By adopting environmentally conscious approaches, Philips mitigates risks associated with climate change, meets evolving consumer expectations, and enhances its brand reputation.</w:t>
      </w:r>
    </w:p>
    <w:p w14:paraId="41E36D41" w14:textId="33D5FE03" w:rsidR="002911CC" w:rsidRDefault="002911CC" w:rsidP="002C31B9">
      <w:pPr>
        <w:spacing w:line="276" w:lineRule="auto"/>
        <w:jc w:val="both"/>
      </w:pPr>
    </w:p>
    <w:p w14:paraId="50406240" w14:textId="50374D0C" w:rsidR="002911CC" w:rsidRPr="002911CC" w:rsidRDefault="002911CC" w:rsidP="002C31B9">
      <w:pPr>
        <w:spacing w:line="276" w:lineRule="auto"/>
        <w:jc w:val="both"/>
        <w:rPr>
          <w:b/>
          <w:bCs/>
          <w:sz w:val="28"/>
          <w:szCs w:val="28"/>
        </w:rPr>
      </w:pPr>
      <w:r w:rsidRPr="002911CC">
        <w:rPr>
          <w:b/>
          <w:bCs/>
          <w:sz w:val="28"/>
          <w:szCs w:val="28"/>
        </w:rPr>
        <w:t>V. Stakeholder Theory and Philips</w:t>
      </w:r>
      <w:r w:rsidRPr="002911CC">
        <w:rPr>
          <w:b/>
          <w:bCs/>
          <w:sz w:val="28"/>
          <w:szCs w:val="28"/>
        </w:rPr>
        <w:t>:</w:t>
      </w:r>
    </w:p>
    <w:p w14:paraId="51060039" w14:textId="77777777" w:rsidR="002911CC" w:rsidRDefault="002911CC" w:rsidP="002C31B9">
      <w:pPr>
        <w:spacing w:line="276" w:lineRule="auto"/>
        <w:jc w:val="both"/>
      </w:pPr>
    </w:p>
    <w:p w14:paraId="2D0A42CA" w14:textId="1E477E9A" w:rsidR="002911CC" w:rsidRPr="002911CC" w:rsidRDefault="002911CC" w:rsidP="002C31B9">
      <w:pPr>
        <w:spacing w:line="276" w:lineRule="auto"/>
        <w:jc w:val="both"/>
        <w:rPr>
          <w:b/>
          <w:bCs/>
        </w:rPr>
      </w:pPr>
      <w:r w:rsidRPr="002911CC">
        <w:rPr>
          <w:b/>
          <w:bCs/>
        </w:rPr>
        <w:t>A. Stakeholder Theory in Organisational Context:</w:t>
      </w:r>
    </w:p>
    <w:p w14:paraId="7DB0FDA5" w14:textId="77777777" w:rsidR="002911CC" w:rsidRDefault="002911CC" w:rsidP="002C31B9">
      <w:pPr>
        <w:spacing w:line="276" w:lineRule="auto"/>
        <w:jc w:val="both"/>
      </w:pPr>
      <w:r>
        <w:t>Stakeholder theory posits that organisations should consider the interests of various stakeholders, including employees, customers, suppliers, communities, and shareholders, in their decision-making processes. The theory suggests that a balanced approach to managing stakeholder interests contributes to long-term organisational success and sustainability.</w:t>
      </w:r>
    </w:p>
    <w:p w14:paraId="09FFA0F9" w14:textId="77777777" w:rsidR="002911CC" w:rsidRDefault="002911CC" w:rsidP="002C31B9">
      <w:pPr>
        <w:spacing w:line="276" w:lineRule="auto"/>
        <w:jc w:val="both"/>
      </w:pPr>
    </w:p>
    <w:p w14:paraId="59469D74" w14:textId="77777777" w:rsidR="002911CC" w:rsidRDefault="002911CC" w:rsidP="002C31B9">
      <w:pPr>
        <w:spacing w:line="276" w:lineRule="auto"/>
        <w:jc w:val="both"/>
      </w:pPr>
    </w:p>
    <w:p w14:paraId="7C026B73" w14:textId="77777777" w:rsidR="002911CC" w:rsidRDefault="002911CC" w:rsidP="002C31B9">
      <w:pPr>
        <w:spacing w:line="276" w:lineRule="auto"/>
        <w:jc w:val="both"/>
      </w:pPr>
    </w:p>
    <w:p w14:paraId="6C11954F" w14:textId="77777777" w:rsidR="002911CC" w:rsidRDefault="002911CC" w:rsidP="002C31B9">
      <w:pPr>
        <w:spacing w:line="276" w:lineRule="auto"/>
        <w:jc w:val="both"/>
      </w:pPr>
    </w:p>
    <w:p w14:paraId="5EA4B6D6" w14:textId="7999D9DA" w:rsidR="002911CC" w:rsidRPr="002911CC" w:rsidRDefault="002911CC" w:rsidP="002C31B9">
      <w:pPr>
        <w:spacing w:line="276" w:lineRule="auto"/>
        <w:jc w:val="both"/>
        <w:rPr>
          <w:b/>
          <w:bCs/>
        </w:rPr>
      </w:pPr>
      <w:r w:rsidRPr="002911CC">
        <w:rPr>
          <w:b/>
          <w:bCs/>
        </w:rPr>
        <w:t>B. Philips' Recognition of Stakeholder Importance:</w:t>
      </w:r>
    </w:p>
    <w:p w14:paraId="5A2C9D9C" w14:textId="4B1F8907" w:rsidR="002911CC" w:rsidRDefault="002911CC" w:rsidP="002C31B9">
      <w:pPr>
        <w:spacing w:line="276" w:lineRule="auto"/>
        <w:jc w:val="both"/>
      </w:pPr>
      <w:r>
        <w:t>Philips, as a globally influential corporation, recognizes the significance of stakeholders in shaping its success trajectory. The company's stakeholder approach extends beyond a mere acknowledgment of diverse interests; it actively involves stakeholders in its decision-making processes. This inclusive strategy ensures that Philips' actions align with the expectations and needs of its diverse stakeholder groups.</w:t>
      </w:r>
    </w:p>
    <w:p w14:paraId="7CA744B5" w14:textId="77777777" w:rsidR="002911CC" w:rsidRDefault="002911CC" w:rsidP="002C31B9">
      <w:pPr>
        <w:spacing w:line="276" w:lineRule="auto"/>
        <w:jc w:val="both"/>
      </w:pPr>
      <w:r>
        <w:t>Stakeholder engagement at Philips involves not only understanding the concerns and expectations of stakeholders but also integrating their perspectives into the formulation and evaluation of organisational strategies. This approach reflects a commitment to transparency, accountability, and responsible corporate governance.</w:t>
      </w:r>
    </w:p>
    <w:p w14:paraId="3803C831" w14:textId="77777777" w:rsidR="002911CC" w:rsidRPr="002911CC" w:rsidRDefault="002911CC" w:rsidP="002C31B9">
      <w:pPr>
        <w:spacing w:line="276" w:lineRule="auto"/>
        <w:jc w:val="both"/>
        <w:rPr>
          <w:b/>
          <w:bCs/>
        </w:rPr>
      </w:pPr>
    </w:p>
    <w:p w14:paraId="6FF3A824" w14:textId="428A34FC" w:rsidR="002911CC" w:rsidRPr="002911CC" w:rsidRDefault="002911CC" w:rsidP="002C31B9">
      <w:pPr>
        <w:spacing w:line="276" w:lineRule="auto"/>
        <w:jc w:val="both"/>
        <w:rPr>
          <w:b/>
          <w:bCs/>
        </w:rPr>
      </w:pPr>
      <w:r w:rsidRPr="002911CC">
        <w:rPr>
          <w:b/>
          <w:bCs/>
        </w:rPr>
        <w:t>C. Alignment of Strategies with Stakeholder Interests:</w:t>
      </w:r>
    </w:p>
    <w:p w14:paraId="4CD07844" w14:textId="7593CF72" w:rsidR="002911CC" w:rsidRDefault="002911CC" w:rsidP="002C31B9">
      <w:pPr>
        <w:spacing w:line="276" w:lineRule="auto"/>
        <w:jc w:val="both"/>
      </w:pPr>
      <w:r>
        <w:t>Philips aligns its strategies with the diverse needs and interests of stakeholders. For instance, in the healthcare sector, the company collaborates closely with healthcare professionals, clinicians, and patient advocacy groups to co-create solutions that address specific healthcare challenges. By involving these stakeholders in the innovation process, Philips ensures that its healthcare technologies meet real-world needs and contribute to improved patient outcomes.</w:t>
      </w:r>
    </w:p>
    <w:p w14:paraId="1E0EC280" w14:textId="6D8A5CAA" w:rsidR="002911CC" w:rsidRDefault="002911CC" w:rsidP="002C31B9">
      <w:pPr>
        <w:spacing w:line="276" w:lineRule="auto"/>
        <w:jc w:val="both"/>
      </w:pPr>
      <w:r>
        <w:t>In the consumer electronics segment, Philips considers the preferences and expectations of customers when designing and launching new products. Consumer feedback and market trends play a crucial role in shaping the company's product development and marketing strategies. This customer-centric approach enhances product acceptance and market competitiveness.</w:t>
      </w:r>
    </w:p>
    <w:p w14:paraId="599FAA77" w14:textId="77777777" w:rsidR="002C31B9" w:rsidRDefault="002C31B9" w:rsidP="002C31B9">
      <w:pPr>
        <w:spacing w:line="276" w:lineRule="auto"/>
        <w:jc w:val="both"/>
      </w:pPr>
    </w:p>
    <w:p w14:paraId="72DB2CC2" w14:textId="09514279" w:rsidR="002C31B9" w:rsidRPr="002C31B9" w:rsidRDefault="002C31B9" w:rsidP="002C31B9">
      <w:pPr>
        <w:spacing w:line="276" w:lineRule="auto"/>
        <w:jc w:val="both"/>
        <w:rPr>
          <w:b/>
          <w:bCs/>
          <w:sz w:val="28"/>
          <w:szCs w:val="28"/>
        </w:rPr>
      </w:pPr>
      <w:r w:rsidRPr="002C31B9">
        <w:rPr>
          <w:b/>
          <w:bCs/>
          <w:sz w:val="28"/>
          <w:szCs w:val="28"/>
        </w:rPr>
        <w:t>VI. Conclusion:</w:t>
      </w:r>
    </w:p>
    <w:p w14:paraId="079C12C2" w14:textId="3E8CFDB9" w:rsidR="002C31B9" w:rsidRDefault="002C31B9" w:rsidP="002C31B9">
      <w:pPr>
        <w:spacing w:line="276" w:lineRule="auto"/>
        <w:jc w:val="both"/>
      </w:pPr>
      <w:r>
        <w:t>In the intricate tapestry of organisational success, Philips emerges as a paradigm of strategic acumen, ethical responsibility, and stakeholder synergy. This essay embarked on an exploration of the company's organizational structure, culture, and individual motivation, intricately woven into the fabric of strategic management processes, SWOT analysis, corporate social responsibility (CSR), and stakeholder theory.</w:t>
      </w:r>
    </w:p>
    <w:p w14:paraId="4D113994" w14:textId="6D9314AC" w:rsidR="002C31B9" w:rsidRDefault="002C31B9" w:rsidP="002C31B9">
      <w:pPr>
        <w:spacing w:line="276" w:lineRule="auto"/>
        <w:jc w:val="both"/>
      </w:pPr>
      <w:r>
        <w:t>Philips' hybrid organisational structure navigates diverse business domains with precision, leveraging strategic management processes and SWOT analyses. The company's commitment to innovation and sustainability is deeply embedded in its culture, fostering a dynamic and purposeful work environment. Individual motivation strategies resonate with the ethos of societal well-being, mirroring the principles of CSR. Stakeholder theory guides Philips in building collaborative relationships, ensuring that its strategies align with the diverse interests of those it serves.</w:t>
      </w:r>
    </w:p>
    <w:p w14:paraId="17CF3D8B" w14:textId="169AD9CF" w:rsidR="002911CC" w:rsidRDefault="002C31B9" w:rsidP="002C31B9">
      <w:pPr>
        <w:spacing w:line="276" w:lineRule="auto"/>
        <w:jc w:val="both"/>
      </w:pPr>
      <w:r>
        <w:t>In essence, Philips stands not only as a leader in technology and healthcare but as a testament to the harmonious integration of strategic concepts, ethical practices, and stakeholder considerations, exemplifying a holistic approach to organisational excellence</w:t>
      </w:r>
      <w:r>
        <w:t>.</w:t>
      </w:r>
    </w:p>
    <w:p w14:paraId="704FF573" w14:textId="643EF047" w:rsidR="002C31B9" w:rsidRDefault="002C31B9" w:rsidP="002911CC">
      <w:pPr>
        <w:spacing w:line="276" w:lineRule="auto"/>
        <w:jc w:val="both"/>
        <w:rPr>
          <w:b/>
          <w:bCs/>
          <w:sz w:val="28"/>
          <w:szCs w:val="28"/>
        </w:rPr>
      </w:pPr>
      <w:r>
        <w:rPr>
          <w:b/>
          <w:bCs/>
          <w:sz w:val="28"/>
          <w:szCs w:val="28"/>
        </w:rPr>
        <w:lastRenderedPageBreak/>
        <w:t>VII. Reference:</w:t>
      </w:r>
    </w:p>
    <w:p w14:paraId="2112FCB6" w14:textId="77777777" w:rsidR="002C31B9" w:rsidRDefault="002C31B9" w:rsidP="002C31B9">
      <w:pPr>
        <w:pStyle w:val="ListParagraph"/>
        <w:numPr>
          <w:ilvl w:val="0"/>
          <w:numId w:val="2"/>
        </w:numPr>
        <w:spacing w:line="276" w:lineRule="auto"/>
        <w:jc w:val="both"/>
      </w:pPr>
      <w:r>
        <w:t>Bassot, B. (2020). Career Guidance: A Handbook for Policy Makers. (3rd ed.). London: Red Globe Press. (Pages Used: 78-82)</w:t>
      </w:r>
    </w:p>
    <w:p w14:paraId="70759C98" w14:textId="77777777" w:rsidR="002C31B9" w:rsidRDefault="002C31B9" w:rsidP="002C31B9">
      <w:pPr>
        <w:pStyle w:val="ListParagraph"/>
        <w:spacing w:line="276" w:lineRule="auto"/>
        <w:jc w:val="both"/>
      </w:pPr>
    </w:p>
    <w:p w14:paraId="6B05622F" w14:textId="77777777" w:rsidR="002C31B9" w:rsidRDefault="002C31B9" w:rsidP="002C31B9">
      <w:pPr>
        <w:pStyle w:val="ListParagraph"/>
        <w:numPr>
          <w:ilvl w:val="0"/>
          <w:numId w:val="2"/>
        </w:numPr>
        <w:spacing w:line="276" w:lineRule="auto"/>
        <w:jc w:val="both"/>
      </w:pPr>
      <w:r>
        <w:t>Boddy, D. (2017). Management: An Introduction. (7th ed.). Harlow, England: Pearson. (Pages Used: 154-165)</w:t>
      </w:r>
    </w:p>
    <w:p w14:paraId="4894A5BA" w14:textId="77777777" w:rsidR="002C31B9" w:rsidRDefault="002C31B9" w:rsidP="002C31B9">
      <w:pPr>
        <w:pStyle w:val="ListParagraph"/>
        <w:spacing w:line="276" w:lineRule="auto"/>
        <w:jc w:val="both"/>
      </w:pPr>
    </w:p>
    <w:p w14:paraId="09A6A5C4" w14:textId="77777777" w:rsidR="002C31B9" w:rsidRDefault="002C31B9" w:rsidP="002C31B9">
      <w:pPr>
        <w:pStyle w:val="ListParagraph"/>
        <w:numPr>
          <w:ilvl w:val="0"/>
          <w:numId w:val="2"/>
        </w:numPr>
        <w:spacing w:line="276" w:lineRule="auto"/>
        <w:jc w:val="both"/>
      </w:pPr>
      <w:r>
        <w:t>Daft, R. L. (2018). Management. Boston, MA: Cengage Learning. (Pages Used: 223-235)</w:t>
      </w:r>
    </w:p>
    <w:p w14:paraId="593217D5" w14:textId="77777777" w:rsidR="002C31B9" w:rsidRDefault="002C31B9" w:rsidP="002C31B9">
      <w:pPr>
        <w:pStyle w:val="ListParagraph"/>
        <w:spacing w:line="276" w:lineRule="auto"/>
        <w:jc w:val="both"/>
      </w:pPr>
    </w:p>
    <w:p w14:paraId="71C93917" w14:textId="77777777" w:rsidR="002C31B9" w:rsidRDefault="002C31B9" w:rsidP="002C31B9">
      <w:pPr>
        <w:pStyle w:val="ListParagraph"/>
        <w:numPr>
          <w:ilvl w:val="0"/>
          <w:numId w:val="2"/>
        </w:numPr>
        <w:spacing w:line="276" w:lineRule="auto"/>
        <w:jc w:val="both"/>
      </w:pPr>
      <w:r>
        <w:t>Drucker, P. F. (2006). The Practice of Management. New York: HarperCollins. (Pages Used: 40-53)</w:t>
      </w:r>
    </w:p>
    <w:p w14:paraId="4FA02B14" w14:textId="77777777" w:rsidR="002C31B9" w:rsidRDefault="002C31B9" w:rsidP="002C31B9">
      <w:pPr>
        <w:pStyle w:val="ListParagraph"/>
        <w:spacing w:line="276" w:lineRule="auto"/>
        <w:jc w:val="both"/>
      </w:pPr>
    </w:p>
    <w:p w14:paraId="4EA184B1" w14:textId="77777777" w:rsidR="002C31B9" w:rsidRDefault="002C31B9" w:rsidP="002C31B9">
      <w:pPr>
        <w:pStyle w:val="ListParagraph"/>
        <w:numPr>
          <w:ilvl w:val="0"/>
          <w:numId w:val="2"/>
        </w:numPr>
        <w:spacing w:line="276" w:lineRule="auto"/>
        <w:jc w:val="both"/>
      </w:pPr>
      <w:r>
        <w:t>Mintzberg, H. (1994). The Rise and Fall of Strategic Planning. New York: Free Press. (Pages Used: 92-105)</w:t>
      </w:r>
    </w:p>
    <w:p w14:paraId="256C5FC1" w14:textId="77777777" w:rsidR="002C31B9" w:rsidRDefault="002C31B9" w:rsidP="002C31B9">
      <w:pPr>
        <w:pStyle w:val="ListParagraph"/>
        <w:spacing w:line="276" w:lineRule="auto"/>
        <w:jc w:val="both"/>
      </w:pPr>
    </w:p>
    <w:p w14:paraId="49A246B4" w14:textId="77777777" w:rsidR="002C31B9" w:rsidRDefault="002C31B9" w:rsidP="002C31B9">
      <w:pPr>
        <w:pStyle w:val="ListParagraph"/>
        <w:numPr>
          <w:ilvl w:val="0"/>
          <w:numId w:val="2"/>
        </w:numPr>
        <w:spacing w:line="276" w:lineRule="auto"/>
        <w:jc w:val="both"/>
      </w:pPr>
      <w:r>
        <w:t>Robbins, S. P., Coulter, M., &amp; DeCenzo, D. A. (2017). Fundamentals of Management. Harlow, England: Pearson. (Pages Used: 76-89)</w:t>
      </w:r>
    </w:p>
    <w:p w14:paraId="717F4E31" w14:textId="77777777" w:rsidR="002C31B9" w:rsidRDefault="002C31B9" w:rsidP="002C31B9">
      <w:pPr>
        <w:pStyle w:val="ListParagraph"/>
        <w:spacing w:line="276" w:lineRule="auto"/>
        <w:jc w:val="both"/>
      </w:pPr>
    </w:p>
    <w:p w14:paraId="3BE78FBC" w14:textId="77777777" w:rsidR="002C31B9" w:rsidRDefault="002C31B9" w:rsidP="002C31B9">
      <w:pPr>
        <w:pStyle w:val="ListParagraph"/>
        <w:numPr>
          <w:ilvl w:val="0"/>
          <w:numId w:val="2"/>
        </w:numPr>
        <w:spacing w:line="276" w:lineRule="auto"/>
        <w:jc w:val="both"/>
      </w:pPr>
      <w:r>
        <w:t>Senge, P. M. (2006). The Fifth Discipline: The Art and Practice of the Learning Organization. New York: Doubleday. (Pages Used: 110-125)</w:t>
      </w:r>
    </w:p>
    <w:p w14:paraId="3D81E25C" w14:textId="77777777" w:rsidR="002C31B9" w:rsidRDefault="002C31B9" w:rsidP="002C31B9">
      <w:pPr>
        <w:pStyle w:val="ListParagraph"/>
        <w:spacing w:line="276" w:lineRule="auto"/>
        <w:jc w:val="both"/>
      </w:pPr>
    </w:p>
    <w:p w14:paraId="30C3D8C0" w14:textId="3AD5ACB4" w:rsidR="002C31B9" w:rsidRPr="002C31B9" w:rsidRDefault="002C31B9" w:rsidP="002C31B9">
      <w:pPr>
        <w:pStyle w:val="ListParagraph"/>
        <w:numPr>
          <w:ilvl w:val="0"/>
          <w:numId w:val="2"/>
        </w:numPr>
        <w:spacing w:line="276" w:lineRule="auto"/>
        <w:jc w:val="both"/>
      </w:pPr>
      <w:r>
        <w:t>Stoner, J. A. F., Freeman, R. E., &amp; Gilbert, D. R. (2002). Management. Upper Saddle River, NJ: Prentice Hall. (Pages Used: 168-179)</w:t>
      </w:r>
    </w:p>
    <w:sectPr w:rsidR="002C31B9" w:rsidRPr="002C31B9" w:rsidSect="000B3D8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32026"/>
    <w:multiLevelType w:val="hybridMultilevel"/>
    <w:tmpl w:val="51C09518"/>
    <w:lvl w:ilvl="0" w:tplc="30BAD4E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C795855"/>
    <w:multiLevelType w:val="hybridMultilevel"/>
    <w:tmpl w:val="DED40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84642681">
    <w:abstractNumId w:val="0"/>
  </w:num>
  <w:num w:numId="2" w16cid:durableId="6830942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D8F"/>
    <w:rsid w:val="000B3D8F"/>
    <w:rsid w:val="002911CC"/>
    <w:rsid w:val="002C31B9"/>
    <w:rsid w:val="00345C13"/>
    <w:rsid w:val="00BC66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E35612"/>
  <w15:chartTrackingRefBased/>
  <w15:docId w15:val="{43A0EBEB-181F-483F-902F-9FB7E929F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B3D8F"/>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0B3D8F"/>
    <w:rPr>
      <w:rFonts w:eastAsiaTheme="minorEastAsia"/>
      <w:kern w:val="0"/>
      <w:lang w:eastAsia="en-GB"/>
      <w14:ligatures w14:val="none"/>
    </w:rPr>
  </w:style>
  <w:style w:type="paragraph" w:styleId="ListParagraph">
    <w:name w:val="List Paragraph"/>
    <w:basedOn w:val="Normal"/>
    <w:uiPriority w:val="34"/>
    <w:qFormat/>
    <w:rsid w:val="00345C1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TotalTime>
  <Pages>8</Pages>
  <Words>2519</Words>
  <Characters>14364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PR: DUDLEY OFORI</Company>
  <LinksUpToDate>false</LinksUpToDate>
  <CharactersWithSpaces>16850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Introducing the modern workplace</dc:title>
  <dc:subject>(LCBB4003)</dc:subject>
  <dc:creator>Leonard Hondor</dc:creator>
  <cp:keywords/>
  <dc:description/>
  <cp:lastModifiedBy>Leonard Hondor</cp:lastModifiedBy>
  <cp:revision>1</cp:revision>
  <dcterms:created xsi:type="dcterms:W3CDTF">2023-12-19T19:25:00Z</dcterms:created>
  <dcterms:modified xsi:type="dcterms:W3CDTF">2023-12-19T20:15:00Z</dcterms:modified>
  <cp:category>ST: MALINA GABRIELA BOJEAN</cp:category>
</cp:coreProperties>
</file>