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1100" w:after="360" w:line="264" w:lineRule="auto"/>
        <w:jc w:val="center"/>
      </w:pPr>
      <w:r>
        <w:rPr>
          <w:rFonts w:ascii="Calibri" w:hAnsi="Calibri"/>
          <w:b/>
          <w:i w:val="0"/>
          <w:color w:val="008C8C"/>
          <w:sz w:val="22"/>
        </w:rPr>
        <w:t>USABILITY ENGINEERING</w:t>
      </w:r>
    </w:p>
    <w:p>
      <w:pPr>
        <w:spacing w:before="0" w:after="100" w:line="264" w:lineRule="auto"/>
        <w:jc w:val="center"/>
      </w:pPr>
      <w:r>
        <w:rPr>
          <w:rFonts w:ascii="Calibri" w:hAnsi="Calibri"/>
          <w:b/>
          <w:i w:val="0"/>
          <w:color w:val="132A44"/>
          <w:sz w:val="60"/>
        </w:rPr>
        <w:t>UWTSD Campus Response</w:t>
      </w:r>
    </w:p>
    <w:p>
      <w:pPr>
        <w:spacing w:before="0" w:after="560" w:line="264" w:lineRule="auto"/>
        <w:jc w:val="center"/>
      </w:pPr>
      <w:r>
        <w:rPr>
          <w:rFonts w:ascii="Calibri" w:hAnsi="Calibri"/>
          <w:b w:val="0"/>
          <w:i w:val="0"/>
          <w:color w:val="2E74B5"/>
          <w:sz w:val="32"/>
        </w:rPr>
        <w:t>Full-colour Storyboard Design and Evaluation Report</w:t>
      </w:r>
    </w:p>
    <w:p>
      <w:pPr>
        <w:spacing w:after="0"/>
        <w:jc w:val="center"/>
      </w:pPr>
      <w:r>
        <w:drawing>
          <wp:inline xmlns:a="http://schemas.openxmlformats.org/drawingml/2006/main" xmlns:pic="http://schemas.openxmlformats.org/drawingml/2006/picture">
            <wp:extent cx="1874519" cy="4056651"/>
            <wp:docPr id="1" name="Picture 1" descr="Full-colour mobile campus map screen" title="Full-colour mobile campus map screen"/>
            <wp:cNvGraphicFramePr>
              <a:graphicFrameLocks noChangeAspect="1"/>
            </wp:cNvGraphicFramePr>
            <a:graphic>
              <a:graphicData uri="http://schemas.openxmlformats.org/drawingml/2006/picture">
                <pic:pic>
                  <pic:nvPicPr>
                    <pic:cNvPr id="0" name="06_campus_map.png"/>
                    <pic:cNvPicPr/>
                  </pic:nvPicPr>
                  <pic:blipFill>
                    <a:blip r:embed="rId11"/>
                    <a:stretch>
                      <a:fillRect/>
                    </a:stretch>
                  </pic:blipFill>
                  <pic:spPr>
                    <a:xfrm>
                      <a:off x="0" y="0"/>
                      <a:ext cx="1874519" cy="4056651"/>
                    </a:xfrm>
                    <a:prstGeom prst="rect"/>
                  </pic:spPr>
                </pic:pic>
              </a:graphicData>
            </a:graphic>
          </wp:inline>
        </w:drawing>
      </w:r>
    </w:p>
    <w:p>
      <w:pPr>
        <w:spacing w:before="0" w:after="800" w:line="264" w:lineRule="auto"/>
        <w:jc w:val="center"/>
      </w:pPr>
      <w:r>
        <w:rPr>
          <w:rFonts w:ascii="Calibri" w:hAnsi="Calibri"/>
          <w:b w:val="0"/>
          <w:i/>
          <w:color w:val="617080"/>
          <w:sz w:val="22"/>
        </w:rPr>
        <w:t>A cooperative mobile strategy game set on the UWTSD London Campus</w:t>
      </w:r>
    </w:p>
    <w:tbl>
      <w:tblPr>
        <w:tblStyle w:val="TableGrid"/>
        <w:tblW w:type="dxa" w:w="9360"/>
        <w:jc w:val="left"/>
        <w:tblLayout w:type="fixed"/>
        <w:tblLook w:firstColumn="1" w:firstRow="1" w:lastColumn="0" w:lastRow="0" w:noHBand="0" w:noVBand="1" w:val="04A0"/>
        <w:tblInd w:w="120" w:type="dxa"/>
      </w:tblPr>
      <w:tblGrid>
        <w:gridCol w:w="2250"/>
        <w:gridCol w:w="7110"/>
      </w:tblGrid>
      <w:tr>
        <w:trPr>
          <w:tblHeader w:val="true"/>
        </w:trPr>
        <w:tc>
          <w:tcPr>
            <w:tcW w:type="dxa" w:w="2250"/>
            <w:shd w:fill="DDF5F3"/>
            <w:tcMar>
              <w:top w:w="80" w:type="dxa"/>
              <w:start w:w="120" w:type="dxa"/>
              <w:bottom w:w="80" w:type="dxa"/>
              <w:end w:w="120" w:type="dxa"/>
            </w:tcMar>
            <w:vAlign w:val="center"/>
          </w:tcPr>
          <w:p>
            <w:pPr>
              <w:spacing w:after="0" w:line="252" w:lineRule="auto"/>
              <w:jc w:val="left"/>
            </w:pPr>
            <w:r/>
            <w:r>
              <w:rPr>
                <w:rFonts w:ascii="Calibri" w:hAnsi="Calibri"/>
                <w:b/>
                <w:color w:val="132A44"/>
                <w:sz w:val="20"/>
              </w:rPr>
              <w:t>Document</w:t>
            </w:r>
          </w:p>
        </w:tc>
        <w:tc>
          <w:tcPr>
            <w:tcW w:type="dxa" w:w="7110"/>
            <w:shd w:fill="DDF5F3"/>
            <w:tcMar>
              <w:top w:w="80" w:type="dxa"/>
              <w:start w:w="120" w:type="dxa"/>
              <w:bottom w:w="80" w:type="dxa"/>
              <w:end w:w="120" w:type="dxa"/>
            </w:tcMar>
            <w:vAlign w:val="center"/>
          </w:tcPr>
          <w:p>
            <w:pPr>
              <w:spacing w:after="0" w:line="252" w:lineRule="auto"/>
              <w:jc w:val="left"/>
            </w:pPr>
            <w:r/>
            <w:r>
              <w:rPr>
                <w:rFonts w:ascii="Calibri" w:hAnsi="Calibri"/>
                <w:b/>
                <w:color w:val="132A44"/>
                <w:sz w:val="20"/>
              </w:rPr>
              <w:t>Details</w:t>
            </w:r>
          </w:p>
        </w:tc>
      </w:tr>
      <w:tr>
        <w:tc>
          <w:tcPr>
            <w:tcW w:type="dxa" w:w="225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Student</w:t>
            </w:r>
          </w:p>
        </w:tc>
        <w:tc>
          <w:tcPr>
            <w:tcW w:type="dxa" w:w="711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[Insert full name and student number]</w:t>
            </w:r>
          </w:p>
        </w:tc>
      </w:tr>
      <w:tr>
        <w:tc>
          <w:tcPr>
            <w:tcW w:type="dxa" w:w="225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Module</w:t>
            </w:r>
          </w:p>
        </w:tc>
        <w:tc>
          <w:tcPr>
            <w:tcW w:type="dxa" w:w="711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[Insert module name/code]</w:t>
            </w:r>
          </w:p>
        </w:tc>
      </w:tr>
      <w:tr>
        <w:tc>
          <w:tcPr>
            <w:tcW w:type="dxa" w:w="225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Assessment</w:t>
            </w:r>
          </w:p>
        </w:tc>
        <w:tc>
          <w:tcPr>
            <w:tcW w:type="dxa" w:w="711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Assignment 2 - Full-colour storyboards</w:t>
            </w:r>
          </w:p>
        </w:tc>
      </w:tr>
      <w:tr>
        <w:tc>
          <w:tcPr>
            <w:tcW w:type="dxa" w:w="225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Submission date</w:t>
            </w:r>
          </w:p>
        </w:tc>
        <w:tc>
          <w:tcPr>
            <w:tcW w:type="dxa" w:w="711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[Insert date]</w:t>
            </w:r>
          </w:p>
        </w:tc>
      </w:tr>
    </w:tbl>
    <w:p>
      <w:r>
        <w:br w:type="page"/>
      </w:r>
    </w:p>
    <w:p>
      <w:pPr>
        <w:pStyle w:val="Heading1"/>
        <w:keepNext/>
      </w:pPr>
      <w:r>
        <w:t>Contents</w:t>
      </w:r>
    </w:p>
    <w:tbl>
      <w:tblPr>
        <w:tblStyle w:val="TableGrid"/>
        <w:tblW w:type="dxa" w:w="9360"/>
        <w:jc w:val="left"/>
        <w:tblLayout w:type="fixed"/>
        <w:tblLook w:firstColumn="1" w:firstRow="1" w:lastColumn="0" w:lastRow="0" w:noHBand="0" w:noVBand="1" w:val="04A0"/>
        <w:tblInd w:w="120" w:type="dxa"/>
      </w:tblPr>
      <w:tblGrid>
        <w:gridCol w:w="7920"/>
        <w:gridCol w:w="1440"/>
      </w:tblGrid>
      <w:tr>
        <w:trPr>
          <w:tblHeader w:val="true"/>
        </w:trPr>
        <w:tc>
          <w:tcPr>
            <w:tcW w:type="dxa" w:w="792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20"/>
              </w:rPr>
              <w:t>Section</w:t>
            </w:r>
          </w:p>
        </w:tc>
        <w:tc>
          <w:tcPr>
            <w:tcW w:type="dxa" w:w="144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20"/>
              </w:rPr>
              <w:t>Page</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 Introduction</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3</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2. Full-colour storyboard design</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3</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3. Final prototype feedback</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8</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4. Data to collect from a released game</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9</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5. Usability and user-experience trade-offs</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11</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6. Reflective summary</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11</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7. Conclusion</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13</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References</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14</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Appendix A: Complete storyboards</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15</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Appendix B: Final usability-test pack</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21</w:t>
            </w:r>
          </w:p>
        </w:tc>
      </w:tr>
      <w:tr>
        <w:tc>
          <w:tcPr>
            <w:tcW w:type="dxa" w:w="792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Appendix C: Design traceability</w:t>
            </w:r>
          </w:p>
        </w:tc>
        <w:tc>
          <w:tcPr>
            <w:tcW w:type="dxa" w:w="1440"/>
            <w:tcMar>
              <w:top w:w="80" w:type="dxa"/>
              <w:start w:w="120" w:type="dxa"/>
              <w:bottom w:w="80" w:type="dxa"/>
              <w:end w:w="120" w:type="dxa"/>
            </w:tcMar>
            <w:vAlign w:val="center"/>
          </w:tcPr>
          <w:p>
            <w:pPr>
              <w:spacing w:after="0" w:line="252" w:lineRule="auto"/>
              <w:jc w:val="left"/>
            </w:pPr>
            <w:r/>
            <w:r>
              <w:rPr>
                <w:rFonts w:ascii="Calibri" w:hAnsi="Calibri"/>
                <w:b w:val="0"/>
                <w:color w:val="17212B"/>
                <w:sz w:val="20"/>
              </w:rPr>
              <w:t>22</w:t>
            </w:r>
          </w:p>
        </w:tc>
      </w:tr>
    </w:tbl>
    <w:p>
      <w:pPr>
        <w:spacing w:before="160" w:after="120" w:line="264" w:lineRule="auto"/>
      </w:pPr>
      <w:r>
        <w:rPr>
          <w:rFonts w:ascii="Calibri" w:hAnsi="Calibri"/>
          <w:b w:val="0"/>
          <w:i/>
          <w:color w:val="617080"/>
          <w:sz w:val="19"/>
        </w:rPr>
        <w:t>Note: page numbers may update when the final participant feedback is inserted.</w:t>
      </w:r>
    </w:p>
    <w:p>
      <w:r>
        <w:br w:type="page"/>
      </w:r>
    </w:p>
    <w:p>
      <w:pPr>
        <w:pStyle w:val="Heading1"/>
        <w:keepNext/>
      </w:pPr>
      <w:r>
        <w:t>1. Introduction</w:t>
      </w:r>
    </w:p>
    <w:p>
      <w:pPr>
        <w:spacing w:before="0" w:after="120" w:line="264" w:lineRule="auto"/>
      </w:pPr>
      <w:r>
        <w:rPr>
          <w:rFonts w:ascii="Calibri" w:hAnsi="Calibri"/>
          <w:b w:val="0"/>
          <w:i w:val="0"/>
          <w:color w:val="17212B"/>
          <w:sz w:val="22"/>
        </w:rPr>
        <w:t>Pandemic is a cooperative strategy game in which players combine specialist abilities to control threats and complete a shared objective [1]. This project adapts the cooperative structure into a mobile game set on the UWTSD London Campus. Up to six players represent different university roles and work together to contain a fictional campus emergency and complete a cure before the outbreak track reaches its limit.</w:t>
      </w:r>
    </w:p>
    <w:p>
      <w:pPr>
        <w:spacing w:before="0" w:after="120" w:line="264" w:lineRule="auto"/>
      </w:pPr>
      <w:r>
        <w:rPr>
          <w:rFonts w:ascii="Calibri" w:hAnsi="Calibri"/>
          <w:b w:val="0"/>
          <w:i w:val="0"/>
          <w:color w:val="17212B"/>
          <w:sz w:val="22"/>
        </w:rPr>
        <w:t>Assignment 1 established the concept through questionnaires, interviews, four personas and low-fidelity wireframes. The present report develops those wireframes into full-colour storyboards. It explains the visual design, documents changes made from earlier feedback, proposes a short evaluation of the final prototype, discusses data collection for a working release, and reflects on the balance between usability and emotional experience.</w:t>
      </w:r>
    </w:p>
    <w:p>
      <w:pPr>
        <w:spacing w:before="0" w:after="120" w:line="264" w:lineRule="auto"/>
      </w:pPr>
      <w:r>
        <w:rPr>
          <w:rFonts w:ascii="Calibri" w:hAnsi="Calibri"/>
          <w:b w:val="0"/>
          <w:i w:val="0"/>
          <w:color w:val="17212B"/>
          <w:sz w:val="22"/>
        </w:rPr>
        <w:t>The prototype is intentionally modest. It focuses on the major mobile interactions required by the brief: creating or joining a private team, selecting a role, following an optional tutorial, reading the campus map, discussing and voting, confirming an action, receiving feedback, resuming an autosaved game and viewing the result.</w:t>
      </w:r>
    </w:p>
    <w:p>
      <w:pPr>
        <w:pStyle w:val="Heading1"/>
        <w:keepNext/>
      </w:pPr>
      <w:r>
        <w:t>2. Full-colour storyboard design</w:t>
      </w:r>
    </w:p>
    <w:p>
      <w:pPr>
        <w:pStyle w:val="Heading2"/>
        <w:keepNext/>
      </w:pPr>
      <w:r>
        <w:t>2.1 Design goals and continuity from Assignment 1</w:t>
      </w:r>
    </w:p>
    <w:p>
      <w:pPr>
        <w:spacing w:before="0" w:after="120" w:line="264" w:lineRule="auto"/>
      </w:pPr>
      <w:r>
        <w:rPr>
          <w:rFonts w:ascii="Calibri" w:hAnsi="Calibri"/>
          <w:b w:val="0"/>
          <w:i w:val="0"/>
          <w:color w:val="17212B"/>
          <w:sz w:val="22"/>
        </w:rPr>
        <w:t>The original research identified four behavioural personas. Jordan is an occasional strategy player; Daniel is an independent commuter who prefers friends-only sessions; Morgan is a time-poor working student; and Sam is a regular social player. Their common requirements were short sessions, clear controls, private teams, text-based cooperation, an optional tutorial and automatic saving. The full-colour design therefore keeps Morgan's earlier scenario but presents it with a stronger visual hierarchy and clearer feedback.</w:t>
      </w:r>
    </w:p>
    <w:p>
      <w:pPr>
        <w:spacing w:after="0"/>
        <w:jc w:val="center"/>
      </w:pPr>
      <w:r>
        <w:drawing>
          <wp:inline xmlns:a="http://schemas.openxmlformats.org/drawingml/2006/main" xmlns:pic="http://schemas.openxmlformats.org/drawingml/2006/picture">
            <wp:extent cx="5623560" cy="3751758"/>
            <wp:docPr id="2" name="Picture 2" descr="Original low-fidelity interface flow from Assignment 1" title="Original low-fidelity interface flow from Assignment 1"/>
            <wp:cNvGraphicFramePr>
              <a:graphicFrameLocks noChangeAspect="1"/>
            </wp:cNvGraphicFramePr>
            <a:graphic>
              <a:graphicData uri="http://schemas.openxmlformats.org/drawingml/2006/picture">
                <pic:pic>
                  <pic:nvPicPr>
                    <pic:cNvPr id="0" name="image3.png"/>
                    <pic:cNvPicPr/>
                  </pic:nvPicPr>
                  <pic:blipFill>
                    <a:blip r:embed="rId12"/>
                    <a:stretch>
                      <a:fillRect/>
                    </a:stretch>
                  </pic:blipFill>
                  <pic:spPr>
                    <a:xfrm>
                      <a:off x="0" y="0"/>
                      <a:ext cx="5623560" cy="3751758"/>
                    </a:xfrm>
                    <a:prstGeom prst="rect"/>
                  </pic:spPr>
                </pic:pic>
              </a:graphicData>
            </a:graphic>
          </wp:inline>
        </w:drawing>
      </w:r>
    </w:p>
    <w:p>
      <w:pPr>
        <w:spacing w:before="60" w:after="180"/>
        <w:jc w:val="center"/>
      </w:pPr>
      <w:r>
        <w:rPr>
          <w:rFonts w:ascii="Calibri" w:hAnsi="Calibri"/>
          <w:i/>
          <w:color w:val="617080"/>
          <w:sz w:val="18"/>
        </w:rPr>
        <w:t>Figure 1. Original low-fidelity wireframe flow used as the structural baseline.</w:t>
      </w:r>
    </w:p>
    <w:p>
      <w:pPr>
        <w:pStyle w:val="Heading2"/>
        <w:keepNext/>
      </w:pPr>
      <w:r>
        <w:t>2.2 Complete navigation flow</w:t>
      </w:r>
    </w:p>
    <w:p>
      <w:pPr>
        <w:spacing w:before="0" w:after="120" w:line="264" w:lineRule="auto"/>
      </w:pPr>
      <w:r>
        <w:rPr>
          <w:rFonts w:ascii="Calibri" w:hAnsi="Calibri"/>
          <w:b w:val="0"/>
          <w:i w:val="0"/>
          <w:color w:val="17212B"/>
          <w:sz w:val="22"/>
        </w:rPr>
        <w:t>Figure 2 shows the main route through twelve screens. The numbered screens use a linear sequence for the scenario, while the persistent Map, Team, Chat and Help controls allow players to move between key areas during play. This combines a clear first-time route with flexibility for experienced users. The design follows recognition rather than recall by keeping valid destinations and current status visible [2], [3].</w:t>
      </w:r>
    </w:p>
    <w:p>
      <w:pPr>
        <w:spacing w:after="0"/>
        <w:jc w:val="center"/>
      </w:pPr>
      <w:r>
        <w:drawing>
          <wp:inline xmlns:a="http://schemas.openxmlformats.org/drawingml/2006/main" xmlns:pic="http://schemas.openxmlformats.org/drawingml/2006/picture">
            <wp:extent cx="5715000" cy="4578494"/>
            <wp:docPr id="3" name="Picture 3" descr="Complete full-colour storyboard navigation flow with twelve mobile screens" title="Complete full-colour storyboard navigation flow with twelve mobile screens"/>
            <wp:cNvGraphicFramePr>
              <a:graphicFrameLocks noChangeAspect="1"/>
            </wp:cNvGraphicFramePr>
            <a:graphic>
              <a:graphicData uri="http://schemas.openxmlformats.org/drawingml/2006/picture">
                <pic:pic>
                  <pic:nvPicPr>
                    <pic:cNvPr id="0" name="00_complete_flow.png"/>
                    <pic:cNvPicPr/>
                  </pic:nvPicPr>
                  <pic:blipFill>
                    <a:blip r:embed="rId13"/>
                    <a:stretch>
                      <a:fillRect/>
                    </a:stretch>
                  </pic:blipFill>
                  <pic:spPr>
                    <a:xfrm>
                      <a:off x="0" y="0"/>
                      <a:ext cx="5715000" cy="4578494"/>
                    </a:xfrm>
                    <a:prstGeom prst="rect"/>
                  </pic:spPr>
                </pic:pic>
              </a:graphicData>
            </a:graphic>
          </wp:inline>
        </w:drawing>
      </w:r>
    </w:p>
    <w:p>
      <w:pPr>
        <w:spacing w:before="60" w:after="180"/>
        <w:jc w:val="center"/>
      </w:pPr>
      <w:r>
        <w:rPr>
          <w:rFonts w:ascii="Calibri" w:hAnsi="Calibri"/>
          <w:i/>
          <w:color w:val="617080"/>
          <w:sz w:val="18"/>
        </w:rPr>
        <w:t>Figure 2. Full-colour storyboard flow. The complete, larger screens appear in Appendix A.</w:t>
      </w:r>
    </w:p>
    <w:p>
      <w:pPr>
        <w:pStyle w:val="Heading2"/>
        <w:keepNext/>
      </w:pPr>
      <w:r>
        <w:t>2.3 Graphics and colour scheme</w:t>
      </w:r>
    </w:p>
    <w:p>
      <w:pPr>
        <w:spacing w:before="0" w:after="120" w:line="264" w:lineRule="auto"/>
      </w:pPr>
      <w:r>
        <w:rPr>
          <w:rFonts w:ascii="Calibri" w:hAnsi="Calibri"/>
          <w:b w:val="0"/>
          <w:i w:val="0"/>
          <w:color w:val="17212B"/>
          <w:sz w:val="22"/>
        </w:rPr>
        <w:t>The interface uses flat vector graphics, rounded cards and simple icons because these remain legible on a mobile screen and can later be reproduced consistently in a working prototype. The graphics avoid detailed decoration that could compete with the map, voting and threat information. University roles are represented by coloured circular badges and short ability descriptions rather than realistic portraits, keeping the design neutral and reducing unnecessary visual load.</w:t>
      </w:r>
    </w:p>
    <w:p>
      <w:pPr>
        <w:spacing w:before="0" w:after="120" w:line="264" w:lineRule="auto"/>
      </w:pPr>
      <w:r>
        <w:rPr>
          <w:rFonts w:ascii="Calibri" w:hAnsi="Calibri"/>
          <w:b w:val="0"/>
          <w:i w:val="0"/>
          <w:color w:val="17212B"/>
          <w:sz w:val="22"/>
        </w:rPr>
        <w:t>The core palette is dark navy (#132A44), teal (#008C8C), off-white (#F4F7FA), amber (#FFC857), red (#D94B4B) and green (#2D8C5A). Navy provides a stable campus identity, teal identifies primary actions and collaboration, amber signals caution, red signals urgent infection, and green confirms successful action. Red and green are never the only means of communication: text labels, numbers, icons and position repeat the meaning. Normal text is placed on high-contrast light or dark backgrounds, following the WCAG principle of at least 4.5:1 contrast for standard text [5].</w:t>
      </w:r>
    </w:p>
    <w:tbl>
      <w:tblPr>
        <w:tblStyle w:val="TableGrid"/>
        <w:tblW w:type="dxa" w:w="9360"/>
        <w:jc w:val="left"/>
        <w:tblLayout w:type="fixed"/>
        <w:tblLook w:firstColumn="1" w:firstRow="1" w:lastColumn="0" w:lastRow="0" w:noHBand="0" w:noVBand="1" w:val="04A0"/>
        <w:tblInd w:w="120" w:type="dxa"/>
      </w:tblPr>
      <w:tblGrid>
        <w:gridCol w:w="1500"/>
        <w:gridCol w:w="3000"/>
        <w:gridCol w:w="4860"/>
      </w:tblGrid>
      <w:tr>
        <w:trPr>
          <w:tblHeader w:val="true"/>
        </w:trPr>
        <w:tc>
          <w:tcPr>
            <w:tcW w:type="dxa" w:w="15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Colour</w:t>
            </w:r>
          </w:p>
        </w:tc>
        <w:tc>
          <w:tcPr>
            <w:tcW w:type="dxa" w:w="30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Interface use</w:t>
            </w:r>
          </w:p>
        </w:tc>
        <w:tc>
          <w:tcPr>
            <w:tcW w:type="dxa" w:w="486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Reason</w:t>
            </w:r>
          </w:p>
        </w:tc>
      </w:tr>
      <w:tr>
        <w:tc>
          <w:tcPr>
            <w:tcW w:type="dxa" w:w="15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Navy</w:t>
            </w:r>
          </w:p>
        </w:tc>
        <w:tc>
          <w:tcPr>
            <w:tcW w:type="dxa" w:w="30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Header, navigation and result values</w:t>
            </w:r>
          </w:p>
        </w:tc>
        <w:tc>
          <w:tcPr>
            <w:tcW w:type="dxa" w:w="48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Stable hierarchy and strong contrast</w:t>
            </w:r>
          </w:p>
        </w:tc>
      </w:tr>
      <w:tr>
        <w:tc>
          <w:tcPr>
            <w:tcW w:type="dxa" w:w="15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Teal</w:t>
            </w:r>
          </w:p>
        </w:tc>
        <w:tc>
          <w:tcPr>
            <w:tcW w:type="dxa" w:w="30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Primary buttons, selected role and teamwork</w:t>
            </w:r>
          </w:p>
        </w:tc>
        <w:tc>
          <w:tcPr>
            <w:tcW w:type="dxa" w:w="48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Consistent signifier for safe action</w:t>
            </w:r>
          </w:p>
        </w:tc>
      </w:tr>
      <w:tr>
        <w:tc>
          <w:tcPr>
            <w:tcW w:type="dxa" w:w="15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Amber</w:t>
            </w:r>
          </w:p>
        </w:tc>
        <w:tc>
          <w:tcPr>
            <w:tcW w:type="dxa" w:w="30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Warnings, medium infection and bonus</w:t>
            </w:r>
          </w:p>
        </w:tc>
        <w:tc>
          <w:tcPr>
            <w:tcW w:type="dxa" w:w="48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Attention without implying immediate failure</w:t>
            </w:r>
          </w:p>
        </w:tc>
      </w:tr>
      <w:tr>
        <w:tc>
          <w:tcPr>
            <w:tcW w:type="dxa" w:w="15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Red</w:t>
            </w:r>
          </w:p>
        </w:tc>
        <w:tc>
          <w:tcPr>
            <w:tcW w:type="dxa" w:w="30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High risk and outbreak warnings</w:t>
            </w:r>
          </w:p>
        </w:tc>
        <w:tc>
          <w:tcPr>
            <w:tcW w:type="dxa" w:w="48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Reserved for urgent states</w:t>
            </w:r>
          </w:p>
        </w:tc>
      </w:tr>
      <w:tr>
        <w:tc>
          <w:tcPr>
            <w:tcW w:type="dxa" w:w="15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Green</w:t>
            </w:r>
          </w:p>
        </w:tc>
        <w:tc>
          <w:tcPr>
            <w:tcW w:type="dxa" w:w="30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Success messages and reduced risk</w:t>
            </w:r>
          </w:p>
        </w:tc>
        <w:tc>
          <w:tcPr>
            <w:tcW w:type="dxa" w:w="48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Clear positive feedback</w:t>
            </w:r>
          </w:p>
        </w:tc>
      </w:tr>
    </w:tbl>
    <w:p>
      <w:pPr>
        <w:pStyle w:val="Heading2"/>
        <w:keepNext/>
      </w:pPr>
      <w:r>
        <w:t>2.4 Changes made after wireframe feedback</w:t>
      </w:r>
    </w:p>
    <w:p>
      <w:pPr>
        <w:spacing w:before="0" w:after="120" w:line="264" w:lineRule="auto"/>
      </w:pPr>
      <w:r>
        <w:rPr>
          <w:rFonts w:ascii="Calibri" w:hAnsi="Calibri"/>
          <w:b w:val="0"/>
          <w:i w:val="0"/>
          <w:color w:val="17212B"/>
          <w:sz w:val="22"/>
        </w:rPr>
        <w:t>Three participants and two peer evaluators reviewed the earlier wireframes. They understood the overall sequence but reported small text, crowded map/location screens and insufficient explanation of outbreak, infection and cure indicators. The final storyboard responds directly to those issues rather than changing the successful cooperative flow.</w:t>
      </w:r>
    </w:p>
    <w:tbl>
      <w:tblPr>
        <w:tblStyle w:val="TableGrid"/>
        <w:tblW w:type="dxa" w:w="9360"/>
        <w:jc w:val="left"/>
        <w:tblLayout w:type="fixed"/>
        <w:tblLook w:firstColumn="1" w:firstRow="1" w:lastColumn="0" w:lastRow="0" w:noHBand="0" w:noVBand="1" w:val="04A0"/>
        <w:tblInd w:w="120" w:type="dxa"/>
      </w:tblPr>
      <w:tblGrid>
        <w:gridCol w:w="2450"/>
        <w:gridCol w:w="4450"/>
        <w:gridCol w:w="2460"/>
      </w:tblGrid>
      <w:tr>
        <w:trPr>
          <w:tblHeader w:val="true"/>
        </w:trPr>
        <w:tc>
          <w:tcPr>
            <w:tcW w:type="dxa" w:w="24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Earlier feedback</w:t>
            </w:r>
          </w:p>
        </w:tc>
        <w:tc>
          <w:tcPr>
            <w:tcW w:type="dxa" w:w="44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Change in final design</w:t>
            </w:r>
          </w:p>
        </w:tc>
        <w:tc>
          <w:tcPr>
            <w:tcW w:type="dxa" w:w="246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Storyboard evidence</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Text and icons appeared too small</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Larger headings, short labels and large full-width action buttons</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Screens 1, 6, 7 and 10</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Map and location screens were crowded</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Secondary details removed; one recommended action shown at a time</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Screens 6 and 7</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Indicators needed explanation</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Plain-language labels, numbers, progress bars and optional Help</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Screens 5, 6 and 10</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Important actions were not prominent</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Teal primary button and separate confirmation screen</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Screens 7 and 9</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Feedback after an action was weak</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Success banner, changed risk value, actions remaining and save status</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 10</w:t>
            </w:r>
          </w:p>
        </w:tc>
      </w:tr>
      <w:tr>
        <w:tc>
          <w:tcPr>
            <w:tcW w:type="dxa" w:w="2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Interrupted sessions required protection</w:t>
            </w:r>
          </w:p>
        </w:tc>
        <w:tc>
          <w:tcPr>
            <w:tcW w:type="dxa" w:w="445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Visible autosave confirmation and resume summary</w:t>
            </w:r>
          </w:p>
        </w:tc>
        <w:tc>
          <w:tcPr>
            <w:tcW w:type="dxa" w:w="246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Screens 10 and 11</w:t>
            </w:r>
          </w:p>
        </w:tc>
      </w:tr>
    </w:tbl>
    <w:p>
      <w:pPr>
        <w:pStyle w:val="Heading2"/>
        <w:keepNext/>
      </w:pPr>
      <w:r>
        <w:t>2.5 Significant screens</w:t>
      </w:r>
    </w:p>
    <w:p>
      <w:pPr>
        <w:spacing w:before="0" w:after="120" w:line="264" w:lineRule="auto"/>
      </w:pPr>
      <w:r>
        <w:rPr>
          <w:rFonts w:ascii="Calibri" w:hAnsi="Calibri"/>
          <w:b w:val="0"/>
          <w:i w:val="0"/>
          <w:color w:val="17212B"/>
          <w:sz w:val="22"/>
        </w:rPr>
        <w:t>The campus map is the main decision screen. It shows only the data necessary for the current turn: zone connections, infection values, outbreak level, cure progress, round and remaining actions. The Library uses red, a numeric value of 3 and a warning card, so the player is not expected to interpret colour alone. The full-width Open Library button provides an obvious next step.</w:t>
      </w:r>
    </w:p>
    <w:p>
      <w:pPr>
        <w:spacing w:before="0" w:after="120" w:line="264" w:lineRule="auto"/>
      </w:pPr>
      <w:r>
        <w:rPr>
          <w:rFonts w:ascii="Calibri" w:hAnsi="Calibri"/>
          <w:b w:val="0"/>
          <w:i w:val="0"/>
          <w:color w:val="17212B"/>
          <w:sz w:val="22"/>
        </w:rPr>
        <w:t>The Team Discussion screen supports cooperation without voice chat. Named messages, quick responses and a two-option vote reduce typing during short sessions. The Action Complete screen closes the feedback loop by confirming the treatment and showing its immediate effect. These choices apply visible system status, clear signifiers and prompt feedback, all central to understandable interaction [3].</w:t>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011680" cy="4353481"/>
                  <wp:docPr id="4" name="Picture 4" descr="Figure 3a. Main campus map"/>
                  <wp:cNvGraphicFramePr>
                    <a:graphicFrameLocks noChangeAspect="1"/>
                  </wp:cNvGraphicFramePr>
                  <a:graphic>
                    <a:graphicData uri="http://schemas.openxmlformats.org/drawingml/2006/picture">
                      <pic:pic>
                        <pic:nvPicPr>
                          <pic:cNvPr id="0" name="06_campus_map.png"/>
                          <pic:cNvPicPr/>
                        </pic:nvPicPr>
                        <pic:blipFill>
                          <a:blip r:embed="rId11"/>
                          <a:stretch>
                            <a:fillRect/>
                          </a:stretch>
                        </pic:blipFill>
                        <pic:spPr>
                          <a:xfrm>
                            <a:off x="0" y="0"/>
                            <a:ext cx="2011680" cy="4353481"/>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011680" cy="4353481"/>
                  <wp:docPr id="5" name="Picture 5" descr="Figure 3b. Team discussion and vote"/>
                  <wp:cNvGraphicFramePr>
                    <a:graphicFrameLocks noChangeAspect="1"/>
                  </wp:cNvGraphicFramePr>
                  <a:graphic>
                    <a:graphicData uri="http://schemas.openxmlformats.org/drawingml/2006/picture">
                      <pic:pic>
                        <pic:nvPicPr>
                          <pic:cNvPr id="0" name="08_team_vote.png"/>
                          <pic:cNvPicPr/>
                        </pic:nvPicPr>
                        <pic:blipFill>
                          <a:blip r:embed="rId14"/>
                          <a:stretch>
                            <a:fillRect/>
                          </a:stretch>
                        </pic:blipFill>
                        <pic:spPr>
                          <a:xfrm>
                            <a:off x="0" y="0"/>
                            <a:ext cx="2011680" cy="4353481"/>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3a. Main campus map</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3b. Team discussion and vote</w:t>
            </w:r>
          </w:p>
        </w:tc>
      </w:tr>
    </w:tbl>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011680" cy="4353481"/>
                  <wp:docPr id="6" name="Picture 6" descr="Figure 3c. Error-preventing confirmation"/>
                  <wp:cNvGraphicFramePr>
                    <a:graphicFrameLocks noChangeAspect="1"/>
                  </wp:cNvGraphicFramePr>
                  <a:graphic>
                    <a:graphicData uri="http://schemas.openxmlformats.org/drawingml/2006/picture">
                      <pic:pic>
                        <pic:nvPicPr>
                          <pic:cNvPr id="0" name="09_confirm_action.png"/>
                          <pic:cNvPicPr/>
                        </pic:nvPicPr>
                        <pic:blipFill>
                          <a:blip r:embed="rId15"/>
                          <a:stretch>
                            <a:fillRect/>
                          </a:stretch>
                        </pic:blipFill>
                        <pic:spPr>
                          <a:xfrm>
                            <a:off x="0" y="0"/>
                            <a:ext cx="2011680" cy="4353481"/>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011680" cy="4353481"/>
                  <wp:docPr id="7" name="Picture 7" descr="Figure 3d. Immediate action feedback"/>
                  <wp:cNvGraphicFramePr>
                    <a:graphicFrameLocks noChangeAspect="1"/>
                  </wp:cNvGraphicFramePr>
                  <a:graphic>
                    <a:graphicData uri="http://schemas.openxmlformats.org/drawingml/2006/picture">
                      <pic:pic>
                        <pic:nvPicPr>
                          <pic:cNvPr id="0" name="10_action_feedback.png"/>
                          <pic:cNvPicPr/>
                        </pic:nvPicPr>
                        <pic:blipFill>
                          <a:blip r:embed="rId16"/>
                          <a:stretch>
                            <a:fillRect/>
                          </a:stretch>
                        </pic:blipFill>
                        <pic:spPr>
                          <a:xfrm>
                            <a:off x="0" y="0"/>
                            <a:ext cx="2011680" cy="4353481"/>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3c. Error-preventing confirmation</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3d. Immediate action feedback</w:t>
            </w:r>
          </w:p>
        </w:tc>
      </w:tr>
    </w:tbl>
    <w:p>
      <w:pPr>
        <w:pStyle w:val="Heading1"/>
        <w:keepNext/>
      </w:pPr>
      <w:r>
        <w:t>3. Final prototype feedback</w:t>
      </w:r>
    </w:p>
    <w:p>
      <w:pPr>
        <w:pStyle w:val="Heading2"/>
        <w:keepNext/>
      </w:pPr>
      <w:r>
        <w:t>3.1 Evaluation method</w:t>
      </w:r>
    </w:p>
    <w:p>
      <w:pPr>
        <w:spacing w:before="0" w:after="120" w:line="264" w:lineRule="auto"/>
      </w:pPr>
      <w:r>
        <w:rPr>
          <w:rFonts w:ascii="Calibri" w:hAnsi="Calibri"/>
          <w:b w:val="0"/>
          <w:i w:val="0"/>
          <w:color w:val="17212B"/>
          <w:sz w:val="22"/>
        </w:rPr>
        <w:t>A short scenario-based evaluation has been prepared for three to four participants. Ideally, these are the same or similar UWTSD students used previously so that the final sample still covers the four persona behaviours: occasional strategy use, commuting and work commitments, limited gaming confidence, and regular cooperative play. A small convenience sample cannot represent every student, but it is suitable for identifying major problems in a static prototype [2], [12].</w:t>
      </w:r>
    </w:p>
    <w:p>
      <w:pPr>
        <w:spacing w:before="0" w:after="120" w:line="264" w:lineRule="auto"/>
      </w:pPr>
      <w:r>
        <w:rPr>
          <w:rFonts w:ascii="Calibri" w:hAnsi="Calibri"/>
          <w:b w:val="0"/>
          <w:i w:val="0"/>
          <w:color w:val="17212B"/>
          <w:sz w:val="22"/>
        </w:rPr>
        <w:t>Participants receive the complete storyboard flow and the larger versions of Screens 6–10. They are asked to imagine that they are Morgan, the IT Technician, and explain how they would complete five tasks. Because the storyboard is static, the evaluation measures comprehension and expected interaction rather than real touch accuracy or system response time.</w:t>
      </w:r>
    </w:p>
    <w:p>
      <w:pPr>
        <w:pStyle w:val="ListNumber"/>
        <w:spacing w:after="80" w:line="264" w:lineRule="auto"/>
      </w:pPr>
      <w:r>
        <w:rPr>
          <w:rFonts w:ascii="Calibri" w:hAnsi="Calibri"/>
          <w:color w:val="17212B"/>
          <w:sz w:val="22"/>
        </w:rPr>
        <w:t>Join team LON-24A and choose the IT Technician role.</w:t>
      </w:r>
    </w:p>
    <w:p>
      <w:pPr>
        <w:pStyle w:val="ListNumber"/>
        <w:spacing w:after="80" w:line="264" w:lineRule="auto"/>
      </w:pPr>
      <w:r>
        <w:rPr>
          <w:rFonts w:ascii="Calibri" w:hAnsi="Calibri"/>
          <w:color w:val="17212B"/>
          <w:sz w:val="22"/>
        </w:rPr>
        <w:t>Identify the campus zone that needs the most urgent attention.</w:t>
      </w:r>
    </w:p>
    <w:p>
      <w:pPr>
        <w:pStyle w:val="ListNumber"/>
        <w:spacing w:after="80" w:line="264" w:lineRule="auto"/>
      </w:pPr>
      <w:r>
        <w:rPr>
          <w:rFonts w:ascii="Calibri" w:hAnsi="Calibri"/>
          <w:color w:val="17212B"/>
          <w:sz w:val="22"/>
        </w:rPr>
        <w:t>Discuss the problem, vote and choose the treatment action.</w:t>
      </w:r>
    </w:p>
    <w:p>
      <w:pPr>
        <w:pStyle w:val="ListNumber"/>
        <w:spacing w:after="80" w:line="264" w:lineRule="auto"/>
      </w:pPr>
      <w:r>
        <w:rPr>
          <w:rFonts w:ascii="Calibri" w:hAnsi="Calibri"/>
          <w:color w:val="17212B"/>
          <w:sz w:val="22"/>
        </w:rPr>
        <w:t>Explain what changed after the treatment and how many actions remain.</w:t>
      </w:r>
    </w:p>
    <w:p>
      <w:pPr>
        <w:pStyle w:val="ListNumber"/>
        <w:spacing w:after="80" w:line="264" w:lineRule="auto"/>
      </w:pPr>
      <w:r>
        <w:rPr>
          <w:rFonts w:ascii="Calibri" w:hAnsi="Calibri"/>
          <w:color w:val="17212B"/>
          <w:sz w:val="22"/>
        </w:rPr>
        <w:t>Pause and explain how the mission would be resumed later.</w:t>
      </w:r>
    </w:p>
    <w:p>
      <w:pPr>
        <w:spacing w:before="0" w:after="120" w:line="264" w:lineRule="auto"/>
      </w:pPr>
      <w:r>
        <w:rPr>
          <w:rFonts w:ascii="Calibri" w:hAnsi="Calibri"/>
          <w:b w:val="0"/>
          <w:i w:val="0"/>
          <w:color w:val="17212B"/>
          <w:sz w:val="22"/>
        </w:rPr>
        <w:t>The moderator records task comprehension as success, partial success or failure and asks five 1–5 rating questions covering clarity, readability, confidence, visual appeal and teamwork. Three open questions collect the strongest feature, the most confusing feature and one recommended improvement. This combines behavioural evidence with emotional response rather than treating satisfaction as equivalent to task success. Usability is interpreted through effectiveness, efficiency and satisfaction in context [4].</w:t>
      </w:r>
    </w:p>
    <w:p>
      <w:pPr>
        <w:pStyle w:val="Heading2"/>
        <w:keepNext/>
      </w:pPr>
      <w:r>
        <w:t>3.2 Coverage of personas</w:t>
      </w:r>
    </w:p>
    <w:tbl>
      <w:tblPr>
        <w:tblStyle w:val="TableGrid"/>
        <w:tblW w:type="dxa" w:w="9360"/>
        <w:jc w:val="left"/>
        <w:tblLayout w:type="fixed"/>
        <w:tblLook w:firstColumn="1" w:firstRow="1" w:lastColumn="0" w:lastRow="0" w:noHBand="0" w:noVBand="1" w:val="04A0"/>
        <w:tblInd w:w="120" w:type="dxa"/>
      </w:tblPr>
      <w:tblGrid>
        <w:gridCol w:w="3100"/>
        <w:gridCol w:w="2100"/>
        <w:gridCol w:w="4160"/>
      </w:tblGrid>
      <w:tr>
        <w:trPr>
          <w:tblHeader w:val="true"/>
        </w:trPr>
        <w:tc>
          <w:tcPr>
            <w:tcW w:type="dxa" w:w="31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Participant profile to recruit</w:t>
            </w:r>
          </w:p>
        </w:tc>
        <w:tc>
          <w:tcPr>
            <w:tcW w:type="dxa" w:w="21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Persona represented</w:t>
            </w:r>
          </w:p>
        </w:tc>
        <w:tc>
          <w:tcPr>
            <w:tcW w:type="dxa" w:w="416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Reason for inclusion</w:t>
            </w:r>
          </w:p>
        </w:tc>
      </w:tr>
      <w:tr>
        <w:tc>
          <w:tcPr>
            <w:tcW w:type="dxa" w:w="3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Occasional mobile strategy player</w:t>
            </w:r>
          </w:p>
        </w:tc>
        <w:tc>
          <w:tcPr>
            <w:tcW w:type="dxa" w:w="2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Jordan</w:t>
            </w:r>
          </w:p>
        </w:tc>
        <w:tc>
          <w:tcPr>
            <w:tcW w:type="dxa" w:w="41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Tests clarity without expert game knowledge</w:t>
            </w:r>
          </w:p>
        </w:tc>
      </w:tr>
      <w:tr>
        <w:tc>
          <w:tcPr>
            <w:tcW w:type="dxa" w:w="3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Student who works or commutes</w:t>
            </w:r>
          </w:p>
        </w:tc>
        <w:tc>
          <w:tcPr>
            <w:tcW w:type="dxa" w:w="2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Daniel / Morgan</w:t>
            </w:r>
          </w:p>
        </w:tc>
        <w:tc>
          <w:tcPr>
            <w:tcW w:type="dxa" w:w="41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Tests short-session design and autosave</w:t>
            </w:r>
          </w:p>
        </w:tc>
      </w:tr>
      <w:tr>
        <w:tc>
          <w:tcPr>
            <w:tcW w:type="dxa" w:w="3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Regular social or multiplayer player</w:t>
            </w:r>
          </w:p>
        </w:tc>
        <w:tc>
          <w:tcPr>
            <w:tcW w:type="dxa" w:w="21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Sam</w:t>
            </w:r>
          </w:p>
        </w:tc>
        <w:tc>
          <w:tcPr>
            <w:tcW w:type="dxa" w:w="416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Tests teamwork, voting and expected game feedback</w:t>
            </w:r>
          </w:p>
        </w:tc>
      </w:tr>
    </w:tbl>
    <w:p>
      <w:pPr>
        <w:pStyle w:val="Heading2"/>
        <w:keepNext/>
      </w:pPr>
      <w:r>
        <w:t>3.3 Results and evidence</w:t>
      </w:r>
    </w:p>
    <w:tbl>
      <w:tblPr>
        <w:tblW w:type="dxa" w:w="9360"/>
        <w:tblLayout w:type="fixed"/>
        <w:tblLook w:firstColumn="1" w:firstRow="1" w:lastColumn="0" w:lastRow="0" w:noHBand="0" w:noVBand="1" w:val="04A0"/>
        <w:tblInd w:w="120" w:type="dxa"/>
      </w:tblPr>
      <w:tblGrid>
        <w:gridCol w:w="9360"/>
      </w:tblGrid>
      <w:tr>
        <w:tc>
          <w:tcPr>
            <w:tcW w:type="dxa" w:w="9360"/>
            <w:tcMar>
              <w:top w:w="80" w:type="dxa"/>
              <w:start w:w="120" w:type="dxa"/>
              <w:bottom w:w="80" w:type="dxa"/>
              <w:end w:w="120" w:type="dxa"/>
            </w:tcMar>
            <w:vAlign w:val="center"/>
            <w:shd w:fill="FFF4D6"/>
          </w:tcPr>
          <w:p>
            <w:pPr>
              <w:spacing w:after="0" w:line="252" w:lineRule="auto"/>
              <w:jc w:val="left"/>
            </w:pPr>
            <w:r/>
            <w:r>
              <w:rPr>
                <w:rFonts w:ascii="Calibri" w:hAnsi="Calibri"/>
                <w:b/>
                <w:color w:val="132A44"/>
                <w:sz w:val="20"/>
              </w:rPr>
              <w:t>USER ACTION REQUIRED BEFORE SUBMISSION: send the storyboard and the six questions in Appendix B to at least three people. Replace this note with the actual task results, average ratings, positive comments, negative comments and anonymised evidence. No participant results have been invented in this draft.</w:t>
            </w:r>
          </w:p>
        </w:tc>
      </w:tr>
    </w:tbl>
    <w:p>
      <w:pPr>
        <w:spacing w:before="160" w:after="120" w:line="264" w:lineRule="auto"/>
      </w:pPr>
      <w:r>
        <w:rPr>
          <w:rFonts w:ascii="Calibri" w:hAnsi="Calibri"/>
          <w:b w:val="0"/>
          <w:i w:val="0"/>
          <w:color w:val="17212B"/>
          <w:sz w:val="22"/>
        </w:rPr>
        <w:t>Use the following table to enter the real results:</w:t>
      </w:r>
    </w:p>
    <w:tbl>
      <w:tblPr>
        <w:tblStyle w:val="TableGrid"/>
        <w:tblW w:type="dxa" w:w="9360"/>
        <w:jc w:val="left"/>
        <w:tblLayout w:type="fixed"/>
        <w:tblLook w:firstColumn="1" w:firstRow="1" w:lastColumn="0" w:lastRow="0" w:noHBand="0" w:noVBand="1" w:val="04A0"/>
        <w:tblInd w:w="120" w:type="dxa"/>
      </w:tblPr>
      <w:tblGrid>
        <w:gridCol w:w="3400"/>
        <w:gridCol w:w="1050"/>
        <w:gridCol w:w="1050"/>
        <w:gridCol w:w="1050"/>
        <w:gridCol w:w="2810"/>
      </w:tblGrid>
      <w:tr>
        <w:trPr>
          <w:tblHeader w:val="true"/>
        </w:trPr>
        <w:tc>
          <w:tcPr>
            <w:tcW w:type="dxa" w:w="34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Measure</w:t>
            </w:r>
          </w:p>
        </w:tc>
        <w:tc>
          <w:tcPr>
            <w:tcW w:type="dxa" w:w="10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P1</w:t>
            </w:r>
          </w:p>
        </w:tc>
        <w:tc>
          <w:tcPr>
            <w:tcW w:type="dxa" w:w="10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P2</w:t>
            </w:r>
          </w:p>
        </w:tc>
        <w:tc>
          <w:tcPr>
            <w:tcW w:type="dxa" w:w="10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P3</w:t>
            </w:r>
          </w:p>
        </w:tc>
        <w:tc>
          <w:tcPr>
            <w:tcW w:type="dxa" w:w="281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8"/>
              </w:rPr>
              <w:t>Summary</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Tasks understood (out of 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Clarity rating (1–5)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Readability rating (1–5)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Confidence rating (1–5)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Visual appeal rating (1–5)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r>
        <w:tc>
          <w:tcPr>
            <w:tcW w:type="dxa" w:w="340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Teamwork rating (1–5)</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105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c>
          <w:tcPr>
            <w:tcW w:type="dxa" w:w="2810"/>
            <w:tcMar>
              <w:top w:w="80" w:type="dxa"/>
              <w:start w:w="120" w:type="dxa"/>
              <w:bottom w:w="80" w:type="dxa"/>
              <w:end w:w="120" w:type="dxa"/>
            </w:tcMar>
            <w:vAlign w:val="center"/>
          </w:tcPr>
          <w:p>
            <w:pPr>
              <w:spacing w:after="0" w:line="252" w:lineRule="auto"/>
              <w:jc w:val="left"/>
            </w:pPr>
            <w:r/>
            <w:r>
              <w:rPr>
                <w:rFonts w:ascii="Calibri" w:hAnsi="Calibri"/>
                <w:b w:val="0"/>
                <w:color w:val="17212B"/>
                <w:sz w:val="18"/>
              </w:rPr>
              <w:t>[ ]</w:t>
            </w:r>
          </w:p>
        </w:tc>
      </w:tr>
    </w:tbl>
    <w:p>
      <w:pPr>
        <w:spacing w:before="160" w:after="120" w:line="264" w:lineRule="auto"/>
      </w:pPr>
      <w:r>
        <w:rPr>
          <w:rFonts w:ascii="Calibri" w:hAnsi="Calibri"/>
          <w:b w:val="0"/>
          <w:i/>
          <w:color w:val="617080"/>
          <w:sz w:val="20"/>
        </w:rPr>
        <w:t>Suggested results paragraph after testing: All participants understood [insert number] of the five tasks. The strongest result was [insert], while [insert] caused the most difficulty. Positive emotional responses included [insert], whereas negative feedback concerned [insert]. These findings were [expected/unexpected] because [brief comparison with Assignment 1]. The next design revision would therefore [insert change].</w:t>
      </w:r>
    </w:p>
    <w:p>
      <w:pPr>
        <w:pStyle w:val="Heading1"/>
        <w:keepNext/>
      </w:pPr>
      <w:r>
        <w:t>4. Data to collect from a released game</w:t>
      </w:r>
    </w:p>
    <w:p>
      <w:pPr>
        <w:pStyle w:val="Heading2"/>
        <w:keepNext/>
      </w:pPr>
      <w:r>
        <w:t>4.1 Purpose and data minimisation</w:t>
      </w:r>
    </w:p>
    <w:p>
      <w:pPr>
        <w:spacing w:before="0" w:after="120" w:line="264" w:lineRule="auto"/>
      </w:pPr>
      <w:r>
        <w:rPr>
          <w:rFonts w:ascii="Calibri" w:hAnsi="Calibri"/>
          <w:b w:val="0"/>
          <w:i w:val="0"/>
          <w:color w:val="17212B"/>
          <w:sz w:val="22"/>
        </w:rPr>
        <w:t>A working game should collect only information that answers a clear design or reliability question. Data collection is not valuable simply because it is possible. The main purpose would be to identify where players abandon the flow, which screens produce mistakes, whether sessions fit the intended 10–30-minute period, and whether the cooperative mechanics remain enjoyable over repeated play. Players should receive a clear privacy notice, and optional research questions should require consent.</w:t>
      </w:r>
    </w:p>
    <w:p>
      <w:pPr>
        <w:pStyle w:val="Heading2"/>
        <w:keepNext/>
      </w:pPr>
      <w:r>
        <w:t>4.2 Automatically collected usage data</w:t>
      </w:r>
    </w:p>
    <w:tbl>
      <w:tblPr>
        <w:tblStyle w:val="TableGrid"/>
        <w:tblW w:type="dxa" w:w="9360"/>
        <w:jc w:val="left"/>
        <w:tblLayout w:type="fixed"/>
        <w:tblLook w:firstColumn="1" w:firstRow="1" w:lastColumn="0" w:lastRow="0" w:noHBand="0" w:noVBand="1" w:val="04A0"/>
        <w:tblInd w:w="120" w:type="dxa"/>
      </w:tblPr>
      <w:tblGrid>
        <w:gridCol w:w="2400"/>
        <w:gridCol w:w="3220"/>
        <w:gridCol w:w="3740"/>
      </w:tblGrid>
      <w:tr>
        <w:trPr>
          <w:tblHeader w:val="true"/>
        </w:trPr>
        <w:tc>
          <w:tcPr>
            <w:tcW w:type="dxa" w:w="24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Data item</w:t>
            </w:r>
          </w:p>
        </w:tc>
        <w:tc>
          <w:tcPr>
            <w:tcW w:type="dxa" w:w="322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Why it is needed</w:t>
            </w:r>
          </w:p>
        </w:tc>
        <w:tc>
          <w:tcPr>
            <w:tcW w:type="dxa" w:w="374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How it could influence version 2</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Anonymous session and mission ID</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Connect events from one play session without using a real name</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Measure completion and return rate</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Screen views and navigation path</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Find loops, abandoned screens and hidden functions</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Simplify navigation or reposition controls</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Task and mission completion</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Measure whether players can achieve the shared goal</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Rebalance mission difficulty</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Time per screen and session</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Detect hesitation and test the 10–30-minute target</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Shorten tutorials or complex decisions</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Action, cancel and confirmation events</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Find accidental choices and uncertainty</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Improve labels, mapping and confirmation rules</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Help and tutorial use</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Identify instructions that are missing or excessive</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Add contextual help only where needed</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Vote participation and response time</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Evaluate whether cooperative decisions include the team</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Adjust timers and quick messages</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Autosave, resume and technical errors</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Measure interruption recovery and reliability</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Prioritise crash, network and save fixes</w:t>
            </w:r>
          </w:p>
        </w:tc>
      </w:tr>
      <w:tr>
        <w:tc>
          <w:tcPr>
            <w:tcW w:type="dxa" w:w="24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Device, operating system and app version</w:t>
            </w:r>
          </w:p>
        </w:tc>
        <w:tc>
          <w:tcPr>
            <w:tcW w:type="dxa" w:w="32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Diagnose platform-specific problems</w:t>
            </w:r>
          </w:p>
        </w:tc>
        <w:tc>
          <w:tcPr>
            <w:tcW w:type="dxa" w:w="37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Target testing and performance work</w:t>
            </w:r>
          </w:p>
        </w:tc>
      </w:tr>
    </w:tbl>
    <w:p>
      <w:pPr>
        <w:pStyle w:val="Heading2"/>
        <w:keepNext/>
      </w:pPr>
      <w:r>
        <w:t>4.3 Directly collected emotional-response data</w:t>
      </w:r>
    </w:p>
    <w:p>
      <w:pPr>
        <w:spacing w:before="0" w:after="120" w:line="264" w:lineRule="auto"/>
      </w:pPr>
      <w:r>
        <w:rPr>
          <w:rFonts w:ascii="Calibri" w:hAnsi="Calibri"/>
          <w:b w:val="0"/>
          <w:i w:val="0"/>
          <w:color w:val="17212B"/>
          <w:sz w:val="22"/>
        </w:rPr>
        <w:t>Event logs can show that a player stopped at the map, but they cannot explain whether the player felt confused, bored, pressured or simply received a phone call. Emotional response therefore requires direct interaction with users. A short post-mission rating could ask whether the player felt calm, useful to the team, socially included and willing to play again. An optional open comment and periodic interview would provide explanations. These prompts should be brief and should not appear after every mission, because repeated questions would interrupt the experience and may reduce response quality.</w:t>
      </w:r>
    </w:p>
    <w:p>
      <w:pPr>
        <w:spacing w:before="0" w:after="120" w:line="264" w:lineRule="auto"/>
      </w:pPr>
      <w:r>
        <w:rPr>
          <w:rFonts w:ascii="Calibri" w:hAnsi="Calibri"/>
          <w:b w:val="0"/>
          <w:i w:val="0"/>
          <w:color w:val="17212B"/>
          <w:sz w:val="22"/>
        </w:rPr>
        <w:t>The System Usability Scale can provide a compact overall usability measure [9], and large-scale work has shown its value across different products [10]. However, SUS alone would not explain emotional engagement or the quality of cooperation. Short custom experience items and occasional interviews would therefore complement behavioural metrics. Quantitative results show patterns; qualitative comments help explain why the pattern occurred [8], [12].</w:t>
      </w:r>
    </w:p>
    <w:p>
      <w:pPr>
        <w:pStyle w:val="Heading2"/>
        <w:keepNext/>
      </w:pPr>
      <w:r>
        <w:t>4.4 Ethics, privacy and interpretation</w:t>
      </w:r>
    </w:p>
    <w:p>
      <w:pPr>
        <w:pStyle w:val="ListBullet"/>
        <w:spacing w:after="80" w:line="264" w:lineRule="auto"/>
      </w:pPr>
      <w:r>
        <w:rPr>
          <w:rFonts w:ascii="Calibri" w:hAnsi="Calibri"/>
          <w:color w:val="17212B"/>
          <w:sz w:val="22"/>
        </w:rPr>
        <w:t>Use an anonymous player ID and avoid collecting names, exact location or message content unless essential.</w:t>
      </w:r>
    </w:p>
    <w:p>
      <w:pPr>
        <w:pStyle w:val="ListBullet"/>
        <w:spacing w:after="80" w:line="264" w:lineRule="auto"/>
      </w:pPr>
      <w:r>
        <w:rPr>
          <w:rFonts w:ascii="Calibri" w:hAnsi="Calibri"/>
          <w:color w:val="17212B"/>
          <w:sz w:val="22"/>
        </w:rPr>
        <w:t>Separate optional research consent from the basic ability to play.</w:t>
      </w:r>
    </w:p>
    <w:p>
      <w:pPr>
        <w:pStyle w:val="ListBullet"/>
        <w:spacing w:after="80" w:line="264" w:lineRule="auto"/>
      </w:pPr>
      <w:r>
        <w:rPr>
          <w:rFonts w:ascii="Calibri" w:hAnsi="Calibri"/>
          <w:color w:val="17212B"/>
          <w:sz w:val="22"/>
        </w:rPr>
        <w:t>Give players access to privacy information and a way to withdraw optional data.</w:t>
      </w:r>
    </w:p>
    <w:p>
      <w:pPr>
        <w:pStyle w:val="ListBullet"/>
        <w:spacing w:after="80" w:line="264" w:lineRule="auto"/>
      </w:pPr>
      <w:r>
        <w:rPr>
          <w:rFonts w:ascii="Calibri" w:hAnsi="Calibri"/>
          <w:color w:val="17212B"/>
          <w:sz w:val="22"/>
        </w:rPr>
        <w:t>Limit retention and restrict access to raw research data.</w:t>
      </w:r>
    </w:p>
    <w:p>
      <w:pPr>
        <w:pStyle w:val="ListBullet"/>
        <w:spacing w:after="80" w:line="264" w:lineRule="auto"/>
      </w:pPr>
      <w:r>
        <w:rPr>
          <w:rFonts w:ascii="Calibri" w:hAnsi="Calibri"/>
          <w:color w:val="17212B"/>
          <w:sz w:val="22"/>
        </w:rPr>
        <w:t>Analyse team messages as counts or categories where possible rather than storing private text.</w:t>
      </w:r>
    </w:p>
    <w:p>
      <w:pPr>
        <w:pStyle w:val="ListBullet"/>
        <w:spacing w:after="80" w:line="264" w:lineRule="auto"/>
      </w:pPr>
      <w:r>
        <w:rPr>
          <w:rFonts w:ascii="Calibri" w:hAnsi="Calibri"/>
          <w:color w:val="17212B"/>
          <w:sz w:val="22"/>
        </w:rPr>
        <w:t>Do not treat correlation as proof: long time on a screen may mean confusion or careful strategy.</w:t>
      </w:r>
    </w:p>
    <w:p>
      <w:pPr>
        <w:pStyle w:val="Heading1"/>
        <w:keepNext/>
      </w:pPr>
      <w:r>
        <w:t>5. Usability and user-experience trade-offs</w:t>
      </w:r>
    </w:p>
    <w:p>
      <w:pPr>
        <w:pStyle w:val="Heading2"/>
        <w:keepNext/>
      </w:pPr>
      <w:r>
        <w:t>5.1 How a purely usability-led version would differ</w:t>
      </w:r>
    </w:p>
    <w:p>
      <w:pPr>
        <w:spacing w:before="0" w:after="120" w:line="264" w:lineRule="auto"/>
      </w:pPr>
      <w:r>
        <w:rPr>
          <w:rFonts w:ascii="Calibri" w:hAnsi="Calibri"/>
          <w:b w:val="0"/>
          <w:i w:val="0"/>
          <w:color w:val="17212B"/>
          <w:sz w:val="22"/>
        </w:rPr>
        <w:t>A purely usability-led design would minimise steps, visual decoration and uncertainty. It might replace the campus map with a simple list of locations, automatically select the highest-risk action, remove the timed vote, and present every rule as plain text. Such a version could be efficient but would weaken the sense of being a specialist team responding to a campus crisis. The current design therefore treats usability as necessary but not sufficient. Hassenzahl argues that perceived product quality includes both pragmatic and hedonic aspects [6], while Norman explains how emotional qualities influence experience as well as appearance [7].</w:t>
      </w:r>
    </w:p>
    <w:p>
      <w:pPr>
        <w:pStyle w:val="Heading2"/>
        <w:keepNext/>
      </w:pPr>
      <w:r>
        <w:t>5.2 Conflicts resolved in the prototype</w:t>
      </w:r>
    </w:p>
    <w:tbl>
      <w:tblPr>
        <w:tblStyle w:val="TableGrid"/>
        <w:tblW w:type="dxa" w:w="9360"/>
        <w:jc w:val="left"/>
        <w:tblLayout w:type="fixed"/>
        <w:tblLook w:firstColumn="1" w:firstRow="1" w:lastColumn="0" w:lastRow="0" w:noHBand="0" w:noVBand="1" w:val="04A0"/>
        <w:tblInd w:w="120" w:type="dxa"/>
      </w:tblPr>
      <w:tblGrid>
        <w:gridCol w:w="1750"/>
        <w:gridCol w:w="2500"/>
        <w:gridCol w:w="2500"/>
        <w:gridCol w:w="2610"/>
      </w:tblGrid>
      <w:tr>
        <w:trPr>
          <w:tblHeader w:val="true"/>
        </w:trPr>
        <w:tc>
          <w:tcPr>
            <w:tcW w:type="dxa" w:w="175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6"/>
              </w:rPr>
              <w:t>Conflict</w:t>
            </w:r>
          </w:p>
        </w:tc>
        <w:tc>
          <w:tcPr>
            <w:tcW w:type="dxa" w:w="25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6"/>
              </w:rPr>
              <w:t>Usability pressure</w:t>
            </w:r>
          </w:p>
        </w:tc>
        <w:tc>
          <w:tcPr>
            <w:tcW w:type="dxa" w:w="25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6"/>
              </w:rPr>
              <w:t>Experience pressure</w:t>
            </w:r>
          </w:p>
        </w:tc>
        <w:tc>
          <w:tcPr>
            <w:tcW w:type="dxa" w:w="261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6"/>
              </w:rPr>
              <w:t>Resolution</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Campus map</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 list would be faster to scan</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 spatial map supports strategy and campus identity</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Keep a simplified five-node map with numeric risk</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Warning colours</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Strong red improves urgency</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Too much red can feel stressful</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Reserve red for high risk and use calm navy/teal elsewhere</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Action confirmation</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An extra step slows play</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Accidental team actions are frustrating</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Confirm only consequential actions and explain the cost</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Timed voting</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A timer may pressure inexperienced players</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Time pressure creates cooperative tension</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Show the remaining time clearly and provide quick messages</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Tutorial</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More instruction improves first-time understanding</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Long instruction delays play</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Use a skippable three-step tutorial and contextual Help</w:t>
            </w:r>
          </w:p>
        </w:tc>
      </w:tr>
      <w:tr>
        <w:tc>
          <w:tcPr>
            <w:tcW w:type="dxa" w:w="175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Game status</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Many indicators improve awareness</w:t>
            </w:r>
          </w:p>
        </w:tc>
        <w:tc>
          <w:tcPr>
            <w:tcW w:type="dxa" w:w="250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Dense displays reduce immersion and readability</w:t>
            </w:r>
          </w:p>
        </w:tc>
        <w:tc>
          <w:tcPr>
            <w:tcW w:type="dxa" w:w="2610"/>
            <w:tcMar>
              <w:top w:w="80" w:type="dxa"/>
              <w:start w:w="120" w:type="dxa"/>
              <w:bottom w:w="80" w:type="dxa"/>
              <w:end w:w="120" w:type="dxa"/>
            </w:tcMar>
            <w:vAlign w:val="center"/>
          </w:tcPr>
          <w:p>
            <w:pPr>
              <w:spacing w:after="0" w:line="252" w:lineRule="auto"/>
              <w:jc w:val="left"/>
            </w:pPr>
            <w:r/>
            <w:r>
              <w:rPr>
                <w:rFonts w:ascii="Calibri" w:hAnsi="Calibri"/>
                <w:b w:val="0"/>
                <w:color w:val="17212B"/>
                <w:sz w:val="16"/>
              </w:rPr>
              <w:t>Show only outbreak, cure, round and actions on the map</w:t>
            </w:r>
          </w:p>
        </w:tc>
      </w:tr>
    </w:tbl>
    <w:p>
      <w:pPr>
        <w:spacing w:before="0" w:after="120" w:line="264" w:lineRule="auto"/>
      </w:pPr>
      <w:r>
        <w:rPr>
          <w:rFonts w:ascii="Calibri" w:hAnsi="Calibri"/>
          <w:b w:val="0"/>
          <w:i w:val="0"/>
          <w:color w:val="17212B"/>
          <w:sz w:val="22"/>
        </w:rPr>
        <w:t>These resolutions use progressive disclosure: essential information is visible immediately, while detailed explanation is available through Help or the location screen. This keeps the experience strategic without requiring the player to memorise rules. It also reflects the previous participants' request for both guidance and an uncluttered display.</w:t>
      </w:r>
    </w:p>
    <w:p>
      <w:pPr>
        <w:pStyle w:val="Heading1"/>
        <w:keepNext/>
      </w:pPr>
      <w:r>
        <w:t>6. Reflective summary</w:t>
      </w:r>
    </w:p>
    <w:p>
      <w:pPr>
        <w:spacing w:before="0" w:after="120" w:line="264" w:lineRule="auto"/>
      </w:pPr>
      <w:r>
        <w:rPr>
          <w:rFonts w:ascii="Calibri" w:hAnsi="Calibri"/>
          <w:b w:val="0"/>
          <w:i w:val="0"/>
          <w:color w:val="17212B"/>
          <w:sz w:val="22"/>
        </w:rPr>
        <w:t>The overall process moved from understanding users to defining requirements, creating wireframes, collecting feedback and developing full-colour storyboards. The most useful lesson was that visual polish should not be applied before the interaction structure is understandable. The greyscale wireframes allowed participants to focus on flow, while the final colour stage made hierarchy, urgency and emotional tone easier to judge.</w:t>
      </w:r>
    </w:p>
    <w:p>
      <w:pPr>
        <w:spacing w:before="0" w:after="120" w:line="264" w:lineRule="auto"/>
      </w:pPr>
      <w:r>
        <w:rPr>
          <w:rFonts w:ascii="Calibri" w:hAnsi="Calibri"/>
          <w:b w:val="0"/>
          <w:i w:val="0"/>
          <w:color w:val="17212B"/>
          <w:sz w:val="22"/>
        </w:rPr>
        <w:t>User participation materially changed the design. Without the questionnaire and interviews, I may have added more statistics, smaller map labels and longer missions because cooperative strategy games often contain complex information. The target users instead emphasised short play, interruptions, large controls and limited information. This led to autosave, a resume summary, full-width buttons, short messages and a reduced map. The later wireframe evaluation confirmed that clarity had improved but also showed that the map and indicator explanations still needed work.</w:t>
      </w:r>
    </w:p>
    <w:p>
      <w:pPr>
        <w:spacing w:before="0" w:after="120" w:line="264" w:lineRule="auto"/>
      </w:pPr>
      <w:r>
        <w:rPr>
          <w:rFonts w:ascii="Calibri" w:hAnsi="Calibri"/>
          <w:b w:val="0"/>
          <w:i w:val="0"/>
          <w:color w:val="17212B"/>
          <w:sz w:val="22"/>
        </w:rPr>
        <w:t>Usability theory helped interpret those comments. Visibility of status guided the turn, threat and save indicators. Signifiers guided the use of buttons, selected roles and location nodes. Constraints and confirmation reduced the chance of spending an action accidentally. Recognition rather than recall kept role abilities and valid actions visible [3]. ISO's focus on effectiveness, efficiency and satisfaction provided a useful evaluation structure [4], while emotional-design literature prevented the interface from becoming only a functional checklist [6], [7].</w:t>
      </w:r>
    </w:p>
    <w:p>
      <w:pPr>
        <w:spacing w:before="0" w:after="120" w:line="264" w:lineRule="auto"/>
      </w:pPr>
      <w:r>
        <w:rPr>
          <w:rFonts w:ascii="Calibri" w:hAnsi="Calibri"/>
          <w:b w:val="0"/>
          <w:i w:val="0"/>
          <w:color w:val="17212B"/>
          <w:sz w:val="22"/>
        </w:rPr>
        <w:t>The project also revealed limitations. The sample was small and based on accessible UWTSD students. The storyboards were static, so they could not measure genuine touch accuracy, latency, learning over repeated sessions or teamwork between six simultaneous players. A future interactive prototype should therefore use task completion, errors, time, observations and post-task ratings, followed by a small field test during commuting or university breaks. Even so, the iterative process produced a clearer and more defensible design than relying only on personal preference.</w:t>
      </w:r>
    </w:p>
    <w:p>
      <w:pPr>
        <w:pStyle w:val="Heading1"/>
        <w:keepNext/>
      </w:pPr>
      <w:r>
        <w:t>7. Conclusion</w:t>
      </w:r>
    </w:p>
    <w:p>
      <w:pPr>
        <w:spacing w:before="0" w:after="120" w:line="264" w:lineRule="auto"/>
      </w:pPr>
      <w:r>
        <w:rPr>
          <w:rFonts w:ascii="Calibri" w:hAnsi="Calibri"/>
          <w:b w:val="0"/>
          <w:i w:val="0"/>
          <w:color w:val="17212B"/>
          <w:sz w:val="22"/>
        </w:rPr>
        <w:t>This report developed the UWTSD London Campus cooperative game from low-fidelity wireframes into a complete twelve-screen, full-colour mobile storyboard. The navy and teal interface creates a calm campus identity, while amber, red and green communicate warning, danger and success with supporting text and icons. Earlier feedback was addressed through larger controls, simpler screens, contextual help, confirmation and visible autosave feedback.</w:t>
      </w:r>
    </w:p>
    <w:p>
      <w:pPr>
        <w:spacing w:before="0" w:after="120" w:line="264" w:lineRule="auto"/>
      </w:pPr>
      <w:r>
        <w:rPr>
          <w:rFonts w:ascii="Calibri" w:hAnsi="Calibri"/>
          <w:b w:val="0"/>
          <w:i w:val="0"/>
          <w:color w:val="17212B"/>
          <w:sz w:val="22"/>
        </w:rPr>
        <w:t>The proposed evaluation separates task comprehension from emotional response and preserves coverage of the earlier personas. A working release would combine anonymous usage events with occasional ratings and interviews, applying data minimisation and clear consent. The final design balances efficiency with a sense of teamwork and urgency. Before submission, the remaining task is to complete the short final storyboard test and replace the highlighted placeholder with real anonymised results and evidence.</w:t>
      </w:r>
    </w:p>
    <w:p>
      <w:r>
        <w:br w:type="page"/>
      </w:r>
    </w:p>
    <w:p>
      <w:pPr>
        <w:pStyle w:val="Heading1"/>
        <w:keepNext/>
      </w:pPr>
      <w:r>
        <w:t>References</w:t>
      </w:r>
    </w:p>
    <w:p>
      <w:pPr>
        <w:spacing w:before="0" w:after="120" w:line="264" w:lineRule="auto"/>
        <w:ind w:left="317" w:hanging="317"/>
      </w:pPr>
      <w:r>
        <w:rPr>
          <w:rFonts w:ascii="Calibri" w:hAnsi="Calibri"/>
          <w:b w:val="0"/>
          <w:i w:val="0"/>
          <w:color w:val="17212B"/>
          <w:sz w:val="19"/>
        </w:rPr>
        <w:t>[1] Z-Man Games, ‘Pandemic’, 2026. Available: https://www.zmangames.com/en/games/pandemic/ (accessed 16 August 2026).</w:t>
      </w:r>
    </w:p>
    <w:p>
      <w:pPr>
        <w:spacing w:before="0" w:after="120" w:line="264" w:lineRule="auto"/>
        <w:ind w:left="317" w:hanging="317"/>
      </w:pPr>
      <w:r>
        <w:rPr>
          <w:rFonts w:ascii="Calibri" w:hAnsi="Calibri"/>
          <w:b w:val="0"/>
          <w:i w:val="0"/>
          <w:color w:val="17212B"/>
          <w:sz w:val="19"/>
        </w:rPr>
        <w:t>[2] Y. Rogers, H. Sharp and J. Preece, Interaction Design: Beyond Human-Computer Interaction, 6th ed. Hoboken, NJ: Wiley, 2023.</w:t>
      </w:r>
    </w:p>
    <w:p>
      <w:pPr>
        <w:spacing w:before="0" w:after="120" w:line="264" w:lineRule="auto"/>
        <w:ind w:left="317" w:hanging="317"/>
      </w:pPr>
      <w:r>
        <w:rPr>
          <w:rFonts w:ascii="Calibri" w:hAnsi="Calibri"/>
          <w:b w:val="0"/>
          <w:i w:val="0"/>
          <w:color w:val="17212B"/>
          <w:sz w:val="19"/>
        </w:rPr>
        <w:t>[3] D. A. Norman, The Design of Everyday Things, Revised and Expanded ed. New York: Basic Books, 2013.</w:t>
      </w:r>
    </w:p>
    <w:p>
      <w:pPr>
        <w:spacing w:before="0" w:after="120" w:line="264" w:lineRule="auto"/>
        <w:ind w:left="317" w:hanging="317"/>
      </w:pPr>
      <w:r>
        <w:rPr>
          <w:rFonts w:ascii="Calibri" w:hAnsi="Calibri"/>
          <w:b w:val="0"/>
          <w:i w:val="0"/>
          <w:color w:val="17212B"/>
          <w:sz w:val="19"/>
        </w:rPr>
        <w:t>[4] International Organization for Standardization, ISO 9241-11:2018, Ergonomics of Human-System Interaction - Part 11: Usability: Definitions and Concepts. Geneva: ISO, 2018.</w:t>
      </w:r>
    </w:p>
    <w:p>
      <w:pPr>
        <w:spacing w:before="0" w:after="120" w:line="264" w:lineRule="auto"/>
        <w:ind w:left="317" w:hanging="317"/>
      </w:pPr>
      <w:r>
        <w:rPr>
          <w:rFonts w:ascii="Calibri" w:hAnsi="Calibri"/>
          <w:b w:val="0"/>
          <w:i w:val="0"/>
          <w:color w:val="17212B"/>
          <w:sz w:val="19"/>
        </w:rPr>
        <w:t>[5] World Wide Web Consortium, Web Content Accessibility Guidelines (WCAG) 2.2, Recommendation, 2024. Available: https://www.w3.org/TR/WCAG22/ (accessed 16 August 2026).</w:t>
      </w:r>
    </w:p>
    <w:p>
      <w:pPr>
        <w:spacing w:before="0" w:after="120" w:line="264" w:lineRule="auto"/>
        <w:ind w:left="317" w:hanging="317"/>
      </w:pPr>
      <w:r>
        <w:rPr>
          <w:rFonts w:ascii="Calibri" w:hAnsi="Calibri"/>
          <w:b w:val="0"/>
          <w:i w:val="0"/>
          <w:color w:val="17212B"/>
          <w:sz w:val="19"/>
        </w:rPr>
        <w:t>[6] M. Hassenzahl, ‘The interplay of beauty, goodness, and usability in interactive products’, Human-Computer Interaction, vol. 19, no. 4, pp. 319-349, 2004, doi: 10.1207/S15327051HCI1904_2.</w:t>
      </w:r>
    </w:p>
    <w:p>
      <w:pPr>
        <w:spacing w:before="0" w:after="120" w:line="264" w:lineRule="auto"/>
        <w:ind w:left="317" w:hanging="317"/>
      </w:pPr>
      <w:r>
        <w:rPr>
          <w:rFonts w:ascii="Calibri" w:hAnsi="Calibri"/>
          <w:b w:val="0"/>
          <w:i w:val="0"/>
          <w:color w:val="17212B"/>
          <w:sz w:val="19"/>
        </w:rPr>
        <w:t>[7] D. A. Norman, Emotional Design: Why We Love (or Hate) Everyday Things. New York: Basic Books, 2004.</w:t>
      </w:r>
    </w:p>
    <w:p>
      <w:pPr>
        <w:spacing w:before="0" w:after="120" w:line="264" w:lineRule="auto"/>
        <w:ind w:left="317" w:hanging="317"/>
      </w:pPr>
      <w:r>
        <w:rPr>
          <w:rFonts w:ascii="Calibri" w:hAnsi="Calibri"/>
          <w:b w:val="0"/>
          <w:i w:val="0"/>
          <w:color w:val="17212B"/>
          <w:sz w:val="19"/>
        </w:rPr>
        <w:t>[8] T. Tullis and W. Albert, Measuring the User Experience: Collecting, Analyzing, and Presenting Usability Metrics, 2nd ed. Waltham, MA: Morgan Kaufmann, 2013.</w:t>
      </w:r>
    </w:p>
    <w:p>
      <w:pPr>
        <w:spacing w:before="0" w:after="120" w:line="264" w:lineRule="auto"/>
        <w:ind w:left="317" w:hanging="317"/>
      </w:pPr>
      <w:r>
        <w:rPr>
          <w:rFonts w:ascii="Calibri" w:hAnsi="Calibri"/>
          <w:b w:val="0"/>
          <w:i w:val="0"/>
          <w:color w:val="17212B"/>
          <w:sz w:val="19"/>
        </w:rPr>
        <w:t>[9] J. Brooke, ‘SUS: A quick and dirty usability scale’, in Usability Evaluation in Industry, P. W. Jordan, B. Thomas, B. A. Weerdmeester and I. L. McClelland, Eds. London: Taylor &amp; Francis, 1996, pp. 189-194.</w:t>
      </w:r>
    </w:p>
    <w:p>
      <w:pPr>
        <w:spacing w:before="0" w:after="120" w:line="264" w:lineRule="auto"/>
        <w:ind w:left="317" w:hanging="317"/>
      </w:pPr>
      <w:r>
        <w:rPr>
          <w:rFonts w:ascii="Calibri" w:hAnsi="Calibri"/>
          <w:b w:val="0"/>
          <w:i w:val="0"/>
          <w:color w:val="17212B"/>
          <w:sz w:val="19"/>
        </w:rPr>
        <w:t>[10] A. Bangor, P. T. Kortum and J. T. Miller, ‘An empirical evaluation of the System Usability Scale’, International Journal of Human-Computer Interaction, vol. 24, no. 6, pp. 574-594, 2008, doi: 10.1080/10447310802205776.</w:t>
      </w:r>
    </w:p>
    <w:p>
      <w:pPr>
        <w:spacing w:before="0" w:after="120" w:line="264" w:lineRule="auto"/>
        <w:ind w:left="317" w:hanging="317"/>
      </w:pPr>
      <w:r>
        <w:rPr>
          <w:rFonts w:ascii="Calibri" w:hAnsi="Calibri"/>
          <w:b w:val="0"/>
          <w:i w:val="0"/>
          <w:color w:val="17212B"/>
          <w:sz w:val="19"/>
        </w:rPr>
        <w:t>[11] J. Nielsen, ‘Enhancing the explanatory power of usability heuristics’, in Proceedings of CHI '94, Boston, MA, 1994, pp. 152-158, doi: 10.1145/191666.191729.</w:t>
      </w:r>
    </w:p>
    <w:p>
      <w:pPr>
        <w:spacing w:before="0" w:after="120" w:line="264" w:lineRule="auto"/>
        <w:ind w:left="317" w:hanging="317"/>
      </w:pPr>
      <w:r>
        <w:rPr>
          <w:rFonts w:ascii="Calibri" w:hAnsi="Calibri"/>
          <w:b w:val="0"/>
          <w:i w:val="0"/>
          <w:color w:val="17212B"/>
          <w:sz w:val="19"/>
        </w:rPr>
        <w:t>[12] J. Lazar, J. H. Feng and H. Hochheiser, Research Methods in Human-Computer Interaction, 2nd ed. Cambridge, MA: Morgan Kaufmann, 2017.</w:t>
      </w:r>
    </w:p>
    <w:p>
      <w:r>
        <w:br w:type="page"/>
      </w:r>
    </w:p>
    <w:p>
      <w:pPr>
        <w:pStyle w:val="Heading1"/>
        <w:keepNext/>
      </w:pPr>
      <w:r>
        <w:t>Appendix A - Complete full-colour storyboards</w:t>
      </w:r>
    </w:p>
    <w:p>
      <w:pPr>
        <w:spacing w:before="0" w:after="120" w:line="264" w:lineRule="auto"/>
      </w:pPr>
      <w:r>
        <w:rPr>
          <w:rFonts w:ascii="Calibri" w:hAnsi="Calibri"/>
          <w:b w:val="0"/>
          <w:i w:val="0"/>
          <w:color w:val="17212B"/>
          <w:sz w:val="22"/>
        </w:rPr>
        <w:t>The appendix presents every major screen at a mobile-phone proportion. The sequence numbers correspond to Figure 2. Arrows in the overview show the main movement between screens; the persistent bottom navigation provides access to Map, Team, Chat and Help during the mission.</w:t>
      </w:r>
    </w:p>
    <w:p>
      <w:pPr>
        <w:spacing w:after="0"/>
        <w:jc w:val="center"/>
      </w:pPr>
      <w:r>
        <w:drawing>
          <wp:inline xmlns:a="http://schemas.openxmlformats.org/drawingml/2006/main" xmlns:pic="http://schemas.openxmlformats.org/drawingml/2006/picture">
            <wp:extent cx="5715000" cy="4578494"/>
            <wp:docPr id="8" name="Picture 8" descr="Complete storyboard flow" title="Complete storyboard flow"/>
            <wp:cNvGraphicFramePr>
              <a:graphicFrameLocks noChangeAspect="1"/>
            </wp:cNvGraphicFramePr>
            <a:graphic>
              <a:graphicData uri="http://schemas.openxmlformats.org/drawingml/2006/picture">
                <pic:pic>
                  <pic:nvPicPr>
                    <pic:cNvPr id="0" name="00_complete_flow.png"/>
                    <pic:cNvPicPr/>
                  </pic:nvPicPr>
                  <pic:blipFill>
                    <a:blip r:embed="rId13"/>
                    <a:stretch>
                      <a:fillRect/>
                    </a:stretch>
                  </pic:blipFill>
                  <pic:spPr>
                    <a:xfrm>
                      <a:off x="0" y="0"/>
                      <a:ext cx="5715000" cy="4578494"/>
                    </a:xfrm>
                    <a:prstGeom prst="rect"/>
                  </pic:spPr>
                </pic:pic>
              </a:graphicData>
            </a:graphic>
          </wp:inline>
        </w:drawing>
      </w:r>
    </w:p>
    <w:p>
      <w:pPr>
        <w:spacing w:before="60" w:after="180"/>
        <w:jc w:val="center"/>
      </w:pPr>
      <w:r>
        <w:rPr>
          <w:rFonts w:ascii="Calibri" w:hAnsi="Calibri"/>
          <w:i/>
          <w:color w:val="617080"/>
          <w:sz w:val="18"/>
        </w:rPr>
        <w:t>Figure A1. Complete navigation overview.</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9" name="Picture 9" descr="Figure A2. Welcome: create or join a private team"/>
                  <wp:cNvGraphicFramePr>
                    <a:graphicFrameLocks noChangeAspect="1"/>
                  </wp:cNvGraphicFramePr>
                  <a:graphic>
                    <a:graphicData uri="http://schemas.openxmlformats.org/drawingml/2006/picture">
                      <pic:pic>
                        <pic:nvPicPr>
                          <pic:cNvPr id="0" name="01_welcome.png"/>
                          <pic:cNvPicPr/>
                        </pic:nvPicPr>
                        <pic:blipFill>
                          <a:blip r:embed="rId17"/>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0" name="Picture 10" descr="Figure A3. Join: enter team code and player name"/>
                  <wp:cNvGraphicFramePr>
                    <a:graphicFrameLocks noChangeAspect="1"/>
                  </wp:cNvGraphicFramePr>
                  <a:graphic>
                    <a:graphicData uri="http://schemas.openxmlformats.org/drawingml/2006/picture">
                      <pic:pic>
                        <pic:nvPicPr>
                          <pic:cNvPr id="0" name="02_join_team.png"/>
                          <pic:cNvPicPr/>
                        </pic:nvPicPr>
                        <pic:blipFill>
                          <a:blip r:embed="rId18"/>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A2. Welcome: create or join a private team</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A3. Join: enter team code and player name</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1" name="Picture 11" descr="Figure A4. Lobby: see players and mission"/>
                  <wp:cNvGraphicFramePr>
                    <a:graphicFrameLocks noChangeAspect="1"/>
                  </wp:cNvGraphicFramePr>
                  <a:graphic>
                    <a:graphicData uri="http://schemas.openxmlformats.org/drawingml/2006/picture">
                      <pic:pic>
                        <pic:nvPicPr>
                          <pic:cNvPr id="0" name="03_team_lobby.png"/>
                          <pic:cNvPicPr/>
                        </pic:nvPicPr>
                        <pic:blipFill>
                          <a:blip r:embed="rId19"/>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2" name="Picture 12" descr="Figure A5. Roles: choose a university specialist"/>
                  <wp:cNvGraphicFramePr>
                    <a:graphicFrameLocks noChangeAspect="1"/>
                  </wp:cNvGraphicFramePr>
                  <a:graphic>
                    <a:graphicData uri="http://schemas.openxmlformats.org/drawingml/2006/picture">
                      <pic:pic>
                        <pic:nvPicPr>
                          <pic:cNvPr id="0" name="04_choose_role.png"/>
                          <pic:cNvPicPr/>
                        </pic:nvPicPr>
                        <pic:blipFill>
                          <a:blip r:embed="rId20"/>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A4. Lobby: see players and mission</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A5. Roles: choose a university specialist</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3" name="Picture 13" descr="Figure A6. Tutorial: three skippable steps"/>
                  <wp:cNvGraphicFramePr>
                    <a:graphicFrameLocks noChangeAspect="1"/>
                  </wp:cNvGraphicFramePr>
                  <a:graphic>
                    <a:graphicData uri="http://schemas.openxmlformats.org/drawingml/2006/picture">
                      <pic:pic>
                        <pic:nvPicPr>
                          <pic:cNvPr id="0" name="05_tutorial.png"/>
                          <pic:cNvPicPr/>
                        </pic:nvPicPr>
                        <pic:blipFill>
                          <a:blip r:embed="rId21"/>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4" name="Picture 14" descr="Figure A7. Map: read risk and choose a location"/>
                  <wp:cNvGraphicFramePr>
                    <a:graphicFrameLocks noChangeAspect="1"/>
                  </wp:cNvGraphicFramePr>
                  <a:graphic>
                    <a:graphicData uri="http://schemas.openxmlformats.org/drawingml/2006/picture">
                      <pic:pic>
                        <pic:nvPicPr>
                          <pic:cNvPr id="0" name="06_campus_map.png"/>
                          <pic:cNvPicPr/>
                        </pic:nvPicPr>
                        <pic:blipFill>
                          <a:blip r:embed="rId11"/>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A6. Tutorial: three skippable steps</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A7. Map: read risk and choose a location</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5" name="Picture 15" descr="Figure A8. Library: review risk and recommended action"/>
                  <wp:cNvGraphicFramePr>
                    <a:graphicFrameLocks noChangeAspect="1"/>
                  </wp:cNvGraphicFramePr>
                  <a:graphic>
                    <a:graphicData uri="http://schemas.openxmlformats.org/drawingml/2006/picture">
                      <pic:pic>
                        <pic:nvPicPr>
                          <pic:cNvPr id="0" name="07_location_detail.png"/>
                          <pic:cNvPicPr/>
                        </pic:nvPicPr>
                        <pic:blipFill>
                          <a:blip r:embed="rId22"/>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6" name="Picture 16" descr="Figure A9. Team: discuss and vote"/>
                  <wp:cNvGraphicFramePr>
                    <a:graphicFrameLocks noChangeAspect="1"/>
                  </wp:cNvGraphicFramePr>
                  <a:graphic>
                    <a:graphicData uri="http://schemas.openxmlformats.org/drawingml/2006/picture">
                      <pic:pic>
                        <pic:nvPicPr>
                          <pic:cNvPr id="0" name="08_team_vote.png"/>
                          <pic:cNvPicPr/>
                        </pic:nvPicPr>
                        <pic:blipFill>
                          <a:blip r:embed="rId14"/>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A8. Library: review risk and recommended action</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A9. Team: discuss and vote</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7" name="Picture 17" descr="Figure A10. Confirmation: prevent accidental action"/>
                  <wp:cNvGraphicFramePr>
                    <a:graphicFrameLocks noChangeAspect="1"/>
                  </wp:cNvGraphicFramePr>
                  <a:graphic>
                    <a:graphicData uri="http://schemas.openxmlformats.org/drawingml/2006/picture">
                      <pic:pic>
                        <pic:nvPicPr>
                          <pic:cNvPr id="0" name="09_confirm_action.png"/>
                          <pic:cNvPicPr/>
                        </pic:nvPicPr>
                        <pic:blipFill>
                          <a:blip r:embed="rId15"/>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8" name="Picture 18" descr="Figure A11. Feedback: show result and autosave"/>
                  <wp:cNvGraphicFramePr>
                    <a:graphicFrameLocks noChangeAspect="1"/>
                  </wp:cNvGraphicFramePr>
                  <a:graphic>
                    <a:graphicData uri="http://schemas.openxmlformats.org/drawingml/2006/picture">
                      <pic:pic>
                        <pic:nvPicPr>
                          <pic:cNvPr id="0" name="10_action_feedback.png"/>
                          <pic:cNvPicPr/>
                        </pic:nvPicPr>
                        <pic:blipFill>
                          <a:blip r:embed="rId16"/>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A10. Confirmation: prevent accidental action</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A11. Feedback: show result and autosave</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tbl>
      <w:tblPr>
        <w:tblW w:type="dxa" w:w="9240"/>
        <w:jc w:val="center"/>
        <w:tblLayout w:type="fixed"/>
        <w:tblLook w:firstColumn="1" w:firstRow="1" w:lastColumn="0" w:lastRow="0" w:noHBand="0" w:noVBand="1" w:val="04A0"/>
        <w:tblInd w:w="0" w:type="dxa"/>
        <w:tblBorders>
          <w:top w:val="nil"/>
          <w:left w:val="nil"/>
          <w:bottom w:val="nil"/>
          <w:right w:val="nil"/>
          <w:insideH w:val="nil"/>
          <w:insideV w:val="nil"/>
        </w:tblBorders>
      </w:tblPr>
      <w:tblGrid>
        <w:gridCol w:w="4620"/>
        <w:gridCol w:w="4620"/>
      </w:tblGrid>
      <w:tr>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19" name="Picture 19" descr="Figure A12. Resume: continue an interrupted mission"/>
                  <wp:cNvGraphicFramePr>
                    <a:graphicFrameLocks noChangeAspect="1"/>
                  </wp:cNvGraphicFramePr>
                  <a:graphic>
                    <a:graphicData uri="http://schemas.openxmlformats.org/drawingml/2006/picture">
                      <pic:pic>
                        <pic:nvPicPr>
                          <pic:cNvPr id="0" name="11_autosave_resume.png"/>
                          <pic:cNvPicPr/>
                        </pic:nvPicPr>
                        <pic:blipFill>
                          <a:blip r:embed="rId23"/>
                          <a:stretch>
                            <a:fillRect/>
                          </a:stretch>
                        </pic:blipFill>
                        <pic:spPr>
                          <a:xfrm>
                            <a:off x="0" y="0"/>
                            <a:ext cx="2395728" cy="5184600"/>
                          </a:xfrm>
                          <a:prstGeom prst="rect"/>
                        </pic:spPr>
                      </pic:pic>
                    </a:graphicData>
                  </a:graphic>
                </wp:inline>
              </w:drawing>
            </w:r>
          </w:p>
        </w:tc>
        <w:tc>
          <w:tcPr>
            <w:tcW w:type="dxa" w:w="4620"/>
            <w:tcMar>
              <w:top w:w="80" w:type="dxa"/>
              <w:start w:w="120" w:type="dxa"/>
              <w:bottom w:w="80" w:type="dxa"/>
              <w:end w:w="120" w:type="dxa"/>
            </w:tcMar>
            <w:vAlign w:val="center"/>
          </w:tcPr>
          <w:p>
            <w:pPr>
              <w:jc w:val="center"/>
            </w:pPr>
            <w:r/>
            <w:r>
              <w:drawing>
                <wp:inline xmlns:a="http://schemas.openxmlformats.org/drawingml/2006/main" xmlns:pic="http://schemas.openxmlformats.org/drawingml/2006/picture">
                  <wp:extent cx="2395728" cy="5184600"/>
                  <wp:docPr id="20" name="Picture 20" descr="Figure A13. Result: cure progress and team outcome"/>
                  <wp:cNvGraphicFramePr>
                    <a:graphicFrameLocks noChangeAspect="1"/>
                  </wp:cNvGraphicFramePr>
                  <a:graphic>
                    <a:graphicData uri="http://schemas.openxmlformats.org/drawingml/2006/picture">
                      <pic:pic>
                        <pic:nvPicPr>
                          <pic:cNvPr id="0" name="12_mission_result.png"/>
                          <pic:cNvPicPr/>
                        </pic:nvPicPr>
                        <pic:blipFill>
                          <a:blip r:embed="rId24"/>
                          <a:stretch>
                            <a:fillRect/>
                          </a:stretch>
                        </pic:blipFill>
                        <pic:spPr>
                          <a:xfrm>
                            <a:off x="0" y="0"/>
                            <a:ext cx="2395728" cy="5184600"/>
                          </a:xfrm>
                          <a:prstGeom prst="rect"/>
                        </pic:spPr>
                      </pic:pic>
                    </a:graphicData>
                  </a:graphic>
                </wp:inline>
              </w:drawing>
            </w:r>
          </w:p>
        </w:tc>
      </w:tr>
      <w:tr>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A12. Resume: continue an interrupted mission</w:t>
            </w:r>
          </w:p>
        </w:tc>
        <w:tc>
          <w:tcPr>
            <w:tcW w:type="dxa" w:w="4620"/>
            <w:tcMar>
              <w:top w:w="80" w:type="dxa"/>
              <w:start w:w="120" w:type="dxa"/>
              <w:bottom w:w="80" w:type="dxa"/>
              <w:end w:w="120" w:type="dxa"/>
            </w:tcMar>
            <w:vAlign w:val="center"/>
          </w:tcPr>
          <w:p>
            <w:pPr>
              <w:spacing w:after="0" w:line="252" w:lineRule="auto"/>
              <w:jc w:val="center"/>
            </w:pPr>
            <w:r/>
            <w:r>
              <w:rPr>
                <w:rFonts w:ascii="Calibri" w:hAnsi="Calibri"/>
                <w:b w:val="0"/>
                <w:color w:val="617080"/>
                <w:sz w:val="17"/>
              </w:rPr>
              <w:t>Figure A13. Result: cure progress and team outcome</w:t>
            </w:r>
          </w:p>
        </w:tc>
      </w:tr>
    </w:tbl>
    <w:p>
      <w:pPr>
        <w:spacing w:before="160" w:after="120" w:line="264" w:lineRule="auto"/>
        <w:jc w:val="center"/>
      </w:pPr>
      <w:r>
        <w:rPr>
          <w:rFonts w:ascii="Calibri" w:hAnsi="Calibri"/>
          <w:b w:val="0"/>
          <w:i w:val="0"/>
          <w:color w:val="617080"/>
          <w:sz w:val="19"/>
        </w:rPr>
        <w:t>Navigation: continue using the main teal button. Where shown, the bottom bar also opens Map, Team, Chat or Help. Secondary outlined buttons support cancelling, leaving safely or repeating a mission.</w:t>
      </w:r>
    </w:p>
    <w:p>
      <w:r>
        <w:br w:type="page"/>
      </w:r>
    </w:p>
    <w:p>
      <w:pPr>
        <w:pStyle w:val="Heading1"/>
        <w:keepNext/>
      </w:pPr>
      <w:r>
        <w:t>Appendix B - Final usability-test pack</w:t>
      </w:r>
    </w:p>
    <w:p>
      <w:pPr>
        <w:pStyle w:val="Heading2"/>
        <w:keepNext/>
      </w:pPr>
      <w:r>
        <w:t>B1. Participant message</w:t>
      </w:r>
    </w:p>
    <w:p>
      <w:pPr>
        <w:spacing w:before="0" w:after="120" w:line="264" w:lineRule="auto"/>
      </w:pPr>
      <w:r>
        <w:rPr>
          <w:rFonts w:ascii="Calibri" w:hAnsi="Calibri"/>
          <w:b w:val="0"/>
          <w:i w:val="0"/>
          <w:color w:val="17212B"/>
          <w:sz w:val="22"/>
        </w:rPr>
        <w:t>Hello. I am evaluating a static mobile-game storyboard for a university assignment. The test takes about five minutes. Your participation is voluntary and your answers will be recorded anonymously as P1, P2 or P3. Please look at the storyboard and answer the questions below. You may stop at any time. Do you agree to take part?</w:t>
      </w:r>
    </w:p>
    <w:p>
      <w:pPr>
        <w:pStyle w:val="Heading2"/>
        <w:keepNext/>
      </w:pPr>
      <w:r>
        <w:t>B2. Scenario and task questions</w:t>
      </w:r>
    </w:p>
    <w:p>
      <w:pPr>
        <w:spacing w:before="0" w:after="120" w:line="264" w:lineRule="auto"/>
      </w:pPr>
      <w:r>
        <w:rPr>
          <w:rFonts w:ascii="Calibri" w:hAnsi="Calibri"/>
          <w:b w:val="0"/>
          <w:i w:val="0"/>
          <w:color w:val="17212B"/>
          <w:sz w:val="22"/>
        </w:rPr>
        <w:t>Scenario: You are Morgan, a UWTSD student with limited time. You join a private campus-response team and choose the IT Technician role. The Library infection is increasing and the team must agree on an action.</w:t>
      </w:r>
    </w:p>
    <w:p>
      <w:pPr>
        <w:pStyle w:val="ListNumber"/>
        <w:spacing w:after="80" w:line="264" w:lineRule="auto"/>
      </w:pPr>
      <w:r>
        <w:rPr>
          <w:rFonts w:ascii="Calibri" w:hAnsi="Calibri"/>
          <w:color w:val="17212B"/>
          <w:sz w:val="22"/>
        </w:rPr>
        <w:t>Which button would you use to join the team, and where would you choose your role?</w:t>
      </w:r>
    </w:p>
    <w:p>
      <w:pPr>
        <w:pStyle w:val="ListNumber"/>
        <w:spacing w:after="80" w:line="264" w:lineRule="auto"/>
      </w:pPr>
      <w:r>
        <w:rPr>
          <w:rFonts w:ascii="Calibri" w:hAnsi="Calibri"/>
          <w:color w:val="17212B"/>
          <w:sz w:val="22"/>
        </w:rPr>
        <w:t>On the campus map, which location is most urgent and what information tells you this?</w:t>
      </w:r>
    </w:p>
    <w:p>
      <w:pPr>
        <w:pStyle w:val="ListNumber"/>
        <w:spacing w:after="80" w:line="264" w:lineRule="auto"/>
      </w:pPr>
      <w:r>
        <w:rPr>
          <w:rFonts w:ascii="Calibri" w:hAnsi="Calibri"/>
          <w:color w:val="17212B"/>
          <w:sz w:val="22"/>
        </w:rPr>
        <w:t>How would you ask the team and vote before treating the location?</w:t>
      </w:r>
    </w:p>
    <w:p>
      <w:pPr>
        <w:pStyle w:val="ListNumber"/>
        <w:spacing w:after="80" w:line="264" w:lineRule="auto"/>
      </w:pPr>
      <w:r>
        <w:rPr>
          <w:rFonts w:ascii="Calibri" w:hAnsi="Calibri"/>
          <w:color w:val="17212B"/>
          <w:sz w:val="22"/>
        </w:rPr>
        <w:t>After the action, what changed and how many actions remain?</w:t>
      </w:r>
    </w:p>
    <w:p>
      <w:pPr>
        <w:pStyle w:val="ListNumber"/>
        <w:spacing w:after="80" w:line="264" w:lineRule="auto"/>
      </w:pPr>
      <w:r>
        <w:rPr>
          <w:rFonts w:ascii="Calibri" w:hAnsi="Calibri"/>
          <w:color w:val="17212B"/>
          <w:sz w:val="22"/>
        </w:rPr>
        <w:t>If you close the game, how do you know that your progress is safe?</w:t>
      </w:r>
    </w:p>
    <w:p>
      <w:pPr>
        <w:pStyle w:val="Heading2"/>
        <w:keepNext/>
      </w:pPr>
      <w:r>
        <w:t>B3. Ratings and open feedback</w:t>
      </w:r>
    </w:p>
    <w:p>
      <w:pPr>
        <w:pStyle w:val="ListNumber"/>
        <w:spacing w:after="80" w:line="264" w:lineRule="auto"/>
      </w:pPr>
      <w:r>
        <w:rPr>
          <w:rFonts w:ascii="Calibri" w:hAnsi="Calibri"/>
          <w:color w:val="17212B"/>
          <w:sz w:val="22"/>
        </w:rPr>
        <w:t>How clear is the navigation? (1 = very unclear, 5 = very clear)</w:t>
      </w:r>
    </w:p>
    <w:p>
      <w:pPr>
        <w:pStyle w:val="ListNumber"/>
        <w:spacing w:after="80" w:line="264" w:lineRule="auto"/>
      </w:pPr>
      <w:r>
        <w:rPr>
          <w:rFonts w:ascii="Calibri" w:hAnsi="Calibri"/>
          <w:color w:val="17212B"/>
          <w:sz w:val="22"/>
        </w:rPr>
        <w:t>How readable are the text, icons and buttons? (1–5)</w:t>
      </w:r>
    </w:p>
    <w:p>
      <w:pPr>
        <w:pStyle w:val="ListNumber"/>
        <w:spacing w:after="80" w:line="264" w:lineRule="auto"/>
      </w:pPr>
      <w:r>
        <w:rPr>
          <w:rFonts w:ascii="Calibri" w:hAnsi="Calibri"/>
          <w:color w:val="17212B"/>
          <w:sz w:val="22"/>
        </w:rPr>
        <w:t>How confident would you feel choosing an action? (1–5)</w:t>
      </w:r>
    </w:p>
    <w:p>
      <w:pPr>
        <w:pStyle w:val="ListNumber"/>
        <w:spacing w:after="80" w:line="264" w:lineRule="auto"/>
      </w:pPr>
      <w:r>
        <w:rPr>
          <w:rFonts w:ascii="Calibri" w:hAnsi="Calibri"/>
          <w:color w:val="17212B"/>
          <w:sz w:val="22"/>
        </w:rPr>
        <w:t>How visually appealing is the colour design? (1–5)</w:t>
      </w:r>
    </w:p>
    <w:p>
      <w:pPr>
        <w:pStyle w:val="ListNumber"/>
        <w:spacing w:after="80" w:line="264" w:lineRule="auto"/>
      </w:pPr>
      <w:r>
        <w:rPr>
          <w:rFonts w:ascii="Calibri" w:hAnsi="Calibri"/>
          <w:color w:val="17212B"/>
          <w:sz w:val="22"/>
        </w:rPr>
        <w:t>How well does the interface support teamwork? (1–5)</w:t>
      </w:r>
    </w:p>
    <w:p>
      <w:pPr>
        <w:pStyle w:val="ListNumber"/>
        <w:spacing w:after="80" w:line="264" w:lineRule="auto"/>
      </w:pPr>
      <w:r>
        <w:rPr>
          <w:rFonts w:ascii="Calibri" w:hAnsi="Calibri"/>
          <w:color w:val="17212B"/>
          <w:sz w:val="22"/>
        </w:rPr>
        <w:t>What is the strongest part of the prototype?</w:t>
      </w:r>
    </w:p>
    <w:p>
      <w:pPr>
        <w:pStyle w:val="ListNumber"/>
        <w:spacing w:after="80" w:line="264" w:lineRule="auto"/>
      </w:pPr>
      <w:r>
        <w:rPr>
          <w:rFonts w:ascii="Calibri" w:hAnsi="Calibri"/>
          <w:color w:val="17212B"/>
          <w:sz w:val="22"/>
        </w:rPr>
        <w:t>What is unclear, missing or difficult to use?</w:t>
      </w:r>
    </w:p>
    <w:p>
      <w:pPr>
        <w:pStyle w:val="ListNumber"/>
        <w:spacing w:after="80" w:line="264" w:lineRule="auto"/>
      </w:pPr>
      <w:r>
        <w:rPr>
          <w:rFonts w:ascii="Calibri" w:hAnsi="Calibri"/>
          <w:color w:val="17212B"/>
          <w:sz w:val="22"/>
        </w:rPr>
        <w:t>What one improvement should be made before development?</w:t>
      </w:r>
    </w:p>
    <w:p>
      <w:pPr>
        <w:pStyle w:val="Heading2"/>
        <w:keepNext/>
      </w:pPr>
      <w:r>
        <w:t>B4. Evidence to include</w:t>
      </w:r>
    </w:p>
    <w:p>
      <w:pPr>
        <w:spacing w:before="0" w:after="120" w:line="264" w:lineRule="auto"/>
      </w:pPr>
      <w:r>
        <w:rPr>
          <w:rFonts w:ascii="Calibri" w:hAnsi="Calibri"/>
          <w:b w:val="0"/>
          <w:i w:val="0"/>
          <w:color w:val="17212B"/>
          <w:sz w:val="22"/>
        </w:rPr>
        <w:t>Insert one anonymised screenshot or exported response page showing that the final storyboard was shared and reviewed. Remove names, phone numbers and profile pictures. Summarise the responses in Section 3.3 rather than pasting private conversations into the main report.</w:t>
      </w:r>
    </w:p>
    <w:p>
      <w:r>
        <w:br w:type="page"/>
      </w:r>
    </w:p>
    <w:p>
      <w:pPr>
        <w:pStyle w:val="Heading1"/>
        <w:keepNext/>
      </w:pPr>
      <w:r>
        <w:t>Appendix C - Design traceability</w:t>
      </w:r>
    </w:p>
    <w:tbl>
      <w:tblPr>
        <w:tblStyle w:val="TableGrid"/>
        <w:tblW w:type="dxa" w:w="9360"/>
        <w:jc w:val="left"/>
        <w:tblLayout w:type="fixed"/>
        <w:tblLook w:firstColumn="1" w:firstRow="1" w:lastColumn="0" w:lastRow="0" w:noHBand="0" w:noVBand="1" w:val="04A0"/>
        <w:tblInd w:w="120" w:type="dxa"/>
      </w:tblPr>
      <w:tblGrid>
        <w:gridCol w:w="2300"/>
        <w:gridCol w:w="2440"/>
        <w:gridCol w:w="1800"/>
        <w:gridCol w:w="2820"/>
      </w:tblGrid>
      <w:tr>
        <w:trPr>
          <w:tblHeader w:val="true"/>
        </w:trPr>
        <w:tc>
          <w:tcPr>
            <w:tcW w:type="dxa" w:w="23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User/persona need</w:t>
            </w:r>
          </w:p>
        </w:tc>
        <w:tc>
          <w:tcPr>
            <w:tcW w:type="dxa" w:w="244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Requirement</w:t>
            </w:r>
          </w:p>
        </w:tc>
        <w:tc>
          <w:tcPr>
            <w:tcW w:type="dxa" w:w="180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Implemented screen(s)</w:t>
            </w:r>
          </w:p>
        </w:tc>
        <w:tc>
          <w:tcPr>
            <w:tcW w:type="dxa" w:w="2820"/>
            <w:shd w:fill="F2F4F7"/>
            <w:tcMar>
              <w:top w:w="80" w:type="dxa"/>
              <w:start w:w="120" w:type="dxa"/>
              <w:bottom w:w="80" w:type="dxa"/>
              <w:end w:w="120" w:type="dxa"/>
            </w:tcMar>
            <w:vAlign w:val="center"/>
          </w:tcPr>
          <w:p>
            <w:pPr>
              <w:spacing w:after="0" w:line="252" w:lineRule="auto"/>
              <w:jc w:val="left"/>
            </w:pPr>
            <w:r/>
            <w:r>
              <w:rPr>
                <w:rFonts w:ascii="Calibri" w:hAnsi="Calibri"/>
                <w:b/>
                <w:color w:val="132A44"/>
                <w:sz w:val="17"/>
              </w:rPr>
              <w:t>Evaluation question</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Morgan: limited time</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Short route and autosave</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5, 10 and 11</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Can progress be resumed?</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Daniel: private play</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Code-based private team</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1-3</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Can the user join the team?</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Sam: social teamwork</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Chat, quick messages and vote</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8</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Is team discussion clear?</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Jordan: occasional player</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Optional tutorial and visible ability</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4-5</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Can a non-expert choose a role?</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All personas: readable controls</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Large labels and full-width actions</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All</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Are text and buttons readable?</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All personas: avoid mistakes</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Action cost and confirmation</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7 and 9</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Does the user feel confident?</w:t>
            </w:r>
          </w:p>
        </w:tc>
      </w:tr>
      <w:tr>
        <w:tc>
          <w:tcPr>
            <w:tcW w:type="dxa" w:w="23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All personas: understand status</w:t>
            </w:r>
          </w:p>
        </w:tc>
        <w:tc>
          <w:tcPr>
            <w:tcW w:type="dxa" w:w="244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Numeric risk, progress and feedback</w:t>
            </w:r>
          </w:p>
        </w:tc>
        <w:tc>
          <w:tcPr>
            <w:tcW w:type="dxa" w:w="180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6 and 10</w:t>
            </w:r>
          </w:p>
        </w:tc>
        <w:tc>
          <w:tcPr>
            <w:tcW w:type="dxa" w:w="2820"/>
            <w:tcMar>
              <w:top w:w="80" w:type="dxa"/>
              <w:start w:w="120" w:type="dxa"/>
              <w:bottom w:w="80" w:type="dxa"/>
              <w:end w:w="120" w:type="dxa"/>
            </w:tcMar>
            <w:vAlign w:val="center"/>
          </w:tcPr>
          <w:p>
            <w:pPr>
              <w:spacing w:after="0" w:line="252" w:lineRule="auto"/>
              <w:jc w:val="left"/>
            </w:pPr>
            <w:r/>
            <w:r>
              <w:rPr>
                <w:rFonts w:ascii="Calibri" w:hAnsi="Calibri"/>
                <w:b w:val="0"/>
                <w:color w:val="17212B"/>
                <w:sz w:val="17"/>
              </w:rPr>
              <w:t>Can the user explain the result?</w:t>
            </w:r>
          </w:p>
        </w:tc>
      </w:tr>
    </w:tbl>
    <w:sectPr w:rsidR="00FC693F" w:rsidRPr="0006063C" w:rsidSect="00034616">
      <w:headerReference w:type="default" r:id="rId9"/>
      <w:footerReference w:type="default" r:id="rId10"/>
      <w:pgSz w:w="12240" w:h="15840"/>
      <w:pgMar w:top="1152" w:right="1296" w:bottom="1080"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Calibri" w:hAnsi="Calibri"/>
        <w:color w:val="617080"/>
        <w:sz w:val="18"/>
      </w:rPr>
      <w:t xml:space="preserve">Page </w:t>
    </w:r>
    <w:r>
      <w:fldChar w:fldCharType="begin"/>
      <w:instrText xml:space="preserve">PAGE</w:instrText>
      <w:fldChar w:fldCharType="end"/>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jc w:val="right"/>
    </w:pPr>
    <w:r>
      <w:rPr>
        <w:rFonts w:ascii="Calibri" w:hAnsi="Calibri"/>
        <w:color w:val="617080"/>
        <w:sz w:val="17"/>
      </w:rPr>
      <w:t>UWTSD Campus Response | Final Storyboard Report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264" w:lineRule="auto"/>
    </w:pPr>
    <w:rPr>
      <w:rFonts w:ascii="Calibri" w:hAnsi="Calibri"/>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eastAsiaTheme="majorEastAsia" w:hAnsiTheme="majorHAnsi" w:cstheme="majorBidi" w:ascii="Calibri" w:hAnsi="Calibri"/>
      <w:b/>
      <w:bCs/>
      <w:color w:val="2E74B5"/>
      <w:sz w:val="32"/>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ascii="Calibri" w:hAnsi="Calibri"/>
      <w:b/>
      <w:bCs/>
      <w:color w:val="2E74B5"/>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ascii="Calibri" w:hAnsi="Calibri"/>
      <w:b/>
      <w:bCs/>
      <w:color w:val="1F4D78"/>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rPr>
      <w:rFonts w:ascii="Calibri" w:hAnsi="Calibri"/>
      <w:i/>
      <w:color w:val="617080"/>
      <w:sz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Campus Response - Full-colour Storyboard Design and Evaluation Report</dc:title>
  <dc:subject>Usability Engineering Assignment 2</dc:subject>
  <dc:creator>[Insert student name]</dc:creator>
  <cp:keywords>UWTSD, usability, storyboards, cooperative game, mobile interface</cp:keywords>
  <dc:description>generated by python-docx</dc:description>
  <cp:lastModifiedBy/>
  <cp:revision>1</cp:revision>
  <dcterms:created xsi:type="dcterms:W3CDTF">2013-12-23T23:15:00Z</dcterms:created>
  <dcterms:modified xsi:type="dcterms:W3CDTF">2013-12-23T23:15:00Z</dcterms:modified>
  <cp:category/>
</cp:coreProperties>
</file>