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C5D7B" w14:textId="77777777" w:rsidR="00B1069B" w:rsidRDefault="00DB166A" w:rsidP="00DB166A">
      <w:pPr>
        <w:spacing w:after="0" w:line="360" w:lineRule="auto"/>
        <w:jc w:val="center"/>
        <w:rPr>
          <w:rFonts w:ascii="Times New Roman" w:eastAsia="Times New Roman" w:hAnsi="Times New Roman" w:cs="Times New Roman"/>
          <w:sz w:val="24"/>
          <w:szCs w:val="24"/>
        </w:rPr>
      </w:pPr>
      <w:r>
        <w:rPr>
          <w:noProof/>
          <w:lang w:val="en-US"/>
        </w:rPr>
        <w:drawing>
          <wp:inline distT="0" distB="0" distL="0" distR="0" wp14:anchorId="3B3C5DF5" wp14:editId="3B3C5DF6">
            <wp:extent cx="2585720" cy="1143000"/>
            <wp:effectExtent l="0" t="0" r="5080" b="0"/>
            <wp:docPr id="2" name="image1.png" descr="https://lh7-rt.googleusercontent.com/docsz/AD_4nXd9xAJhKPMD7xtRvvsq1OZqTr-F7eU9932l2UnVHaJiignlJM6RvoX-uvlh87mwth92kDuu4V3o4iidQq04hMDOBPPVdpnfeziVc6Vk0hbESZKeUkG9DJpswIXaoarWVOYz1naASQ?key=NO1PM516FYliJOM368CgWjMx"/>
            <wp:cNvGraphicFramePr/>
            <a:graphic xmlns:a="http://schemas.openxmlformats.org/drawingml/2006/main">
              <a:graphicData uri="http://schemas.openxmlformats.org/drawingml/2006/picture">
                <pic:pic xmlns:pic="http://schemas.openxmlformats.org/drawingml/2006/picture">
                  <pic:nvPicPr>
                    <pic:cNvPr id="2" name="image1.png" descr="https://lh7-rt.googleusercontent.com/docsz/AD_4nXd9xAJhKPMD7xtRvvsq1OZqTr-F7eU9932l2UnVHaJiignlJM6RvoX-uvlh87mwth92kDuu4V3o4iidQq04hMDOBPPVdpnfeziVc6Vk0hbESZKeUkG9DJpswIXaoarWVOYz1naASQ?key=NO1PM516FYliJOM368CgWjMx"/>
                    <pic:cNvPicPr/>
                  </pic:nvPicPr>
                  <pic:blipFill>
                    <a:blip r:embed="rId6"/>
                    <a:srcRect/>
                    <a:stretch>
                      <a:fillRect/>
                    </a:stretch>
                  </pic:blipFill>
                  <pic:spPr>
                    <a:xfrm>
                      <a:off x="0" y="0"/>
                      <a:ext cx="2585720" cy="1143000"/>
                    </a:xfrm>
                    <a:prstGeom prst="rect">
                      <a:avLst/>
                    </a:prstGeom>
                    <a:ln/>
                  </pic:spPr>
                </pic:pic>
              </a:graphicData>
            </a:graphic>
          </wp:inline>
        </w:drawing>
      </w:r>
    </w:p>
    <w:p w14:paraId="3B3C5D7C" w14:textId="77777777" w:rsidR="00B1069B" w:rsidRDefault="00991EC9">
      <w:pPr>
        <w:spacing w:after="0" w:line="360" w:lineRule="auto"/>
        <w:jc w:val="center"/>
        <w:rPr>
          <w:rFonts w:ascii="Times New Roman" w:eastAsia="Times New Roman" w:hAnsi="Times New Roman" w:cs="Times New Roman"/>
          <w:sz w:val="24"/>
          <w:szCs w:val="24"/>
        </w:rPr>
      </w:pPr>
      <w:r>
        <w:rPr>
          <w:rFonts w:ascii="Arial" w:eastAsia="Arial" w:hAnsi="Arial" w:cs="Arial"/>
          <w:b/>
          <w:color w:val="000000"/>
          <w:sz w:val="40"/>
          <w:szCs w:val="40"/>
        </w:rPr>
        <w:t>Programme: BA (Hons) International Hotel Management</w:t>
      </w:r>
    </w:p>
    <w:p w14:paraId="3B3C5D7D" w14:textId="77777777" w:rsidR="00B1069B" w:rsidRDefault="00B1069B">
      <w:pPr>
        <w:spacing w:after="0" w:line="360" w:lineRule="auto"/>
        <w:rPr>
          <w:rFonts w:ascii="Times New Roman" w:eastAsia="Times New Roman" w:hAnsi="Times New Roman" w:cs="Times New Roman"/>
          <w:sz w:val="24"/>
          <w:szCs w:val="24"/>
        </w:rPr>
      </w:pPr>
    </w:p>
    <w:p w14:paraId="3B3C5D7E" w14:textId="77777777" w:rsidR="00B1069B" w:rsidRDefault="00991EC9">
      <w:pPr>
        <w:spacing w:after="0" w:line="360" w:lineRule="auto"/>
        <w:jc w:val="center"/>
        <w:rPr>
          <w:rFonts w:ascii="Times New Roman" w:eastAsia="Times New Roman" w:hAnsi="Times New Roman" w:cs="Times New Roman"/>
          <w:sz w:val="24"/>
          <w:szCs w:val="24"/>
        </w:rPr>
      </w:pPr>
      <w:r>
        <w:rPr>
          <w:rFonts w:ascii="Arial" w:eastAsia="Arial" w:hAnsi="Arial" w:cs="Arial"/>
          <w:b/>
          <w:color w:val="000000"/>
          <w:sz w:val="40"/>
          <w:szCs w:val="40"/>
        </w:rPr>
        <w:t>Module: Sustainable Hospitality &amp; Tourism Management</w:t>
      </w:r>
    </w:p>
    <w:p w14:paraId="3B3C5D7F" w14:textId="77777777" w:rsidR="00B1069B" w:rsidRDefault="00B1069B">
      <w:pPr>
        <w:spacing w:after="0" w:line="360" w:lineRule="auto"/>
        <w:rPr>
          <w:rFonts w:ascii="Times New Roman" w:eastAsia="Times New Roman" w:hAnsi="Times New Roman" w:cs="Times New Roman"/>
          <w:sz w:val="24"/>
          <w:szCs w:val="24"/>
        </w:rPr>
      </w:pPr>
    </w:p>
    <w:p w14:paraId="3B3C5D80" w14:textId="77777777" w:rsidR="00B1069B" w:rsidRDefault="00991EC9">
      <w:pPr>
        <w:spacing w:after="0" w:line="360" w:lineRule="auto"/>
        <w:jc w:val="center"/>
        <w:rPr>
          <w:rFonts w:ascii="Times New Roman" w:eastAsia="Times New Roman" w:hAnsi="Times New Roman" w:cs="Times New Roman"/>
          <w:sz w:val="24"/>
          <w:szCs w:val="24"/>
        </w:rPr>
      </w:pPr>
      <w:r>
        <w:rPr>
          <w:rFonts w:ascii="Arial" w:eastAsia="Arial" w:hAnsi="Arial" w:cs="Arial"/>
          <w:b/>
          <w:color w:val="000000"/>
          <w:sz w:val="40"/>
          <w:szCs w:val="40"/>
        </w:rPr>
        <w:t>Module code: BMIH5006</w:t>
      </w:r>
    </w:p>
    <w:p w14:paraId="3B3C5D81" w14:textId="77777777" w:rsidR="00B1069B" w:rsidRDefault="00B1069B">
      <w:pPr>
        <w:spacing w:after="0" w:line="360" w:lineRule="auto"/>
        <w:rPr>
          <w:rFonts w:ascii="Times New Roman" w:eastAsia="Times New Roman" w:hAnsi="Times New Roman" w:cs="Times New Roman"/>
          <w:sz w:val="24"/>
          <w:szCs w:val="24"/>
        </w:rPr>
      </w:pPr>
    </w:p>
    <w:p w14:paraId="3B3C5D84" w14:textId="212C866E" w:rsidR="00B1069B" w:rsidRPr="00A10AB5" w:rsidRDefault="00B1069B" w:rsidP="00A10AB5">
      <w:pPr>
        <w:spacing w:after="0" w:line="360" w:lineRule="auto"/>
        <w:rPr>
          <w:rFonts w:ascii="Times New Roman" w:eastAsia="Times New Roman" w:hAnsi="Times New Roman" w:cs="Times New Roman"/>
          <w:sz w:val="24"/>
          <w:szCs w:val="24"/>
        </w:rPr>
      </w:pPr>
    </w:p>
    <w:p w14:paraId="3B3C5D85" w14:textId="77777777" w:rsidR="00B1069B" w:rsidRDefault="00991EC9">
      <w:pPr>
        <w:spacing w:after="0" w:line="360" w:lineRule="auto"/>
        <w:jc w:val="center"/>
        <w:rPr>
          <w:rFonts w:ascii="Times New Roman" w:eastAsia="Times New Roman" w:hAnsi="Times New Roman" w:cs="Times New Roman"/>
          <w:sz w:val="24"/>
          <w:szCs w:val="24"/>
        </w:rPr>
      </w:pPr>
      <w:r>
        <w:rPr>
          <w:rFonts w:ascii="Arial" w:eastAsia="Arial" w:hAnsi="Arial" w:cs="Arial"/>
          <w:b/>
          <w:color w:val="000000"/>
          <w:sz w:val="40"/>
          <w:szCs w:val="40"/>
        </w:rPr>
        <w:t>Module Tutor: Lisa Bassler</w:t>
      </w:r>
    </w:p>
    <w:p w14:paraId="3B3C5D86" w14:textId="77777777" w:rsidR="00B1069B" w:rsidRDefault="00B1069B">
      <w:pPr>
        <w:spacing w:after="0" w:line="360" w:lineRule="auto"/>
        <w:rPr>
          <w:rFonts w:ascii="Times New Roman" w:eastAsia="Times New Roman" w:hAnsi="Times New Roman" w:cs="Times New Roman"/>
          <w:sz w:val="24"/>
          <w:szCs w:val="24"/>
        </w:rPr>
      </w:pPr>
    </w:p>
    <w:p w14:paraId="3B3C5D87" w14:textId="77777777" w:rsidR="00B1069B" w:rsidRDefault="00991EC9">
      <w:pPr>
        <w:spacing w:after="0" w:line="360" w:lineRule="auto"/>
        <w:jc w:val="center"/>
        <w:rPr>
          <w:rFonts w:ascii="Times New Roman" w:eastAsia="Times New Roman" w:hAnsi="Times New Roman" w:cs="Times New Roman"/>
          <w:sz w:val="24"/>
          <w:szCs w:val="24"/>
        </w:rPr>
      </w:pPr>
      <w:r>
        <w:rPr>
          <w:rFonts w:ascii="Arial" w:eastAsia="Arial" w:hAnsi="Arial" w:cs="Arial"/>
          <w:b/>
          <w:color w:val="000000"/>
          <w:sz w:val="40"/>
          <w:szCs w:val="40"/>
        </w:rPr>
        <w:t>Assignment Title: RESIT – ESSAY</w:t>
      </w:r>
    </w:p>
    <w:p w14:paraId="3B3C5D88" w14:textId="77777777" w:rsidR="00B1069B" w:rsidRDefault="00991EC9">
      <w:pPr>
        <w:spacing w:after="0" w:line="360" w:lineRule="auto"/>
        <w:jc w:val="center"/>
        <w:rPr>
          <w:rFonts w:ascii="Times New Roman" w:eastAsia="Times New Roman" w:hAnsi="Times New Roman" w:cs="Times New Roman"/>
          <w:sz w:val="24"/>
          <w:szCs w:val="24"/>
        </w:rPr>
      </w:pPr>
      <w:r>
        <w:rPr>
          <w:rFonts w:ascii="Arial" w:eastAsia="Arial" w:hAnsi="Arial" w:cs="Arial"/>
          <w:b/>
          <w:color w:val="000000"/>
          <w:sz w:val="40"/>
          <w:szCs w:val="40"/>
        </w:rPr>
        <w:t>Student Name: Md. Shamim Kabir Chowdhury</w:t>
      </w:r>
    </w:p>
    <w:p w14:paraId="3B3C5D89" w14:textId="77777777" w:rsidR="00B1069B" w:rsidRDefault="00991EC9">
      <w:pPr>
        <w:spacing w:after="0" w:line="360" w:lineRule="auto"/>
        <w:jc w:val="center"/>
        <w:rPr>
          <w:rFonts w:ascii="Arial" w:eastAsia="Arial" w:hAnsi="Arial" w:cs="Arial"/>
          <w:b/>
          <w:color w:val="000000"/>
          <w:sz w:val="40"/>
          <w:szCs w:val="40"/>
        </w:rPr>
      </w:pPr>
      <w:r>
        <w:rPr>
          <w:rFonts w:ascii="Arial" w:eastAsia="Arial" w:hAnsi="Arial" w:cs="Arial"/>
          <w:b/>
          <w:color w:val="000000"/>
          <w:sz w:val="40"/>
          <w:szCs w:val="40"/>
        </w:rPr>
        <w:t>Student ID: 2234243</w:t>
      </w:r>
      <w:r>
        <w:rPr>
          <w:rFonts w:ascii="Arial" w:eastAsia="Arial" w:hAnsi="Arial" w:cs="Arial"/>
          <w:b/>
          <w:color w:val="000000"/>
          <w:sz w:val="40"/>
          <w:szCs w:val="40"/>
        </w:rPr>
        <w:br/>
        <w:t>Word count: 2000</w:t>
      </w:r>
    </w:p>
    <w:p w14:paraId="3B3C5D8A" w14:textId="77777777" w:rsidR="00DB166A" w:rsidRDefault="00DB166A">
      <w:pPr>
        <w:rPr>
          <w:rFonts w:ascii="Arial" w:eastAsia="Arial" w:hAnsi="Arial" w:cs="Arial"/>
          <w:b/>
          <w:sz w:val="28"/>
          <w:szCs w:val="28"/>
        </w:rPr>
      </w:pPr>
      <w:r>
        <w:rPr>
          <w:rFonts w:ascii="Arial" w:eastAsia="Arial" w:hAnsi="Arial" w:cs="Arial"/>
          <w:b/>
          <w:sz w:val="28"/>
          <w:szCs w:val="28"/>
        </w:rPr>
        <w:br w:type="page"/>
      </w:r>
    </w:p>
    <w:p w14:paraId="3B3C5D8B" w14:textId="77777777" w:rsidR="00B1069B" w:rsidRDefault="00991EC9">
      <w:pPr>
        <w:spacing w:line="360" w:lineRule="auto"/>
        <w:rPr>
          <w:rFonts w:ascii="Arial" w:eastAsia="Arial" w:hAnsi="Arial" w:cs="Arial"/>
          <w:b/>
          <w:sz w:val="28"/>
          <w:szCs w:val="28"/>
        </w:rPr>
      </w:pPr>
      <w:r>
        <w:rPr>
          <w:rFonts w:ascii="Arial" w:eastAsia="Arial" w:hAnsi="Arial" w:cs="Arial"/>
          <w:b/>
          <w:sz w:val="28"/>
          <w:szCs w:val="28"/>
        </w:rPr>
        <w:lastRenderedPageBreak/>
        <w:t>AI Declaration</w:t>
      </w:r>
    </w:p>
    <w:p w14:paraId="3B3C5D8C" w14:textId="77777777" w:rsidR="00B1069B" w:rsidRDefault="00991EC9">
      <w:pPr>
        <w:spacing w:before="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notes and other resources I used, which I may be asked to provide in evidence.</w:t>
      </w:r>
    </w:p>
    <w:p w14:paraId="3B3C5D8D" w14:textId="77777777" w:rsidR="00B1069B" w:rsidRDefault="00B1069B">
      <w:pPr>
        <w:spacing w:line="360" w:lineRule="auto"/>
        <w:jc w:val="both"/>
        <w:rPr>
          <w:rFonts w:ascii="Arial" w:eastAsia="Arial" w:hAnsi="Arial" w:cs="Arial"/>
          <w:sz w:val="24"/>
          <w:szCs w:val="24"/>
        </w:rPr>
      </w:pPr>
    </w:p>
    <w:p w14:paraId="3B3C5D8E" w14:textId="77777777" w:rsidR="00B1069B" w:rsidRDefault="00B1069B">
      <w:pPr>
        <w:spacing w:after="0" w:line="360" w:lineRule="auto"/>
        <w:rPr>
          <w:rFonts w:ascii="Times New Roman" w:eastAsia="Times New Roman" w:hAnsi="Times New Roman" w:cs="Times New Roman"/>
          <w:sz w:val="24"/>
          <w:szCs w:val="24"/>
        </w:rPr>
      </w:pPr>
    </w:p>
    <w:p w14:paraId="3B3C5D8F" w14:textId="77777777" w:rsidR="00B1069B" w:rsidRDefault="00991EC9">
      <w:pPr>
        <w:rPr>
          <w:rFonts w:ascii="Arial" w:eastAsia="Arial" w:hAnsi="Arial" w:cs="Arial"/>
          <w:b/>
          <w:color w:val="000000"/>
          <w:sz w:val="24"/>
          <w:szCs w:val="24"/>
        </w:rPr>
      </w:pPr>
      <w:r>
        <w:br w:type="page"/>
      </w:r>
    </w:p>
    <w:p w14:paraId="3B3C5DA3" w14:textId="77777777" w:rsidR="00B1069B" w:rsidRDefault="00991EC9">
      <w:pPr>
        <w:spacing w:after="0" w:line="360" w:lineRule="auto"/>
        <w:jc w:val="both"/>
        <w:rPr>
          <w:rFonts w:ascii="Times New Roman" w:eastAsia="Times New Roman" w:hAnsi="Times New Roman" w:cs="Times New Roman"/>
          <w:sz w:val="24"/>
          <w:szCs w:val="24"/>
        </w:rPr>
      </w:pPr>
      <w:bookmarkStart w:id="0" w:name="_gjdgxs" w:colFirst="0" w:colLast="0"/>
      <w:bookmarkEnd w:id="0"/>
      <w:r>
        <w:rPr>
          <w:rFonts w:ascii="Arial" w:eastAsia="Arial" w:hAnsi="Arial" w:cs="Arial"/>
          <w:color w:val="000000"/>
          <w:sz w:val="24"/>
          <w:szCs w:val="24"/>
        </w:rPr>
        <w:lastRenderedPageBreak/>
        <w:t>Various significant strategies are getting engaged within the entire hospitality sector concerning green practices. Thus, environmental influences can be diminished. Overall, significant operations are also boosted. Sustainable sourcing, effective waste mitigation along with energy preservation- these combined forces are getting engaged within these programs (</w:t>
      </w:r>
      <w:r>
        <w:rPr>
          <w:rFonts w:ascii="Arial" w:eastAsia="Arial" w:hAnsi="Arial" w:cs="Arial"/>
          <w:color w:val="222222"/>
          <w:sz w:val="24"/>
          <w:szCs w:val="24"/>
          <w:highlight w:val="white"/>
        </w:rPr>
        <w:t>Pavlova, 2023</w:t>
      </w:r>
      <w:r>
        <w:rPr>
          <w:rFonts w:ascii="Arial" w:eastAsia="Arial" w:hAnsi="Arial" w:cs="Arial"/>
          <w:color w:val="000000"/>
          <w:sz w:val="24"/>
          <w:szCs w:val="24"/>
        </w:rPr>
        <w:t xml:space="preserve">). Ecological responsibility along with profitability related prominent stabilisation can be shaped through it. The entire environment can get desirable advantages due to these hotel practices related to sustainability. Overall, guest contentment is also developed. Cost functions are also mitigated. Regulatory standards are also followed. Towards several hotels, sustainable practice related applications and its gaps can also be noticed </w:t>
      </w:r>
      <w:proofErr w:type="gramStart"/>
      <w:r>
        <w:rPr>
          <w:rFonts w:ascii="Arial" w:eastAsia="Arial" w:hAnsi="Arial" w:cs="Arial"/>
          <w:color w:val="000000"/>
          <w:sz w:val="24"/>
          <w:szCs w:val="24"/>
        </w:rPr>
        <w:t>in spite of</w:t>
      </w:r>
      <w:proofErr w:type="gramEnd"/>
      <w:r>
        <w:rPr>
          <w:rFonts w:ascii="Arial" w:eastAsia="Arial" w:hAnsi="Arial" w:cs="Arial"/>
          <w:color w:val="000000"/>
          <w:sz w:val="24"/>
          <w:szCs w:val="24"/>
        </w:rPr>
        <w:t xml:space="preserve"> these over-mentioned advantages and increasing awareness. </w:t>
      </w:r>
    </w:p>
    <w:p w14:paraId="3B3C5DA4"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Concerning tradition along with luxury, The Ritz London holds a huge significance. Sustainability centric initiatives are also taken by this entire hotel chain (</w:t>
      </w:r>
      <w:r>
        <w:rPr>
          <w:rFonts w:ascii="Arial" w:eastAsia="Arial" w:hAnsi="Arial" w:cs="Arial"/>
          <w:color w:val="222222"/>
          <w:sz w:val="24"/>
          <w:szCs w:val="24"/>
          <w:highlight w:val="white"/>
        </w:rPr>
        <w:t>Sergeevna, 2024</w:t>
      </w:r>
      <w:r>
        <w:rPr>
          <w:rFonts w:ascii="Arial" w:eastAsia="Arial" w:hAnsi="Arial" w:cs="Arial"/>
          <w:color w:val="000000"/>
          <w:sz w:val="24"/>
          <w:szCs w:val="24"/>
        </w:rPr>
        <w:t>). Energy efficiency and its development alongside plastic utilisation centric mitigation, etc are also included in it. Food waste management related to the foremost gap is still there. It needs immediate developments. Mitigation programs concerning food waste along with its limited all-embracing aspects are included in this hotel. </w:t>
      </w:r>
    </w:p>
    <w:p w14:paraId="3B3C5DA5"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Management system considering modern food waste and its significant application in The Ritz London- these are going to be discussed in this essay in a specific way. Composting, significant donation alliances along with portion control through AI circumstances are restrained in this system. Sustainability approaches can be developed in this program. Environment related core empowerment and costs concerning waste disposal along with its mitigation can also be possible through it. Towards the luxury hospitality sector, this hotel can be a great example through the acknowledgement of this significant gap. Sustainability goals on a global base are also oriented within it. </w:t>
      </w:r>
    </w:p>
    <w:p w14:paraId="3B3C5DA7" w14:textId="78B9F90F" w:rsidR="00B1069B" w:rsidRDefault="00991EC9" w:rsidP="00986885">
      <w:pPr>
        <w:rPr>
          <w:rFonts w:ascii="Arial" w:eastAsia="Arial" w:hAnsi="Arial" w:cs="Arial"/>
          <w:b/>
          <w:color w:val="000000"/>
          <w:sz w:val="24"/>
          <w:szCs w:val="24"/>
        </w:rPr>
      </w:pPr>
      <w:bookmarkStart w:id="1" w:name="_30j0zll" w:colFirst="0" w:colLast="0"/>
      <w:bookmarkEnd w:id="1"/>
      <w:r>
        <w:br w:type="page"/>
      </w:r>
    </w:p>
    <w:p w14:paraId="12646B17" w14:textId="77777777" w:rsidR="00986885" w:rsidRPr="00986885" w:rsidRDefault="00986885" w:rsidP="00986885">
      <w:pPr>
        <w:rPr>
          <w:rFonts w:ascii="Arial" w:eastAsia="Arial" w:hAnsi="Arial" w:cs="Arial"/>
          <w:b/>
          <w:color w:val="000000"/>
          <w:sz w:val="24"/>
          <w:szCs w:val="24"/>
        </w:rPr>
      </w:pPr>
    </w:p>
    <w:p w14:paraId="3B3C5DA8"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Sustainable practices are consolidated rapidly within hospitality along with hotel providers. Thus, significant environmental footprints can be mitigated. Sustainable cleaning products, significant sustainable sourcing, potential water preservation estimates along with lighting related to energy efficiency- these unified forces are restrained within these programs (</w:t>
      </w:r>
      <w:r>
        <w:rPr>
          <w:rFonts w:ascii="Arial" w:eastAsia="Arial" w:hAnsi="Arial" w:cs="Arial"/>
          <w:color w:val="222222"/>
          <w:sz w:val="24"/>
          <w:szCs w:val="24"/>
          <w:highlight w:val="white"/>
        </w:rPr>
        <w:t>Walker, 2022</w:t>
      </w:r>
      <w:r>
        <w:rPr>
          <w:rFonts w:ascii="Arial" w:eastAsia="Arial" w:hAnsi="Arial" w:cs="Arial"/>
          <w:color w:val="000000"/>
          <w:sz w:val="24"/>
          <w:szCs w:val="24"/>
        </w:rPr>
        <w:t>). Functional efficiency and its improvement, mitigation of carbon emissions, waste reduction- these are involved within the core priority for sustainable hospitality. It also helps to balance customer contentment. Demanding environmental regulations and seamlessly growing customer awareness- these are the main reasons for this potential green hospitality and its increasing significance towards customers. Sustainability programs and its applications are already involved within various global hotels. SDGs are also oriented within it. </w:t>
      </w:r>
    </w:p>
    <w:p w14:paraId="3B3C5DA9"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Certifications concerning green building play a pivotal role within the entire hospitality sector as a foremost strand. Accreditations neither are obtained by various hotels. LEED, BREEAM, etc are restrained within it (</w:t>
      </w:r>
      <w:r>
        <w:rPr>
          <w:rFonts w:ascii="Arial" w:eastAsia="Arial" w:hAnsi="Arial" w:cs="Arial"/>
          <w:color w:val="222222"/>
          <w:sz w:val="24"/>
          <w:szCs w:val="24"/>
          <w:highlight w:val="white"/>
        </w:rPr>
        <w:t xml:space="preserve">Serrano-Baena </w:t>
      </w:r>
      <w:r>
        <w:rPr>
          <w:rFonts w:ascii="Arial" w:eastAsia="Arial" w:hAnsi="Arial" w:cs="Arial"/>
          <w:i/>
          <w:color w:val="222222"/>
          <w:sz w:val="24"/>
          <w:szCs w:val="24"/>
          <w:highlight w:val="white"/>
        </w:rPr>
        <w:t xml:space="preserve">et al. </w:t>
      </w:r>
      <w:r>
        <w:rPr>
          <w:rFonts w:ascii="Arial" w:eastAsia="Arial" w:hAnsi="Arial" w:cs="Arial"/>
          <w:color w:val="222222"/>
          <w:sz w:val="24"/>
          <w:szCs w:val="24"/>
          <w:highlight w:val="white"/>
        </w:rPr>
        <w:t>2021</w:t>
      </w:r>
      <w:r>
        <w:rPr>
          <w:rFonts w:ascii="Arial" w:eastAsia="Arial" w:hAnsi="Arial" w:cs="Arial"/>
          <w:color w:val="000000"/>
          <w:sz w:val="24"/>
          <w:szCs w:val="24"/>
        </w:rPr>
        <w:t xml:space="preserve">). Thus, </w:t>
      </w:r>
      <w:proofErr w:type="gramStart"/>
      <w:r>
        <w:rPr>
          <w:rFonts w:ascii="Arial" w:eastAsia="Arial" w:hAnsi="Arial" w:cs="Arial"/>
          <w:color w:val="000000"/>
          <w:sz w:val="24"/>
          <w:szCs w:val="24"/>
        </w:rPr>
        <w:t>sustainability based</w:t>
      </w:r>
      <w:proofErr w:type="gramEnd"/>
      <w:r>
        <w:rPr>
          <w:rFonts w:ascii="Arial" w:eastAsia="Arial" w:hAnsi="Arial" w:cs="Arial"/>
          <w:color w:val="000000"/>
          <w:sz w:val="24"/>
          <w:szCs w:val="24"/>
        </w:rPr>
        <w:t xml:space="preserve"> criteria’s can be accomplished which gets confirmed through these accreditations. Eco-friendly material utilisation, indoor based air standards, significant water efficiency along with energy preservation- these are the main priority for those certifications. BREEAM certification is obtained by Hilton London Bankside due to its operations concerning energy efficiency alongside sustainable designs (</w:t>
      </w:r>
      <w:proofErr w:type="spellStart"/>
      <w:r>
        <w:rPr>
          <w:rFonts w:ascii="Arial" w:eastAsia="Arial" w:hAnsi="Arial" w:cs="Arial"/>
          <w:color w:val="222222"/>
          <w:sz w:val="24"/>
          <w:szCs w:val="24"/>
          <w:highlight w:val="white"/>
        </w:rPr>
        <w:t>Pietocha</w:t>
      </w:r>
      <w:proofErr w:type="spellEnd"/>
      <w:r>
        <w:rPr>
          <w:rFonts w:ascii="Arial" w:eastAsia="Arial" w:hAnsi="Arial" w:cs="Arial"/>
          <w:color w:val="222222"/>
          <w:sz w:val="24"/>
          <w:szCs w:val="24"/>
          <w:highlight w:val="white"/>
        </w:rPr>
        <w:t>, 2024</w:t>
      </w:r>
      <w:r>
        <w:rPr>
          <w:rFonts w:ascii="Arial" w:eastAsia="Arial" w:hAnsi="Arial" w:cs="Arial"/>
          <w:color w:val="000000"/>
          <w:sz w:val="24"/>
          <w:szCs w:val="24"/>
        </w:rPr>
        <w:t>). It creates a benchmark towards the entire hospitality sector considering sustainability in the entire UK. </w:t>
      </w:r>
    </w:p>
    <w:p w14:paraId="3B3C5DAA"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Towards </w:t>
      </w:r>
      <w:proofErr w:type="gramStart"/>
      <w:r>
        <w:rPr>
          <w:rFonts w:ascii="Arial" w:eastAsia="Arial" w:hAnsi="Arial" w:cs="Arial"/>
          <w:color w:val="000000"/>
          <w:sz w:val="24"/>
          <w:szCs w:val="24"/>
        </w:rPr>
        <w:t>particular areas</w:t>
      </w:r>
      <w:proofErr w:type="gramEnd"/>
      <w:r>
        <w:rPr>
          <w:rFonts w:ascii="Arial" w:eastAsia="Arial" w:hAnsi="Arial" w:cs="Arial"/>
          <w:color w:val="000000"/>
          <w:sz w:val="24"/>
          <w:szCs w:val="24"/>
        </w:rPr>
        <w:t>, still potential gaps can be noticed in spite of these effective progressions. Eco-friendly food sourcing, mitigation of carbon footprint along with waste management is restrained within these gaps. All-embracing environmental advantages get confirmed due to the acknowledgement of these effective gaps. Functional significance is also balanced. Food waste management is the significant challenge concerning sustainability (</w:t>
      </w:r>
      <w:proofErr w:type="spellStart"/>
      <w:r>
        <w:rPr>
          <w:rFonts w:ascii="Arial" w:eastAsia="Arial" w:hAnsi="Arial" w:cs="Arial"/>
          <w:color w:val="222222"/>
          <w:sz w:val="24"/>
          <w:szCs w:val="24"/>
          <w:highlight w:val="white"/>
        </w:rPr>
        <w:t>Amicarelli</w:t>
      </w:r>
      <w:proofErr w:type="spellEnd"/>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et al.</w:t>
      </w:r>
      <w:r>
        <w:rPr>
          <w:rFonts w:ascii="Arial" w:eastAsia="Arial" w:hAnsi="Arial" w:cs="Arial"/>
          <w:color w:val="222222"/>
          <w:sz w:val="24"/>
          <w:szCs w:val="24"/>
          <w:highlight w:val="white"/>
        </w:rPr>
        <w:t xml:space="preserve"> 2022</w:t>
      </w:r>
      <w:r>
        <w:rPr>
          <w:rFonts w:ascii="Arial" w:eastAsia="Arial" w:hAnsi="Arial" w:cs="Arial"/>
          <w:color w:val="000000"/>
          <w:sz w:val="24"/>
          <w:szCs w:val="24"/>
        </w:rPr>
        <w:t>). Towards several luxury hotels, this issue can be noticed. </w:t>
      </w:r>
    </w:p>
    <w:p w14:paraId="3B3C5DAB"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Excellence related dedications, outstanding hospitality along with fine dining- these aspects are incorporated with The Ritz London in an efficient way. It captures a huge </w:t>
      </w:r>
      <w:r>
        <w:rPr>
          <w:rFonts w:ascii="Arial" w:eastAsia="Arial" w:hAnsi="Arial" w:cs="Arial"/>
          <w:color w:val="000000"/>
          <w:sz w:val="24"/>
          <w:szCs w:val="24"/>
        </w:rPr>
        <w:lastRenderedPageBreak/>
        <w:t>range of guests. Restaurants concerning Michelin-starred- are driven by this hotel chain (</w:t>
      </w:r>
      <w:r>
        <w:rPr>
          <w:rFonts w:ascii="Arial" w:eastAsia="Arial" w:hAnsi="Arial" w:cs="Arial"/>
          <w:color w:val="222222"/>
          <w:sz w:val="24"/>
          <w:szCs w:val="24"/>
          <w:highlight w:val="white"/>
        </w:rPr>
        <w:t>Lin, Marine-Roig and Llonch-Molina, 2022</w:t>
      </w:r>
      <w:r>
        <w:rPr>
          <w:rFonts w:ascii="Arial" w:eastAsia="Arial" w:hAnsi="Arial" w:cs="Arial"/>
          <w:color w:val="000000"/>
          <w:sz w:val="24"/>
          <w:szCs w:val="24"/>
        </w:rPr>
        <w:t>). Services related to luxury banqueting are also delivered. Premium clientele is accomplished by its offerings. Sustainability approaches help to mitigate the issue related to foremost food waste management. A huge range of significant food is produced on a regular basis- in this organisation. Overall, limited methods can be noticed in this organisation for reducing waste. Inefficient waste generation is empowered. Biogas systems, foremost no composting, slender initiatives related to food donation and demanding portion control- its huge absences are behind all of it (</w:t>
      </w:r>
      <w:proofErr w:type="spellStart"/>
      <w:r>
        <w:rPr>
          <w:rFonts w:ascii="Arial" w:eastAsia="Arial" w:hAnsi="Arial" w:cs="Arial"/>
          <w:color w:val="222222"/>
          <w:sz w:val="24"/>
          <w:szCs w:val="24"/>
          <w:highlight w:val="white"/>
        </w:rPr>
        <w:t>Srijuntrapun</w:t>
      </w:r>
      <w:proofErr w:type="spellEnd"/>
      <w:r>
        <w:rPr>
          <w:rFonts w:ascii="Arial" w:eastAsia="Arial" w:hAnsi="Arial" w:cs="Arial"/>
          <w:color w:val="222222"/>
          <w:sz w:val="24"/>
          <w:szCs w:val="24"/>
          <w:highlight w:val="white"/>
        </w:rPr>
        <w:t xml:space="preserve">, </w:t>
      </w:r>
      <w:proofErr w:type="spellStart"/>
      <w:r>
        <w:rPr>
          <w:rFonts w:ascii="Arial" w:eastAsia="Arial" w:hAnsi="Arial" w:cs="Arial"/>
          <w:color w:val="222222"/>
          <w:sz w:val="24"/>
          <w:szCs w:val="24"/>
          <w:highlight w:val="white"/>
        </w:rPr>
        <w:t>Sukwong</w:t>
      </w:r>
      <w:proofErr w:type="spellEnd"/>
      <w:r>
        <w:rPr>
          <w:rFonts w:ascii="Arial" w:eastAsia="Arial" w:hAnsi="Arial" w:cs="Arial"/>
          <w:color w:val="222222"/>
          <w:sz w:val="24"/>
          <w:szCs w:val="24"/>
          <w:highlight w:val="white"/>
        </w:rPr>
        <w:t xml:space="preserve"> and Marshall, 2022</w:t>
      </w:r>
      <w:r>
        <w:rPr>
          <w:rFonts w:ascii="Arial" w:eastAsia="Arial" w:hAnsi="Arial" w:cs="Arial"/>
          <w:color w:val="000000"/>
          <w:sz w:val="24"/>
          <w:szCs w:val="24"/>
        </w:rPr>
        <w:t>). </w:t>
      </w:r>
    </w:p>
    <w:p w14:paraId="3B3C5DAC"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On an annual basis, food waste of almost 1 million is operated by the entire hospitality industry based on the reports of Waste and Resources Action Programme.</w:t>
      </w:r>
      <w:r>
        <w:rPr>
          <w:rFonts w:ascii="Arial" w:eastAsia="Arial" w:hAnsi="Arial" w:cs="Arial"/>
          <w:b/>
          <w:color w:val="000000"/>
          <w:sz w:val="24"/>
          <w:szCs w:val="24"/>
        </w:rPr>
        <w:t xml:space="preserve"> </w:t>
      </w:r>
      <w:r>
        <w:rPr>
          <w:rFonts w:ascii="Arial" w:eastAsia="Arial" w:hAnsi="Arial" w:cs="Arial"/>
          <w:color w:val="000000"/>
          <w:sz w:val="24"/>
          <w:szCs w:val="24"/>
        </w:rPr>
        <w:t>Through kitchen overproduction, significant banqueting along with buffet services, a huge amount of potential food waste generated. It is concerned with The Ritz London. Food waste of almost 75% is circumvented- this is getting outlined by WRAP (</w:t>
      </w:r>
      <w:proofErr w:type="spellStart"/>
      <w:r>
        <w:rPr>
          <w:rFonts w:ascii="Arial" w:eastAsia="Arial" w:hAnsi="Arial" w:cs="Arial"/>
          <w:color w:val="222222"/>
          <w:sz w:val="24"/>
          <w:szCs w:val="24"/>
          <w:highlight w:val="white"/>
        </w:rPr>
        <w:t>Elnasr</w:t>
      </w:r>
      <w:proofErr w:type="spellEnd"/>
      <w:r>
        <w:rPr>
          <w:rFonts w:ascii="Arial" w:eastAsia="Arial" w:hAnsi="Arial" w:cs="Arial"/>
          <w:color w:val="222222"/>
          <w:sz w:val="24"/>
          <w:szCs w:val="24"/>
          <w:highlight w:val="white"/>
        </w:rPr>
        <w:t xml:space="preserve">, Aliane and </w:t>
      </w:r>
      <w:proofErr w:type="spellStart"/>
      <w:r>
        <w:rPr>
          <w:rFonts w:ascii="Arial" w:eastAsia="Arial" w:hAnsi="Arial" w:cs="Arial"/>
          <w:color w:val="222222"/>
          <w:sz w:val="24"/>
          <w:szCs w:val="24"/>
          <w:highlight w:val="white"/>
        </w:rPr>
        <w:t>Agina</w:t>
      </w:r>
      <w:proofErr w:type="spellEnd"/>
      <w:r>
        <w:rPr>
          <w:rFonts w:ascii="Arial" w:eastAsia="Arial" w:hAnsi="Arial" w:cs="Arial"/>
          <w:color w:val="222222"/>
          <w:sz w:val="24"/>
          <w:szCs w:val="24"/>
          <w:highlight w:val="white"/>
        </w:rPr>
        <w:t>, 2021</w:t>
      </w:r>
      <w:r>
        <w:rPr>
          <w:rFonts w:ascii="Arial" w:eastAsia="Arial" w:hAnsi="Arial" w:cs="Arial"/>
          <w:color w:val="000000"/>
          <w:sz w:val="24"/>
          <w:szCs w:val="24"/>
        </w:rPr>
        <w:t>). Significant solutions related to waste management and its constant preferences are signified by WRAP. For handling organic waste aspects, maintaining sustainability, lack of generation of systems as regards to biogas along with slender comprehensive composting are also to be noticed. It requires urgent development through significant sustainability practices in business. </w:t>
      </w:r>
    </w:p>
    <w:p w14:paraId="3B3C5DAD"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For this issue related to significant food waste management, AI driven aspects are preferable for tackling its every circumstance. It must be considered and applied by the Ritz London in an efficient way. Global hotel businesses are obtaining technology concerning AI aspects for uncovering food waste (</w:t>
      </w:r>
      <w:r>
        <w:rPr>
          <w:rFonts w:ascii="Arial" w:eastAsia="Arial" w:hAnsi="Arial" w:cs="Arial"/>
          <w:color w:val="222222"/>
          <w:sz w:val="24"/>
          <w:szCs w:val="24"/>
          <w:highlight w:val="white"/>
        </w:rPr>
        <w:t xml:space="preserve">Nam </w:t>
      </w:r>
      <w:r>
        <w:rPr>
          <w:rFonts w:ascii="Arial" w:eastAsia="Arial" w:hAnsi="Arial" w:cs="Arial"/>
          <w:i/>
          <w:color w:val="222222"/>
          <w:sz w:val="24"/>
          <w:szCs w:val="24"/>
          <w:highlight w:val="white"/>
        </w:rPr>
        <w:t>et al.</w:t>
      </w:r>
      <w:r>
        <w:rPr>
          <w:rFonts w:ascii="Arial" w:eastAsia="Arial" w:hAnsi="Arial" w:cs="Arial"/>
          <w:color w:val="222222"/>
          <w:sz w:val="24"/>
          <w:szCs w:val="24"/>
          <w:highlight w:val="white"/>
        </w:rPr>
        <w:t xml:space="preserve"> 2021</w:t>
      </w:r>
      <w:r>
        <w:rPr>
          <w:rFonts w:ascii="Arial" w:eastAsia="Arial" w:hAnsi="Arial" w:cs="Arial"/>
          <w:color w:val="000000"/>
          <w:sz w:val="24"/>
          <w:szCs w:val="24"/>
        </w:rPr>
        <w:t>). Thus, sustainability approaches can be maximised. Overall, inventory management is also boosted. </w:t>
      </w:r>
    </w:p>
    <w:p w14:paraId="3B3C5DAE"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Donation initiatives along with food redistribution can be a significant technique for this AI driven solution concerning the mitigation of food waste. These donation initiatives are potentially applied by various hotels, for instance Hilton London Bankside. It pushes The Ritz London for granting those initiatives and implementing them in their business prospects. With several organisations, well defined alliances are also very significant. Too Good </w:t>
      </w:r>
      <w:proofErr w:type="gramStart"/>
      <w:r>
        <w:rPr>
          <w:rFonts w:ascii="Arial" w:eastAsia="Arial" w:hAnsi="Arial" w:cs="Arial"/>
          <w:color w:val="000000"/>
          <w:sz w:val="24"/>
          <w:szCs w:val="24"/>
        </w:rPr>
        <w:t>To</w:t>
      </w:r>
      <w:proofErr w:type="gramEnd"/>
      <w:r>
        <w:rPr>
          <w:rFonts w:ascii="Arial" w:eastAsia="Arial" w:hAnsi="Arial" w:cs="Arial"/>
          <w:color w:val="000000"/>
          <w:sz w:val="24"/>
          <w:szCs w:val="24"/>
        </w:rPr>
        <w:t xml:space="preserve"> Go along with </w:t>
      </w:r>
      <w:proofErr w:type="spellStart"/>
      <w:r>
        <w:rPr>
          <w:rFonts w:ascii="Arial" w:eastAsia="Arial" w:hAnsi="Arial" w:cs="Arial"/>
          <w:color w:val="000000"/>
          <w:sz w:val="24"/>
          <w:szCs w:val="24"/>
        </w:rPr>
        <w:t>FareShare</w:t>
      </w:r>
      <w:proofErr w:type="spellEnd"/>
      <w:r>
        <w:rPr>
          <w:rFonts w:ascii="Arial" w:eastAsia="Arial" w:hAnsi="Arial" w:cs="Arial"/>
          <w:color w:val="000000"/>
          <w:sz w:val="24"/>
          <w:szCs w:val="24"/>
        </w:rPr>
        <w:t xml:space="preserve"> UK, etc are the core examples for those organisations (</w:t>
      </w:r>
      <w:r>
        <w:rPr>
          <w:rFonts w:ascii="Arial" w:eastAsia="Arial" w:hAnsi="Arial" w:cs="Arial"/>
          <w:color w:val="222222"/>
          <w:sz w:val="24"/>
          <w:szCs w:val="24"/>
          <w:highlight w:val="white"/>
        </w:rPr>
        <w:t xml:space="preserve">Patel </w:t>
      </w:r>
      <w:r>
        <w:rPr>
          <w:rFonts w:ascii="Arial" w:eastAsia="Arial" w:hAnsi="Arial" w:cs="Arial"/>
          <w:i/>
          <w:color w:val="222222"/>
          <w:sz w:val="24"/>
          <w:szCs w:val="24"/>
          <w:highlight w:val="white"/>
        </w:rPr>
        <w:t xml:space="preserve">et al. </w:t>
      </w:r>
      <w:r>
        <w:rPr>
          <w:rFonts w:ascii="Arial" w:eastAsia="Arial" w:hAnsi="Arial" w:cs="Arial"/>
          <w:color w:val="222222"/>
          <w:sz w:val="24"/>
          <w:szCs w:val="24"/>
          <w:highlight w:val="white"/>
        </w:rPr>
        <w:t>2021</w:t>
      </w:r>
      <w:r>
        <w:rPr>
          <w:rFonts w:ascii="Arial" w:eastAsia="Arial" w:hAnsi="Arial" w:cs="Arial"/>
          <w:color w:val="000000"/>
          <w:sz w:val="24"/>
          <w:szCs w:val="24"/>
        </w:rPr>
        <w:t xml:space="preserve">). </w:t>
      </w:r>
      <w:proofErr w:type="gramStart"/>
      <w:r>
        <w:rPr>
          <w:rFonts w:ascii="Arial" w:eastAsia="Arial" w:hAnsi="Arial" w:cs="Arial"/>
          <w:color w:val="000000"/>
          <w:sz w:val="24"/>
          <w:szCs w:val="24"/>
        </w:rPr>
        <w:t>Thus</w:t>
      </w:r>
      <w:proofErr w:type="gramEnd"/>
      <w:r>
        <w:rPr>
          <w:rFonts w:ascii="Arial" w:eastAsia="Arial" w:hAnsi="Arial" w:cs="Arial"/>
          <w:color w:val="000000"/>
          <w:sz w:val="24"/>
          <w:szCs w:val="24"/>
        </w:rPr>
        <w:t xml:space="preserve"> customers along with charities can be involved in diverting </w:t>
      </w:r>
      <w:r>
        <w:rPr>
          <w:rFonts w:ascii="Arial" w:eastAsia="Arial" w:hAnsi="Arial" w:cs="Arial"/>
          <w:color w:val="000000"/>
          <w:sz w:val="24"/>
          <w:szCs w:val="24"/>
        </w:rPr>
        <w:lastRenderedPageBreak/>
        <w:t>surplus food. Food insecurity is also acknowledged by these initiatives hence it helps to mitigate waste. </w:t>
      </w:r>
    </w:p>
    <w:p w14:paraId="3B3C5DAF"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Advanced inventory management along with portion control through AI aspects are also potential techniques. Spoilage gets reduced due to advance inventory and its redirection (</w:t>
      </w:r>
      <w:r>
        <w:rPr>
          <w:rFonts w:ascii="Arial" w:eastAsia="Arial" w:hAnsi="Arial" w:cs="Arial"/>
          <w:color w:val="222222"/>
          <w:sz w:val="24"/>
          <w:szCs w:val="24"/>
          <w:highlight w:val="white"/>
        </w:rPr>
        <w:t>Al-Salami, Saleh and Al-Bazi, 2022</w:t>
      </w:r>
      <w:r>
        <w:rPr>
          <w:rFonts w:ascii="Arial" w:eastAsia="Arial" w:hAnsi="Arial" w:cs="Arial"/>
          <w:color w:val="000000"/>
          <w:sz w:val="24"/>
          <w:szCs w:val="24"/>
        </w:rPr>
        <w:t>). It also helps to confirm the utilisation of every ingredient before expiration. Winnow solutions are very important as it is involved within systems considering AI driven circumstances. Food waste structures can be evaluated and marked by it. Portion sizes are also maximised by it. Overall, overproduction gets mitigated as well. Concurring comprehensions are also delivered through kitchen systems considering AI operation concerning food consumption structures (</w:t>
      </w:r>
      <w:r>
        <w:rPr>
          <w:rFonts w:ascii="Arial" w:eastAsia="Arial" w:hAnsi="Arial" w:cs="Arial"/>
          <w:color w:val="222222"/>
          <w:sz w:val="24"/>
          <w:szCs w:val="24"/>
          <w:highlight w:val="white"/>
        </w:rPr>
        <w:t>Perera, 2024</w:t>
      </w:r>
      <w:r>
        <w:rPr>
          <w:rFonts w:ascii="Arial" w:eastAsia="Arial" w:hAnsi="Arial" w:cs="Arial"/>
          <w:color w:val="000000"/>
          <w:sz w:val="24"/>
          <w:szCs w:val="24"/>
        </w:rPr>
        <w:t>). According to preferences, portion sizes can be balanced which are very useful for chefs. </w:t>
      </w:r>
    </w:p>
    <w:p w14:paraId="3B3C5DB0"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Biogas generation along with composting are also very significant. For navigating biogas, anaerobic digesters cultivate foremost food waste. Concerning hotels, sources related to effective renewable energy are also offered. On the scene a significant composting system can also be applied related to organic waste. Nutrient driven potential compost can be obtained through food scraps of farms concerning local urban areas. Moreover, biogas generation is consolidated in an efficient way in Marriott International (</w:t>
      </w:r>
      <w:r>
        <w:rPr>
          <w:rFonts w:ascii="Arial" w:eastAsia="Arial" w:hAnsi="Arial" w:cs="Arial"/>
          <w:color w:val="222222"/>
          <w:sz w:val="24"/>
          <w:szCs w:val="24"/>
          <w:highlight w:val="white"/>
        </w:rPr>
        <w:t xml:space="preserve">Al-Rawashdeh </w:t>
      </w:r>
      <w:r>
        <w:rPr>
          <w:rFonts w:ascii="Arial" w:eastAsia="Arial" w:hAnsi="Arial" w:cs="Arial"/>
          <w:i/>
          <w:color w:val="222222"/>
          <w:sz w:val="24"/>
          <w:szCs w:val="24"/>
          <w:highlight w:val="white"/>
        </w:rPr>
        <w:t xml:space="preserve">et al. </w:t>
      </w:r>
      <w:r>
        <w:rPr>
          <w:rFonts w:ascii="Arial" w:eastAsia="Arial" w:hAnsi="Arial" w:cs="Arial"/>
          <w:color w:val="222222"/>
          <w:sz w:val="24"/>
          <w:szCs w:val="24"/>
          <w:highlight w:val="white"/>
        </w:rPr>
        <w:t>2023</w:t>
      </w:r>
      <w:r>
        <w:rPr>
          <w:rFonts w:ascii="Arial" w:eastAsia="Arial" w:hAnsi="Arial" w:cs="Arial"/>
          <w:color w:val="000000"/>
          <w:sz w:val="24"/>
          <w:szCs w:val="24"/>
        </w:rPr>
        <w:t>). Thus, feasibility can be elucidated. Within this hotel's sustainability methods, these can be noticed. </w:t>
      </w:r>
    </w:p>
    <w:p w14:paraId="3B3C5DB1"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Food waste management considering AI driven aspects as a significant solution also has various advantages through its effective application into The Ritz London. There are economic advantages, environmental advantages along with immense brand image and foremost social responsibility (</w:t>
      </w:r>
      <w:proofErr w:type="spellStart"/>
      <w:r>
        <w:rPr>
          <w:rFonts w:ascii="Arial" w:eastAsia="Arial" w:hAnsi="Arial" w:cs="Arial"/>
          <w:color w:val="222222"/>
          <w:sz w:val="24"/>
          <w:szCs w:val="24"/>
          <w:highlight w:val="white"/>
        </w:rPr>
        <w:t>Liaud</w:t>
      </w:r>
      <w:proofErr w:type="spellEnd"/>
      <w:r>
        <w:rPr>
          <w:rFonts w:ascii="Arial" w:eastAsia="Arial" w:hAnsi="Arial" w:cs="Arial"/>
          <w:color w:val="222222"/>
          <w:sz w:val="24"/>
          <w:szCs w:val="24"/>
          <w:highlight w:val="white"/>
        </w:rPr>
        <w:t>-Laval, 2021</w:t>
      </w:r>
      <w:r>
        <w:rPr>
          <w:rFonts w:ascii="Arial" w:eastAsia="Arial" w:hAnsi="Arial" w:cs="Arial"/>
          <w:color w:val="000000"/>
          <w:sz w:val="24"/>
          <w:szCs w:val="24"/>
        </w:rPr>
        <w:t>). </w:t>
      </w:r>
    </w:p>
    <w:p w14:paraId="3B3C5DB2"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Costs concerning food procurement can be mitigated by almost 20% (</w:t>
      </w:r>
      <w:r>
        <w:rPr>
          <w:rFonts w:ascii="Arial" w:eastAsia="Arial" w:hAnsi="Arial" w:cs="Arial"/>
          <w:color w:val="222222"/>
          <w:sz w:val="24"/>
          <w:szCs w:val="24"/>
          <w:highlight w:val="white"/>
        </w:rPr>
        <w:t>Chawla, Lugosi and Hawkins, 2021</w:t>
      </w:r>
      <w:r>
        <w:rPr>
          <w:rFonts w:ascii="Arial" w:eastAsia="Arial" w:hAnsi="Arial" w:cs="Arial"/>
          <w:color w:val="000000"/>
          <w:sz w:val="24"/>
          <w:szCs w:val="24"/>
        </w:rPr>
        <w:t>). Waste marking aspects concerning artificial intelligence make it possible. Profitability is also developed. Eco-focused customers are getting fascinated through sustainability programs and its immense marketing. Thus, brand loyalty can be boosted. Fees related to waste disposal can be reduced. Donation initiatives and its related huge alliances are behind it. These are included in its economic advantages. </w:t>
      </w:r>
    </w:p>
    <w:p w14:paraId="3B3C5DB3"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Methane emissions can be mitigated. Diminishing food waste helps to mitigate these aspects. Through landfills, this gas can be unwrapped. Towards the foremost principles </w:t>
      </w:r>
      <w:r>
        <w:rPr>
          <w:rFonts w:ascii="Arial" w:eastAsia="Arial" w:hAnsi="Arial" w:cs="Arial"/>
          <w:color w:val="000000"/>
          <w:sz w:val="24"/>
          <w:szCs w:val="24"/>
        </w:rPr>
        <w:lastRenderedPageBreak/>
        <w:t>of circular economy, biogas production along with composting can be empowered. It helps to mitigate landfill reliance. Food manufacturing related energy along with water utilisation can be preserved. Maximisation of food use helps to make it happen (</w:t>
      </w:r>
      <w:proofErr w:type="spellStart"/>
      <w:r>
        <w:rPr>
          <w:rFonts w:ascii="Arial" w:eastAsia="Arial" w:hAnsi="Arial" w:cs="Arial"/>
          <w:color w:val="222222"/>
          <w:sz w:val="24"/>
          <w:szCs w:val="24"/>
          <w:highlight w:val="white"/>
        </w:rPr>
        <w:t>Musiello</w:t>
      </w:r>
      <w:proofErr w:type="spellEnd"/>
      <w:r>
        <w:rPr>
          <w:rFonts w:ascii="Arial" w:eastAsia="Arial" w:hAnsi="Arial" w:cs="Arial"/>
          <w:color w:val="222222"/>
          <w:sz w:val="24"/>
          <w:szCs w:val="24"/>
          <w:highlight w:val="white"/>
        </w:rPr>
        <w:t xml:space="preserve">-Neto </w:t>
      </w:r>
      <w:r>
        <w:rPr>
          <w:rFonts w:ascii="Arial" w:eastAsia="Arial" w:hAnsi="Arial" w:cs="Arial"/>
          <w:i/>
          <w:color w:val="222222"/>
          <w:sz w:val="24"/>
          <w:szCs w:val="24"/>
          <w:highlight w:val="white"/>
        </w:rPr>
        <w:t>et al.</w:t>
      </w:r>
      <w:r>
        <w:rPr>
          <w:rFonts w:ascii="Arial" w:eastAsia="Arial" w:hAnsi="Arial" w:cs="Arial"/>
          <w:color w:val="222222"/>
          <w:sz w:val="24"/>
          <w:szCs w:val="24"/>
          <w:highlight w:val="white"/>
        </w:rPr>
        <w:t xml:space="preserve"> 2021</w:t>
      </w:r>
      <w:r>
        <w:rPr>
          <w:rFonts w:ascii="Arial" w:eastAsia="Arial" w:hAnsi="Arial" w:cs="Arial"/>
          <w:color w:val="000000"/>
          <w:sz w:val="24"/>
          <w:szCs w:val="24"/>
        </w:rPr>
        <w:t xml:space="preserve">). </w:t>
      </w:r>
      <w:proofErr w:type="gramStart"/>
      <w:r>
        <w:rPr>
          <w:rFonts w:ascii="Arial" w:eastAsia="Arial" w:hAnsi="Arial" w:cs="Arial"/>
          <w:color w:val="000000"/>
          <w:sz w:val="24"/>
          <w:szCs w:val="24"/>
        </w:rPr>
        <w:t>All of</w:t>
      </w:r>
      <w:proofErr w:type="gramEnd"/>
      <w:r>
        <w:rPr>
          <w:rFonts w:ascii="Arial" w:eastAsia="Arial" w:hAnsi="Arial" w:cs="Arial"/>
          <w:color w:val="000000"/>
          <w:sz w:val="24"/>
          <w:szCs w:val="24"/>
        </w:rPr>
        <w:t xml:space="preserve"> these unified forces are restrained in a significant way in its environmental advantages. </w:t>
      </w:r>
    </w:p>
    <w:p w14:paraId="3B3C5DB4"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Approaches related to foremost corporate social responsibility are getting underpinned due to the reinforcements of local charities (</w:t>
      </w:r>
      <w:r>
        <w:rPr>
          <w:rFonts w:ascii="Arial" w:eastAsia="Arial" w:hAnsi="Arial" w:cs="Arial"/>
          <w:color w:val="222222"/>
          <w:sz w:val="24"/>
          <w:szCs w:val="24"/>
          <w:highlight w:val="white"/>
        </w:rPr>
        <w:t>Thomas, 2022</w:t>
      </w:r>
      <w:r>
        <w:rPr>
          <w:rFonts w:ascii="Arial" w:eastAsia="Arial" w:hAnsi="Arial" w:cs="Arial"/>
          <w:color w:val="000000"/>
          <w:sz w:val="24"/>
          <w:szCs w:val="24"/>
        </w:rPr>
        <w:t>). Thus, public perception can be developed. Towards eco-hospitality and luxury, The Ritz London can achieve its desirable market position globally through consolidating sustainability programs. Seamlessly increasing customer preferences are getting oriented with practices related to sustainable food and its involvement. Hospitality services and ethical maintenance are significantly incorporated within these preferences.  </w:t>
      </w:r>
    </w:p>
    <w:p w14:paraId="3B3C5DB5"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Despite various advantages, several challenges are also faced by the Ritz London due to food waste management and its consideration of AI aspects. </w:t>
      </w:r>
    </w:p>
    <w:p w14:paraId="3B3C5DB6"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Training along with functional adjustments- AI consolidation and its foremost obtainment must be taken by management along with kitchen employees. Workflow related stabilisation and training objectives are needed for that. Various change management methods are also restrained within it. Waste mitigation alongside </w:t>
      </w:r>
      <w:proofErr w:type="gramStart"/>
      <w:r>
        <w:rPr>
          <w:rFonts w:ascii="Arial" w:eastAsia="Arial" w:hAnsi="Arial" w:cs="Arial"/>
          <w:color w:val="000000"/>
          <w:sz w:val="24"/>
          <w:szCs w:val="24"/>
        </w:rPr>
        <w:t>staff based</w:t>
      </w:r>
      <w:proofErr w:type="gramEnd"/>
      <w:r>
        <w:rPr>
          <w:rFonts w:ascii="Arial" w:eastAsia="Arial" w:hAnsi="Arial" w:cs="Arial"/>
          <w:color w:val="000000"/>
          <w:sz w:val="24"/>
          <w:szCs w:val="24"/>
        </w:rPr>
        <w:t xml:space="preserve"> incentives are included. Thus, efficient attainment gets motivated. </w:t>
      </w:r>
    </w:p>
    <w:p w14:paraId="3B3C5DB7"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Commencing investment related costs- An impactful upfront investment is needed concerning training along with technology. For composting systems alongside waste marking considering AI aspects and application </w:t>
      </w:r>
      <w:proofErr w:type="gramStart"/>
      <w:r>
        <w:rPr>
          <w:rFonts w:ascii="Arial" w:eastAsia="Arial" w:hAnsi="Arial" w:cs="Arial"/>
          <w:color w:val="000000"/>
          <w:sz w:val="24"/>
          <w:szCs w:val="24"/>
        </w:rPr>
        <w:t>are connected with</w:t>
      </w:r>
      <w:proofErr w:type="gramEnd"/>
      <w:r>
        <w:rPr>
          <w:rFonts w:ascii="Arial" w:eastAsia="Arial" w:hAnsi="Arial" w:cs="Arial"/>
          <w:color w:val="000000"/>
          <w:sz w:val="24"/>
          <w:szCs w:val="24"/>
        </w:rPr>
        <w:t xml:space="preserve"> these requirements (</w:t>
      </w:r>
      <w:r>
        <w:rPr>
          <w:rFonts w:ascii="Arial" w:eastAsia="Arial" w:hAnsi="Arial" w:cs="Arial"/>
          <w:color w:val="222222"/>
          <w:sz w:val="24"/>
          <w:szCs w:val="24"/>
          <w:highlight w:val="white"/>
        </w:rPr>
        <w:t>Perdomo-Verdecia, Sacristan-Díaz and Garrido-Vega, 2022</w:t>
      </w:r>
      <w:r>
        <w:rPr>
          <w:rFonts w:ascii="Arial" w:eastAsia="Arial" w:hAnsi="Arial" w:cs="Arial"/>
          <w:color w:val="000000"/>
          <w:sz w:val="24"/>
          <w:szCs w:val="24"/>
        </w:rPr>
        <w:t>). Initial costs can be equalised through mitigated food waste concerning all-embracing savings. </w:t>
      </w:r>
    </w:p>
    <w:p w14:paraId="3B3C5DB8"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Logistical alongside regulatory considerations- Laws of the UK concerning food safety should be followed by food donation initiatives. Consumption based safety concerning surplus food gets confirmed through it. Operations can be engaged in foremost efficiency. Food redistribution centric concentration towards logistics forms and its related alliances can make it possible. </w:t>
      </w:r>
    </w:p>
    <w:p w14:paraId="3B3C5DB9"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Accor Hotels, Marriott International, etc are included in the list of various leading hotels. Solutions related to food waste by considering AI circumstances are applied by these </w:t>
      </w:r>
      <w:r>
        <w:rPr>
          <w:rFonts w:ascii="Arial" w:eastAsia="Arial" w:hAnsi="Arial" w:cs="Arial"/>
          <w:color w:val="000000"/>
          <w:sz w:val="24"/>
          <w:szCs w:val="24"/>
        </w:rPr>
        <w:lastRenderedPageBreak/>
        <w:t>hotels in their businesses. This program related core feasibility can be portrayed through it eventually. Food marking solutions considering AI driven aspects are obtained by Sofitel London St. James. By approximately 30% food waste mitigation can be driven because of these reasons (</w:t>
      </w:r>
      <w:r>
        <w:rPr>
          <w:rFonts w:ascii="Arial" w:eastAsia="Arial" w:hAnsi="Arial" w:cs="Arial"/>
          <w:color w:val="222222"/>
          <w:sz w:val="24"/>
          <w:szCs w:val="24"/>
          <w:highlight w:val="white"/>
        </w:rPr>
        <w:t xml:space="preserve">Dwivedi </w:t>
      </w:r>
      <w:r>
        <w:rPr>
          <w:rFonts w:ascii="Arial" w:eastAsia="Arial" w:hAnsi="Arial" w:cs="Arial"/>
          <w:i/>
          <w:color w:val="222222"/>
          <w:sz w:val="24"/>
          <w:szCs w:val="24"/>
          <w:highlight w:val="white"/>
        </w:rPr>
        <w:t xml:space="preserve">et al. </w:t>
      </w:r>
      <w:r>
        <w:rPr>
          <w:rFonts w:ascii="Arial" w:eastAsia="Arial" w:hAnsi="Arial" w:cs="Arial"/>
          <w:color w:val="222222"/>
          <w:sz w:val="24"/>
          <w:szCs w:val="24"/>
          <w:highlight w:val="white"/>
        </w:rPr>
        <w:t>2024</w:t>
      </w:r>
      <w:r>
        <w:rPr>
          <w:rFonts w:ascii="Arial" w:eastAsia="Arial" w:hAnsi="Arial" w:cs="Arial"/>
          <w:color w:val="000000"/>
          <w:sz w:val="24"/>
          <w:szCs w:val="24"/>
        </w:rPr>
        <w:t>). Luxury hotel related advantages and foremost practicality can be achieved by implementing these solutions of food waste considering AI powered aspects. </w:t>
      </w:r>
    </w:p>
    <w:p w14:paraId="3B3C5DBA"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Sustainability approaches can be boosted within The Ritz London. Towards a significant greener hospitality sector is also empowered by its circumstances. Food waste is also mitigated. Practices concerning waste management related to AI driven aspects and its attainment make </w:t>
      </w:r>
      <w:proofErr w:type="gramStart"/>
      <w:r>
        <w:rPr>
          <w:rFonts w:ascii="Arial" w:eastAsia="Arial" w:hAnsi="Arial" w:cs="Arial"/>
          <w:color w:val="000000"/>
          <w:sz w:val="24"/>
          <w:szCs w:val="24"/>
        </w:rPr>
        <w:t>all of</w:t>
      </w:r>
      <w:proofErr w:type="gramEnd"/>
      <w:r>
        <w:rPr>
          <w:rFonts w:ascii="Arial" w:eastAsia="Arial" w:hAnsi="Arial" w:cs="Arial"/>
          <w:color w:val="000000"/>
          <w:sz w:val="24"/>
          <w:szCs w:val="24"/>
        </w:rPr>
        <w:t xml:space="preserve"> these possible for this organisation eventually. The entire environment can get several advantages due to this eco-friendly food practices and its related shifts. CSR efforts, significant cost savings along with functional efficiency can be then boosted. </w:t>
      </w:r>
    </w:p>
    <w:p w14:paraId="3B3C5DBB"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Thus, The Ritz London can be able to pave its way to its desirable and targeted marketplace concerning the sustainable </w:t>
      </w:r>
      <w:proofErr w:type="gramStart"/>
      <w:r>
        <w:rPr>
          <w:rFonts w:ascii="Arial" w:eastAsia="Arial" w:hAnsi="Arial" w:cs="Arial"/>
          <w:color w:val="000000"/>
          <w:sz w:val="24"/>
          <w:szCs w:val="24"/>
        </w:rPr>
        <w:t>luxury based</w:t>
      </w:r>
      <w:proofErr w:type="gramEnd"/>
      <w:r>
        <w:rPr>
          <w:rFonts w:ascii="Arial" w:eastAsia="Arial" w:hAnsi="Arial" w:cs="Arial"/>
          <w:color w:val="000000"/>
          <w:sz w:val="24"/>
          <w:szCs w:val="24"/>
        </w:rPr>
        <w:t xml:space="preserve"> hospitality sector. This effective sustainability gap and its mitigation play a pivotal role for these accomplishments. </w:t>
      </w:r>
    </w:p>
    <w:p w14:paraId="3B3C5DBC" w14:textId="2357797F" w:rsidR="00B1069B" w:rsidRDefault="00B1069B">
      <w:pPr>
        <w:spacing w:before="400" w:after="120" w:line="360" w:lineRule="auto"/>
        <w:jc w:val="both"/>
        <w:rPr>
          <w:rFonts w:ascii="Times New Roman" w:eastAsia="Times New Roman" w:hAnsi="Times New Roman" w:cs="Times New Roman"/>
          <w:b/>
          <w:sz w:val="48"/>
          <w:szCs w:val="48"/>
        </w:rPr>
      </w:pPr>
      <w:bookmarkStart w:id="2" w:name="_1fob9te" w:colFirst="0" w:colLast="0"/>
      <w:bookmarkEnd w:id="2"/>
    </w:p>
    <w:p w14:paraId="3B3C5DBD"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Towards functional efficiency along with environmental preservation, sustainability holds a huge significance concerning the entire hospitality sector. Sustainable practice related impactful shifts are taken by The Ritz London in an efficient way in its business circumstances. Overall, a gap can also be noticed despite these initiatives. Food waste management is a significant issue for this organisation. AI powered aspects and its implementation towards the foremost food waste management, mitigation of waste can be possible. CSR approaches are also reinforced. Overall, cost efficiency gets developed. </w:t>
      </w:r>
    </w:p>
    <w:p w14:paraId="3B3C5DBE"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Overproduction is also reduced due to advanced inventory systems along with significant portion control considering AI driven circumstances. Community based advantages related to surplus food is also getting engaged in core confirmation. Food donation initiatives and its related alliances make it happen. Solutions concerning renewable </w:t>
      </w:r>
      <w:r>
        <w:rPr>
          <w:rFonts w:ascii="Arial" w:eastAsia="Arial" w:hAnsi="Arial" w:cs="Arial"/>
          <w:color w:val="000000"/>
          <w:sz w:val="24"/>
          <w:szCs w:val="24"/>
        </w:rPr>
        <w:lastRenderedPageBreak/>
        <w:t>energy are also empowered through biogas along with composting programs. Thus, the reliance on landfill is also mitigated. </w:t>
      </w:r>
    </w:p>
    <w:p w14:paraId="3B3C5DBF"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All-embracing advantages can be able to exceed these hindrances concerning various challenges. Functional adjustments along with initial costs are restrained within these lists of challenges. Significant solutions carrying feasibility along with credibility- these unified forces can be achieved throughout the application of this foremost waste management considering AI driven aspects in it. Sustainability standards on a global base are also marshalled within it. </w:t>
      </w:r>
    </w:p>
    <w:p w14:paraId="3B3C5DC0"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000000"/>
          <w:sz w:val="24"/>
          <w:szCs w:val="24"/>
        </w:rPr>
        <w:t xml:space="preserve">Eco-friendly </w:t>
      </w:r>
      <w:proofErr w:type="gramStart"/>
      <w:r>
        <w:rPr>
          <w:rFonts w:ascii="Arial" w:eastAsia="Arial" w:hAnsi="Arial" w:cs="Arial"/>
          <w:color w:val="000000"/>
          <w:sz w:val="24"/>
          <w:szCs w:val="24"/>
        </w:rPr>
        <w:t>luxury based</w:t>
      </w:r>
      <w:proofErr w:type="gramEnd"/>
      <w:r>
        <w:rPr>
          <w:rFonts w:ascii="Arial" w:eastAsia="Arial" w:hAnsi="Arial" w:cs="Arial"/>
          <w:color w:val="000000"/>
          <w:sz w:val="24"/>
          <w:szCs w:val="24"/>
        </w:rPr>
        <w:t xml:space="preserve"> hospitality sector can be dominated through these steps and initiatives within the direct association of The Ritz London. Foremost environmental responsibility can be elucidated through these obtainments. High end guest experiences can also be accomplished. Ecological influences, customer contentment along with brand reputation can also be boosted. </w:t>
      </w:r>
    </w:p>
    <w:p w14:paraId="3B3C5DC1" w14:textId="77777777" w:rsidR="00B1069B" w:rsidRDefault="00B1069B">
      <w:pPr>
        <w:spacing w:before="400" w:after="120" w:line="360" w:lineRule="auto"/>
        <w:jc w:val="both"/>
        <w:rPr>
          <w:rFonts w:ascii="Arial" w:eastAsia="Arial" w:hAnsi="Arial" w:cs="Arial"/>
          <w:b/>
          <w:color w:val="000000"/>
          <w:sz w:val="24"/>
          <w:szCs w:val="24"/>
        </w:rPr>
      </w:pPr>
    </w:p>
    <w:p w14:paraId="3B3C5DC2" w14:textId="77777777" w:rsidR="00B1069B" w:rsidRDefault="00B1069B">
      <w:pPr>
        <w:spacing w:before="400" w:after="120" w:line="360" w:lineRule="auto"/>
        <w:jc w:val="both"/>
        <w:rPr>
          <w:rFonts w:ascii="Arial" w:eastAsia="Arial" w:hAnsi="Arial" w:cs="Arial"/>
          <w:b/>
          <w:color w:val="000000"/>
          <w:sz w:val="24"/>
          <w:szCs w:val="24"/>
        </w:rPr>
      </w:pPr>
    </w:p>
    <w:p w14:paraId="3B3C5DC3" w14:textId="77777777" w:rsidR="00B1069B" w:rsidRDefault="00B1069B">
      <w:pPr>
        <w:spacing w:before="400" w:after="120" w:line="360" w:lineRule="auto"/>
        <w:jc w:val="both"/>
        <w:rPr>
          <w:rFonts w:ascii="Arial" w:eastAsia="Arial" w:hAnsi="Arial" w:cs="Arial"/>
          <w:b/>
          <w:color w:val="000000"/>
          <w:sz w:val="24"/>
          <w:szCs w:val="24"/>
        </w:rPr>
      </w:pPr>
    </w:p>
    <w:p w14:paraId="3B3C5DC4" w14:textId="77777777" w:rsidR="00B1069B" w:rsidRDefault="00B1069B">
      <w:pPr>
        <w:spacing w:before="400" w:after="120" w:line="360" w:lineRule="auto"/>
        <w:jc w:val="both"/>
        <w:rPr>
          <w:rFonts w:ascii="Arial" w:eastAsia="Arial" w:hAnsi="Arial" w:cs="Arial"/>
          <w:b/>
          <w:color w:val="000000"/>
          <w:sz w:val="24"/>
          <w:szCs w:val="24"/>
        </w:rPr>
      </w:pPr>
    </w:p>
    <w:p w14:paraId="3B3C5DC5" w14:textId="77777777" w:rsidR="00B1069B" w:rsidRDefault="00B1069B">
      <w:pPr>
        <w:spacing w:before="400" w:after="120" w:line="360" w:lineRule="auto"/>
        <w:jc w:val="both"/>
        <w:rPr>
          <w:rFonts w:ascii="Arial" w:eastAsia="Arial" w:hAnsi="Arial" w:cs="Arial"/>
          <w:b/>
          <w:color w:val="000000"/>
          <w:sz w:val="24"/>
          <w:szCs w:val="24"/>
        </w:rPr>
      </w:pPr>
    </w:p>
    <w:p w14:paraId="3B3C5DC6" w14:textId="77777777" w:rsidR="00B1069B" w:rsidRDefault="00B1069B">
      <w:pPr>
        <w:spacing w:before="400" w:after="120" w:line="360" w:lineRule="auto"/>
        <w:jc w:val="both"/>
        <w:rPr>
          <w:rFonts w:ascii="Arial" w:eastAsia="Arial" w:hAnsi="Arial" w:cs="Arial"/>
          <w:b/>
          <w:color w:val="000000"/>
          <w:sz w:val="24"/>
          <w:szCs w:val="24"/>
        </w:rPr>
      </w:pPr>
    </w:p>
    <w:p w14:paraId="3B3C5DC7" w14:textId="77777777" w:rsidR="00B1069B" w:rsidRDefault="00B1069B">
      <w:pPr>
        <w:spacing w:before="400" w:after="120" w:line="360" w:lineRule="auto"/>
        <w:jc w:val="both"/>
        <w:rPr>
          <w:rFonts w:ascii="Arial" w:eastAsia="Arial" w:hAnsi="Arial" w:cs="Arial"/>
          <w:b/>
          <w:color w:val="000000"/>
          <w:sz w:val="24"/>
          <w:szCs w:val="24"/>
        </w:rPr>
      </w:pPr>
    </w:p>
    <w:p w14:paraId="3B3C5DC8" w14:textId="77777777" w:rsidR="00B1069B" w:rsidRDefault="00B1069B">
      <w:pPr>
        <w:spacing w:before="400" w:after="120" w:line="360" w:lineRule="auto"/>
        <w:jc w:val="both"/>
        <w:rPr>
          <w:rFonts w:ascii="Arial" w:eastAsia="Arial" w:hAnsi="Arial" w:cs="Arial"/>
          <w:b/>
          <w:color w:val="000000"/>
          <w:sz w:val="24"/>
          <w:szCs w:val="24"/>
        </w:rPr>
      </w:pPr>
    </w:p>
    <w:p w14:paraId="3B3C5DC9" w14:textId="77777777" w:rsidR="00B1069B" w:rsidRDefault="00991EC9">
      <w:pPr>
        <w:rPr>
          <w:rFonts w:ascii="Arial" w:eastAsia="Arial" w:hAnsi="Arial" w:cs="Arial"/>
          <w:b/>
          <w:color w:val="000000"/>
          <w:sz w:val="24"/>
          <w:szCs w:val="24"/>
        </w:rPr>
      </w:pPr>
      <w:bookmarkStart w:id="3" w:name="_3znysh7" w:colFirst="0" w:colLast="0"/>
      <w:bookmarkEnd w:id="3"/>
      <w:r>
        <w:br w:type="page"/>
      </w:r>
    </w:p>
    <w:p w14:paraId="3B3C5DCA" w14:textId="77777777" w:rsidR="00B1069B" w:rsidRDefault="00991EC9">
      <w:pPr>
        <w:spacing w:before="400" w:after="120" w:line="360" w:lineRule="auto"/>
        <w:jc w:val="both"/>
        <w:rPr>
          <w:rFonts w:ascii="Times New Roman" w:eastAsia="Times New Roman" w:hAnsi="Times New Roman" w:cs="Times New Roman"/>
          <w:b/>
          <w:sz w:val="48"/>
          <w:szCs w:val="48"/>
        </w:rPr>
      </w:pPr>
      <w:r>
        <w:rPr>
          <w:rFonts w:ascii="Arial" w:eastAsia="Arial" w:hAnsi="Arial" w:cs="Arial"/>
          <w:b/>
          <w:color w:val="000000"/>
          <w:sz w:val="24"/>
          <w:szCs w:val="24"/>
        </w:rPr>
        <w:lastRenderedPageBreak/>
        <w:t>References </w:t>
      </w:r>
    </w:p>
    <w:p w14:paraId="3B3C5DCB"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Al-Rawashdeh, H., Al-</w:t>
      </w:r>
      <w:proofErr w:type="spellStart"/>
      <w:r>
        <w:rPr>
          <w:rFonts w:ascii="Arial" w:eastAsia="Arial" w:hAnsi="Arial" w:cs="Arial"/>
          <w:color w:val="222222"/>
          <w:sz w:val="24"/>
          <w:szCs w:val="24"/>
          <w:highlight w:val="white"/>
        </w:rPr>
        <w:t>Khashman</w:t>
      </w:r>
      <w:proofErr w:type="spellEnd"/>
      <w:r>
        <w:rPr>
          <w:rFonts w:ascii="Arial" w:eastAsia="Arial" w:hAnsi="Arial" w:cs="Arial"/>
          <w:color w:val="222222"/>
          <w:sz w:val="24"/>
          <w:szCs w:val="24"/>
          <w:highlight w:val="white"/>
        </w:rPr>
        <w:t xml:space="preserve">, O.A., Al </w:t>
      </w:r>
      <w:proofErr w:type="spellStart"/>
      <w:r>
        <w:rPr>
          <w:rFonts w:ascii="Arial" w:eastAsia="Arial" w:hAnsi="Arial" w:cs="Arial"/>
          <w:color w:val="222222"/>
          <w:sz w:val="24"/>
          <w:szCs w:val="24"/>
          <w:highlight w:val="white"/>
        </w:rPr>
        <w:t>Bdour</w:t>
      </w:r>
      <w:proofErr w:type="spellEnd"/>
      <w:r>
        <w:rPr>
          <w:rFonts w:ascii="Arial" w:eastAsia="Arial" w:hAnsi="Arial" w:cs="Arial"/>
          <w:color w:val="222222"/>
          <w:sz w:val="24"/>
          <w:szCs w:val="24"/>
          <w:highlight w:val="white"/>
        </w:rPr>
        <w:t xml:space="preserve">, J.T., Gomaa, M.R., Rezk, H., </w:t>
      </w:r>
      <w:proofErr w:type="spellStart"/>
      <w:r>
        <w:rPr>
          <w:rFonts w:ascii="Arial" w:eastAsia="Arial" w:hAnsi="Arial" w:cs="Arial"/>
          <w:color w:val="222222"/>
          <w:sz w:val="24"/>
          <w:szCs w:val="24"/>
          <w:highlight w:val="white"/>
        </w:rPr>
        <w:t>Marashli</w:t>
      </w:r>
      <w:proofErr w:type="spellEnd"/>
      <w:r>
        <w:rPr>
          <w:rFonts w:ascii="Arial" w:eastAsia="Arial" w:hAnsi="Arial" w:cs="Arial"/>
          <w:color w:val="222222"/>
          <w:sz w:val="24"/>
          <w:szCs w:val="24"/>
          <w:highlight w:val="white"/>
        </w:rPr>
        <w:t xml:space="preserve">, A., </w:t>
      </w:r>
      <w:proofErr w:type="spellStart"/>
      <w:r>
        <w:rPr>
          <w:rFonts w:ascii="Arial" w:eastAsia="Arial" w:hAnsi="Arial" w:cs="Arial"/>
          <w:color w:val="222222"/>
          <w:sz w:val="24"/>
          <w:szCs w:val="24"/>
          <w:highlight w:val="white"/>
        </w:rPr>
        <w:t>Arrfou</w:t>
      </w:r>
      <w:proofErr w:type="spellEnd"/>
      <w:r>
        <w:rPr>
          <w:rFonts w:ascii="Arial" w:eastAsia="Arial" w:hAnsi="Arial" w:cs="Arial"/>
          <w:color w:val="222222"/>
          <w:sz w:val="24"/>
          <w:szCs w:val="24"/>
          <w:highlight w:val="white"/>
        </w:rPr>
        <w:t xml:space="preserve">, L.M. and </w:t>
      </w:r>
      <w:proofErr w:type="spellStart"/>
      <w:r>
        <w:rPr>
          <w:rFonts w:ascii="Arial" w:eastAsia="Arial" w:hAnsi="Arial" w:cs="Arial"/>
          <w:color w:val="222222"/>
          <w:sz w:val="24"/>
          <w:szCs w:val="24"/>
          <w:highlight w:val="white"/>
        </w:rPr>
        <w:t>Louzazni</w:t>
      </w:r>
      <w:proofErr w:type="spellEnd"/>
      <w:r>
        <w:rPr>
          <w:rFonts w:ascii="Arial" w:eastAsia="Arial" w:hAnsi="Arial" w:cs="Arial"/>
          <w:color w:val="222222"/>
          <w:sz w:val="24"/>
          <w:szCs w:val="24"/>
          <w:highlight w:val="white"/>
        </w:rPr>
        <w:t xml:space="preserve">, M., 2023. Performance analysis of a hybrid renewable-energy system for green buildings to improve efficiency and reduce GHG emissions with multiple scenarios. </w:t>
      </w:r>
      <w:r>
        <w:rPr>
          <w:rFonts w:ascii="Arial" w:eastAsia="Arial" w:hAnsi="Arial" w:cs="Arial"/>
          <w:i/>
          <w:color w:val="222222"/>
          <w:sz w:val="24"/>
          <w:szCs w:val="24"/>
          <w:highlight w:val="white"/>
        </w:rPr>
        <w:t>Sustainability</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15</w:t>
      </w:r>
      <w:r>
        <w:rPr>
          <w:rFonts w:ascii="Arial" w:eastAsia="Arial" w:hAnsi="Arial" w:cs="Arial"/>
          <w:color w:val="222222"/>
          <w:sz w:val="24"/>
          <w:szCs w:val="24"/>
          <w:highlight w:val="white"/>
        </w:rPr>
        <w:t xml:space="preserve">(9), p.7529. Available at: </w:t>
      </w:r>
      <w:hyperlink r:id="rId7">
        <w:r>
          <w:rPr>
            <w:rFonts w:ascii="Arial" w:eastAsia="Arial" w:hAnsi="Arial" w:cs="Arial"/>
            <w:color w:val="1155CC"/>
            <w:sz w:val="24"/>
            <w:szCs w:val="24"/>
            <w:u w:val="single"/>
          </w:rPr>
          <w:t>https://www.mdpi.com/2071-1050/15/9/7529/pdf</w:t>
        </w:r>
      </w:hyperlink>
      <w:r>
        <w:rPr>
          <w:rFonts w:ascii="Arial" w:eastAsia="Arial" w:hAnsi="Arial" w:cs="Arial"/>
          <w:color w:val="222222"/>
          <w:sz w:val="24"/>
          <w:szCs w:val="24"/>
          <w:highlight w:val="white"/>
        </w:rPr>
        <w:t xml:space="preserve"> (Accessed: 24 February 2025)</w:t>
      </w:r>
    </w:p>
    <w:p w14:paraId="3B3C5DCC" w14:textId="77777777" w:rsidR="00B1069B" w:rsidRDefault="00B1069B">
      <w:pPr>
        <w:spacing w:after="0" w:line="360" w:lineRule="auto"/>
        <w:jc w:val="both"/>
        <w:rPr>
          <w:rFonts w:ascii="Times New Roman" w:eastAsia="Times New Roman" w:hAnsi="Times New Roman" w:cs="Times New Roman"/>
          <w:sz w:val="24"/>
          <w:szCs w:val="24"/>
        </w:rPr>
      </w:pPr>
    </w:p>
    <w:p w14:paraId="3B3C5DCD"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Al-Salami, Q.H., Saleh, R.K. and Al-Bazi, A.F., 2022. An efficient inventory model-based ga for food deterioration products in the tourism industry. </w:t>
      </w:r>
      <w:r>
        <w:rPr>
          <w:rFonts w:ascii="Arial" w:eastAsia="Arial" w:hAnsi="Arial" w:cs="Arial"/>
          <w:i/>
          <w:color w:val="222222"/>
          <w:sz w:val="24"/>
          <w:szCs w:val="24"/>
          <w:highlight w:val="white"/>
        </w:rPr>
        <w:t xml:space="preserve">Pesquisa </w:t>
      </w:r>
      <w:proofErr w:type="spellStart"/>
      <w:r>
        <w:rPr>
          <w:rFonts w:ascii="Arial" w:eastAsia="Arial" w:hAnsi="Arial" w:cs="Arial"/>
          <w:i/>
          <w:color w:val="222222"/>
          <w:sz w:val="24"/>
          <w:szCs w:val="24"/>
          <w:highlight w:val="white"/>
        </w:rPr>
        <w:t>Operacional</w:t>
      </w:r>
      <w:proofErr w:type="spellEnd"/>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42</w:t>
      </w:r>
      <w:r>
        <w:rPr>
          <w:rFonts w:ascii="Arial" w:eastAsia="Arial" w:hAnsi="Arial" w:cs="Arial"/>
          <w:color w:val="222222"/>
          <w:sz w:val="24"/>
          <w:szCs w:val="24"/>
          <w:highlight w:val="white"/>
        </w:rPr>
        <w:t xml:space="preserve">, p.e257747. Available at: </w:t>
      </w:r>
      <w:hyperlink r:id="rId8">
        <w:r>
          <w:rPr>
            <w:rFonts w:ascii="Arial" w:eastAsia="Arial" w:hAnsi="Arial" w:cs="Arial"/>
            <w:color w:val="1155CC"/>
            <w:sz w:val="24"/>
            <w:szCs w:val="24"/>
            <w:u w:val="single"/>
          </w:rPr>
          <w:t>https://www.scielo.br/j/pope/a/mn7sbbR79xXSVQgHxX33Zqy/?format=html&amp;lang=en</w:t>
        </w:r>
      </w:hyperlink>
      <w:r>
        <w:rPr>
          <w:rFonts w:ascii="Arial" w:eastAsia="Arial" w:hAnsi="Arial" w:cs="Arial"/>
          <w:color w:val="222222"/>
          <w:sz w:val="20"/>
          <w:szCs w:val="20"/>
          <w:highlight w:val="white"/>
        </w:rPr>
        <w:t xml:space="preserve"> </w:t>
      </w:r>
      <w:r>
        <w:rPr>
          <w:rFonts w:ascii="Arial" w:eastAsia="Arial" w:hAnsi="Arial" w:cs="Arial"/>
          <w:color w:val="222222"/>
          <w:sz w:val="24"/>
          <w:szCs w:val="24"/>
          <w:highlight w:val="white"/>
        </w:rPr>
        <w:t>(Accessed: 24 February 2025)</w:t>
      </w:r>
    </w:p>
    <w:p w14:paraId="3B3C5DCE" w14:textId="77777777" w:rsidR="00B1069B" w:rsidRDefault="00B1069B">
      <w:pPr>
        <w:spacing w:after="0" w:line="360" w:lineRule="auto"/>
        <w:jc w:val="both"/>
        <w:rPr>
          <w:rFonts w:ascii="Times New Roman" w:eastAsia="Times New Roman" w:hAnsi="Times New Roman" w:cs="Times New Roman"/>
          <w:sz w:val="24"/>
          <w:szCs w:val="24"/>
        </w:rPr>
      </w:pPr>
    </w:p>
    <w:p w14:paraId="3B3C5DCF" w14:textId="77777777" w:rsidR="00B1069B" w:rsidRDefault="00991EC9">
      <w:pPr>
        <w:spacing w:after="0" w:line="360" w:lineRule="auto"/>
        <w:jc w:val="both"/>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Amicarelli</w:t>
      </w:r>
      <w:proofErr w:type="spellEnd"/>
      <w:r>
        <w:rPr>
          <w:rFonts w:ascii="Arial" w:eastAsia="Arial" w:hAnsi="Arial" w:cs="Arial"/>
          <w:color w:val="222222"/>
          <w:sz w:val="24"/>
          <w:szCs w:val="24"/>
          <w:highlight w:val="white"/>
        </w:rPr>
        <w:t xml:space="preserve">, V., </w:t>
      </w:r>
      <w:proofErr w:type="spellStart"/>
      <w:r>
        <w:rPr>
          <w:rFonts w:ascii="Arial" w:eastAsia="Arial" w:hAnsi="Arial" w:cs="Arial"/>
          <w:color w:val="222222"/>
          <w:sz w:val="24"/>
          <w:szCs w:val="24"/>
          <w:highlight w:val="white"/>
        </w:rPr>
        <w:t>Aluculesei</w:t>
      </w:r>
      <w:proofErr w:type="spellEnd"/>
      <w:r>
        <w:rPr>
          <w:rFonts w:ascii="Arial" w:eastAsia="Arial" w:hAnsi="Arial" w:cs="Arial"/>
          <w:color w:val="222222"/>
          <w:sz w:val="24"/>
          <w:szCs w:val="24"/>
          <w:highlight w:val="white"/>
        </w:rPr>
        <w:t xml:space="preserve">, A.C., Lagioia, G., </w:t>
      </w:r>
      <w:proofErr w:type="spellStart"/>
      <w:r>
        <w:rPr>
          <w:rFonts w:ascii="Arial" w:eastAsia="Arial" w:hAnsi="Arial" w:cs="Arial"/>
          <w:color w:val="222222"/>
          <w:sz w:val="24"/>
          <w:szCs w:val="24"/>
          <w:highlight w:val="white"/>
        </w:rPr>
        <w:t>Pamfilie</w:t>
      </w:r>
      <w:proofErr w:type="spellEnd"/>
      <w:r>
        <w:rPr>
          <w:rFonts w:ascii="Arial" w:eastAsia="Arial" w:hAnsi="Arial" w:cs="Arial"/>
          <w:color w:val="222222"/>
          <w:sz w:val="24"/>
          <w:szCs w:val="24"/>
          <w:highlight w:val="white"/>
        </w:rPr>
        <w:t xml:space="preserve">, R. and Bux, C., 2022. How to manage and minimize food waste in the hotel industry: </w:t>
      </w:r>
      <w:proofErr w:type="gramStart"/>
      <w:r>
        <w:rPr>
          <w:rFonts w:ascii="Arial" w:eastAsia="Arial" w:hAnsi="Arial" w:cs="Arial"/>
          <w:color w:val="222222"/>
          <w:sz w:val="24"/>
          <w:szCs w:val="24"/>
          <w:highlight w:val="white"/>
        </w:rPr>
        <w:t>An exploratory research</w:t>
      </w:r>
      <w:proofErr w:type="gramEnd"/>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International Journal of Culture, Tourism and Hospitality Research</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16</w:t>
      </w:r>
      <w:r>
        <w:rPr>
          <w:rFonts w:ascii="Arial" w:eastAsia="Arial" w:hAnsi="Arial" w:cs="Arial"/>
          <w:color w:val="222222"/>
          <w:sz w:val="24"/>
          <w:szCs w:val="24"/>
          <w:highlight w:val="white"/>
        </w:rPr>
        <w:t xml:space="preserve">(1), pp.152-167. Available at: </w:t>
      </w:r>
      <w:hyperlink r:id="rId9">
        <w:r>
          <w:rPr>
            <w:rFonts w:ascii="Arial" w:eastAsia="Arial" w:hAnsi="Arial" w:cs="Arial"/>
            <w:color w:val="1155CC"/>
            <w:sz w:val="24"/>
            <w:szCs w:val="24"/>
            <w:u w:val="single"/>
          </w:rPr>
          <w:t>https://www.emerald.com/insight/content/doi/10.1108/IJCTHR-01-2021-0019/full/pdf</w:t>
        </w:r>
      </w:hyperlink>
      <w:r>
        <w:rPr>
          <w:rFonts w:ascii="Arial" w:eastAsia="Arial" w:hAnsi="Arial" w:cs="Arial"/>
          <w:color w:val="222222"/>
          <w:sz w:val="24"/>
          <w:szCs w:val="24"/>
          <w:highlight w:val="white"/>
        </w:rPr>
        <w:t xml:space="preserve"> (Accessed: 24 February 2025)</w:t>
      </w:r>
    </w:p>
    <w:p w14:paraId="3B3C5DD0" w14:textId="77777777" w:rsidR="00B1069B" w:rsidRDefault="00B1069B">
      <w:pPr>
        <w:spacing w:after="0" w:line="360" w:lineRule="auto"/>
        <w:jc w:val="both"/>
        <w:rPr>
          <w:rFonts w:ascii="Times New Roman" w:eastAsia="Times New Roman" w:hAnsi="Times New Roman" w:cs="Times New Roman"/>
          <w:sz w:val="24"/>
          <w:szCs w:val="24"/>
        </w:rPr>
      </w:pPr>
    </w:p>
    <w:p w14:paraId="3B3C5DD1"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Chawla, G., Lugosi, P. and Hawkins, R., 2021. Food waste drivers in corporate luxury hotels: Competing perceptions and priorities across the service cycle. </w:t>
      </w:r>
      <w:r>
        <w:rPr>
          <w:rFonts w:ascii="Arial" w:eastAsia="Arial" w:hAnsi="Arial" w:cs="Arial"/>
          <w:i/>
          <w:color w:val="222222"/>
          <w:sz w:val="24"/>
          <w:szCs w:val="24"/>
          <w:highlight w:val="white"/>
        </w:rPr>
        <w:t>Tourism and Hospitality</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2</w:t>
      </w:r>
      <w:r>
        <w:rPr>
          <w:rFonts w:ascii="Arial" w:eastAsia="Arial" w:hAnsi="Arial" w:cs="Arial"/>
          <w:color w:val="222222"/>
          <w:sz w:val="24"/>
          <w:szCs w:val="24"/>
          <w:highlight w:val="white"/>
        </w:rPr>
        <w:t xml:space="preserve">(3), pp.302-318. Available at: </w:t>
      </w:r>
      <w:hyperlink r:id="rId10">
        <w:r>
          <w:rPr>
            <w:rFonts w:ascii="Arial" w:eastAsia="Arial" w:hAnsi="Arial" w:cs="Arial"/>
            <w:color w:val="1155CC"/>
            <w:sz w:val="24"/>
            <w:szCs w:val="24"/>
            <w:u w:val="single"/>
          </w:rPr>
          <w:t>https://www.mdpi.com/2673-5768/2/3/19</w:t>
        </w:r>
      </w:hyperlink>
      <w:r>
        <w:rPr>
          <w:rFonts w:ascii="Arial" w:eastAsia="Arial" w:hAnsi="Arial" w:cs="Arial"/>
          <w:color w:val="222222"/>
          <w:sz w:val="20"/>
          <w:szCs w:val="20"/>
          <w:highlight w:val="white"/>
        </w:rPr>
        <w:t xml:space="preserve"> </w:t>
      </w:r>
      <w:r>
        <w:rPr>
          <w:rFonts w:ascii="Arial" w:eastAsia="Arial" w:hAnsi="Arial" w:cs="Arial"/>
          <w:color w:val="222222"/>
          <w:sz w:val="24"/>
          <w:szCs w:val="24"/>
          <w:highlight w:val="white"/>
        </w:rPr>
        <w:t>(Accessed: 24 February 2025)</w:t>
      </w:r>
    </w:p>
    <w:p w14:paraId="3B3C5DD2" w14:textId="77777777" w:rsidR="00B1069B" w:rsidRDefault="00B1069B">
      <w:pPr>
        <w:spacing w:after="0" w:line="360" w:lineRule="auto"/>
        <w:jc w:val="both"/>
        <w:rPr>
          <w:rFonts w:ascii="Times New Roman" w:eastAsia="Times New Roman" w:hAnsi="Times New Roman" w:cs="Times New Roman"/>
          <w:sz w:val="24"/>
          <w:szCs w:val="24"/>
        </w:rPr>
      </w:pPr>
    </w:p>
    <w:p w14:paraId="3B3C5DD3"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Dwivedi, Y.K., Pandey, N., Currie, W. and Micu, A., 2024. Leveraging ChatGPT and other generative artificial intelligence (AI)-based applications in the hospitality and tourism industry: practices, challenges and research agenda. </w:t>
      </w:r>
      <w:r>
        <w:rPr>
          <w:rFonts w:ascii="Arial" w:eastAsia="Arial" w:hAnsi="Arial" w:cs="Arial"/>
          <w:i/>
          <w:color w:val="222222"/>
          <w:sz w:val="24"/>
          <w:szCs w:val="24"/>
          <w:highlight w:val="white"/>
        </w:rPr>
        <w:t>International Journal of Contemporary Hospitality Management</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36</w:t>
      </w:r>
      <w:r>
        <w:rPr>
          <w:rFonts w:ascii="Arial" w:eastAsia="Arial" w:hAnsi="Arial" w:cs="Arial"/>
          <w:color w:val="222222"/>
          <w:sz w:val="24"/>
          <w:szCs w:val="24"/>
          <w:highlight w:val="white"/>
        </w:rPr>
        <w:t xml:space="preserve">(1), pp.1-12. Available at: </w:t>
      </w:r>
      <w:hyperlink r:id="rId11">
        <w:r>
          <w:rPr>
            <w:rFonts w:ascii="Arial" w:eastAsia="Arial" w:hAnsi="Arial" w:cs="Arial"/>
            <w:color w:val="1155CC"/>
            <w:sz w:val="24"/>
            <w:szCs w:val="24"/>
            <w:u w:val="single"/>
          </w:rPr>
          <w:t>https://hal.science/hal-04392036v2/file/ChatGPT_Hospitality%20and%20Tourism_IJCHM_Final.pdf</w:t>
        </w:r>
      </w:hyperlink>
      <w:r>
        <w:rPr>
          <w:rFonts w:ascii="Arial" w:eastAsia="Arial" w:hAnsi="Arial" w:cs="Arial"/>
          <w:color w:val="222222"/>
          <w:sz w:val="24"/>
          <w:szCs w:val="24"/>
          <w:highlight w:val="white"/>
        </w:rPr>
        <w:t xml:space="preserve"> (Accessed: 24 February 2025)</w:t>
      </w:r>
    </w:p>
    <w:p w14:paraId="3B3C5DD4" w14:textId="77777777" w:rsidR="00B1069B" w:rsidRDefault="00B1069B">
      <w:pPr>
        <w:spacing w:after="0" w:line="360" w:lineRule="auto"/>
        <w:jc w:val="both"/>
        <w:rPr>
          <w:rFonts w:ascii="Times New Roman" w:eastAsia="Times New Roman" w:hAnsi="Times New Roman" w:cs="Times New Roman"/>
          <w:sz w:val="24"/>
          <w:szCs w:val="24"/>
        </w:rPr>
      </w:pPr>
    </w:p>
    <w:p w14:paraId="3B3C5DD5" w14:textId="77777777" w:rsidR="00B1069B" w:rsidRDefault="00991EC9">
      <w:pPr>
        <w:spacing w:after="0" w:line="360" w:lineRule="auto"/>
        <w:jc w:val="both"/>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Elnasr</w:t>
      </w:r>
      <w:proofErr w:type="spellEnd"/>
      <w:r>
        <w:rPr>
          <w:rFonts w:ascii="Arial" w:eastAsia="Arial" w:hAnsi="Arial" w:cs="Arial"/>
          <w:color w:val="222222"/>
          <w:sz w:val="24"/>
          <w:szCs w:val="24"/>
          <w:highlight w:val="white"/>
        </w:rPr>
        <w:t xml:space="preserve">, A.E.A., Aliane, N. and </w:t>
      </w:r>
      <w:proofErr w:type="spellStart"/>
      <w:r>
        <w:rPr>
          <w:rFonts w:ascii="Arial" w:eastAsia="Arial" w:hAnsi="Arial" w:cs="Arial"/>
          <w:color w:val="222222"/>
          <w:sz w:val="24"/>
          <w:szCs w:val="24"/>
          <w:highlight w:val="white"/>
        </w:rPr>
        <w:t>Agina</w:t>
      </w:r>
      <w:proofErr w:type="spellEnd"/>
      <w:r>
        <w:rPr>
          <w:rFonts w:ascii="Arial" w:eastAsia="Arial" w:hAnsi="Arial" w:cs="Arial"/>
          <w:color w:val="222222"/>
          <w:sz w:val="24"/>
          <w:szCs w:val="24"/>
          <w:highlight w:val="white"/>
        </w:rPr>
        <w:t xml:space="preserve">, M.F., 2021. Tackling food waste in all-inclusive resort hotels in Egypt. </w:t>
      </w:r>
      <w:r>
        <w:rPr>
          <w:rFonts w:ascii="Arial" w:eastAsia="Arial" w:hAnsi="Arial" w:cs="Arial"/>
          <w:i/>
          <w:color w:val="222222"/>
          <w:sz w:val="24"/>
          <w:szCs w:val="24"/>
          <w:highlight w:val="white"/>
        </w:rPr>
        <w:t>Processes</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9</w:t>
      </w:r>
      <w:r>
        <w:rPr>
          <w:rFonts w:ascii="Arial" w:eastAsia="Arial" w:hAnsi="Arial" w:cs="Arial"/>
          <w:color w:val="222222"/>
          <w:sz w:val="24"/>
          <w:szCs w:val="24"/>
          <w:highlight w:val="white"/>
        </w:rPr>
        <w:t xml:space="preserve">(11), p.2056. Available at: </w:t>
      </w:r>
      <w:hyperlink r:id="rId12">
        <w:r>
          <w:rPr>
            <w:rFonts w:ascii="Arial" w:eastAsia="Arial" w:hAnsi="Arial" w:cs="Arial"/>
            <w:color w:val="1155CC"/>
            <w:sz w:val="24"/>
            <w:szCs w:val="24"/>
            <w:u w:val="single"/>
          </w:rPr>
          <w:t>https://www.mdpi.com/2227-9717/9/11/2056/pdf</w:t>
        </w:r>
      </w:hyperlink>
      <w:r>
        <w:rPr>
          <w:rFonts w:ascii="Arial" w:eastAsia="Arial" w:hAnsi="Arial" w:cs="Arial"/>
          <w:color w:val="222222"/>
          <w:sz w:val="24"/>
          <w:szCs w:val="24"/>
          <w:highlight w:val="white"/>
        </w:rPr>
        <w:t xml:space="preserve"> (Accessed: 24 February 2025)</w:t>
      </w:r>
    </w:p>
    <w:p w14:paraId="3B3C5DD6" w14:textId="77777777" w:rsidR="00B1069B" w:rsidRDefault="00B1069B">
      <w:pPr>
        <w:spacing w:after="0" w:line="360" w:lineRule="auto"/>
        <w:jc w:val="both"/>
        <w:rPr>
          <w:rFonts w:ascii="Times New Roman" w:eastAsia="Times New Roman" w:hAnsi="Times New Roman" w:cs="Times New Roman"/>
          <w:sz w:val="24"/>
          <w:szCs w:val="24"/>
        </w:rPr>
      </w:pPr>
    </w:p>
    <w:p w14:paraId="3B3C5DD7"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Jones, P. and Wynn, M.G., 2023. The circular economy and natural capital in the tourism and hospitality industry. </w:t>
      </w:r>
      <w:r>
        <w:rPr>
          <w:rFonts w:ascii="Arial" w:eastAsia="Arial" w:hAnsi="Arial" w:cs="Arial"/>
          <w:i/>
          <w:color w:val="222222"/>
          <w:sz w:val="24"/>
          <w:szCs w:val="24"/>
          <w:highlight w:val="white"/>
        </w:rPr>
        <w:t>Circular Economy</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w:t>
      </w:r>
      <w:r>
        <w:rPr>
          <w:rFonts w:ascii="Arial" w:eastAsia="Arial" w:hAnsi="Arial" w:cs="Arial"/>
          <w:color w:val="222222"/>
          <w:sz w:val="24"/>
          <w:szCs w:val="24"/>
          <w:highlight w:val="white"/>
        </w:rPr>
        <w:t xml:space="preserve">(1), pp.1-12. Available at: </w:t>
      </w:r>
      <w:hyperlink r:id="rId13">
        <w:r>
          <w:rPr>
            <w:rFonts w:ascii="Arial" w:eastAsia="Arial" w:hAnsi="Arial" w:cs="Arial"/>
            <w:color w:val="1155CC"/>
            <w:sz w:val="24"/>
            <w:szCs w:val="24"/>
            <w:u w:val="single"/>
          </w:rPr>
          <w:t>https://eprints.glos.ac.uk/11732/8/11732%20Jones%20and%20Wynn%20%282022%29%20Circular_Economy_and_Natural_Capital_in_Tourism_and_Hospitality_Industry.pdf</w:t>
        </w:r>
      </w:hyperlink>
      <w:r>
        <w:rPr>
          <w:rFonts w:ascii="Arial" w:eastAsia="Arial" w:hAnsi="Arial" w:cs="Arial"/>
          <w:color w:val="222222"/>
          <w:sz w:val="24"/>
          <w:szCs w:val="24"/>
          <w:highlight w:val="white"/>
        </w:rPr>
        <w:t xml:space="preserve"> (Accessed: 24 February 2025)</w:t>
      </w:r>
    </w:p>
    <w:p w14:paraId="3B3C5DD8" w14:textId="77777777" w:rsidR="00B1069B" w:rsidRDefault="00B1069B">
      <w:pPr>
        <w:spacing w:after="0" w:line="360" w:lineRule="auto"/>
        <w:jc w:val="both"/>
        <w:rPr>
          <w:rFonts w:ascii="Times New Roman" w:eastAsia="Times New Roman" w:hAnsi="Times New Roman" w:cs="Times New Roman"/>
          <w:sz w:val="24"/>
          <w:szCs w:val="24"/>
        </w:rPr>
      </w:pPr>
    </w:p>
    <w:p w14:paraId="3B3C5DD9" w14:textId="77777777" w:rsidR="00B1069B" w:rsidRDefault="00991EC9">
      <w:pPr>
        <w:spacing w:after="0" w:line="360" w:lineRule="auto"/>
        <w:jc w:val="both"/>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Liaud</w:t>
      </w:r>
      <w:proofErr w:type="spellEnd"/>
      <w:r>
        <w:rPr>
          <w:rFonts w:ascii="Arial" w:eastAsia="Arial" w:hAnsi="Arial" w:cs="Arial"/>
          <w:color w:val="222222"/>
          <w:sz w:val="24"/>
          <w:szCs w:val="24"/>
          <w:highlight w:val="white"/>
        </w:rPr>
        <w:t xml:space="preserve">-Laval, R.L., 2021. </w:t>
      </w:r>
      <w:r>
        <w:rPr>
          <w:rFonts w:ascii="Arial" w:eastAsia="Arial" w:hAnsi="Arial" w:cs="Arial"/>
          <w:i/>
          <w:color w:val="222222"/>
          <w:sz w:val="24"/>
          <w:szCs w:val="24"/>
          <w:highlight w:val="white"/>
        </w:rPr>
        <w:t>Corporate Social Responsibility for Sustainable Goals Achievement in the Hotel Industry: The Case of le Monumental Palace in Porto</w:t>
      </w:r>
      <w:r>
        <w:rPr>
          <w:rFonts w:ascii="Arial" w:eastAsia="Arial" w:hAnsi="Arial" w:cs="Arial"/>
          <w:color w:val="222222"/>
          <w:sz w:val="24"/>
          <w:szCs w:val="24"/>
          <w:highlight w:val="white"/>
        </w:rPr>
        <w:t xml:space="preserve"> (</w:t>
      </w:r>
      <w:proofErr w:type="gramStart"/>
      <w:r>
        <w:rPr>
          <w:rFonts w:ascii="Arial" w:eastAsia="Arial" w:hAnsi="Arial" w:cs="Arial"/>
          <w:color w:val="222222"/>
          <w:sz w:val="24"/>
          <w:szCs w:val="24"/>
          <w:highlight w:val="white"/>
        </w:rPr>
        <w:t>Master's</w:t>
      </w:r>
      <w:proofErr w:type="gramEnd"/>
      <w:r>
        <w:rPr>
          <w:rFonts w:ascii="Arial" w:eastAsia="Arial" w:hAnsi="Arial" w:cs="Arial"/>
          <w:color w:val="222222"/>
          <w:sz w:val="24"/>
          <w:szCs w:val="24"/>
          <w:highlight w:val="white"/>
        </w:rPr>
        <w:t xml:space="preserve"> thesis, </w:t>
      </w:r>
      <w:proofErr w:type="spellStart"/>
      <w:r>
        <w:rPr>
          <w:rFonts w:ascii="Arial" w:eastAsia="Arial" w:hAnsi="Arial" w:cs="Arial"/>
          <w:color w:val="222222"/>
          <w:sz w:val="24"/>
          <w:szCs w:val="24"/>
          <w:highlight w:val="white"/>
        </w:rPr>
        <w:t>Universidade</w:t>
      </w:r>
      <w:proofErr w:type="spellEnd"/>
      <w:r>
        <w:rPr>
          <w:rFonts w:ascii="Arial" w:eastAsia="Arial" w:hAnsi="Arial" w:cs="Arial"/>
          <w:color w:val="222222"/>
          <w:sz w:val="24"/>
          <w:szCs w:val="24"/>
          <w:highlight w:val="white"/>
        </w:rPr>
        <w:t xml:space="preserve"> </w:t>
      </w:r>
      <w:proofErr w:type="spellStart"/>
      <w:r>
        <w:rPr>
          <w:rFonts w:ascii="Arial" w:eastAsia="Arial" w:hAnsi="Arial" w:cs="Arial"/>
          <w:color w:val="222222"/>
          <w:sz w:val="24"/>
          <w:szCs w:val="24"/>
          <w:highlight w:val="white"/>
        </w:rPr>
        <w:t>Catolica</w:t>
      </w:r>
      <w:proofErr w:type="spellEnd"/>
      <w:r>
        <w:rPr>
          <w:rFonts w:ascii="Arial" w:eastAsia="Arial" w:hAnsi="Arial" w:cs="Arial"/>
          <w:color w:val="222222"/>
          <w:sz w:val="24"/>
          <w:szCs w:val="24"/>
          <w:highlight w:val="white"/>
        </w:rPr>
        <w:t xml:space="preserve"> Portuguesa (Portugal)). Available at: </w:t>
      </w:r>
      <w:hyperlink r:id="rId14">
        <w:r>
          <w:rPr>
            <w:rFonts w:ascii="Arial" w:eastAsia="Arial" w:hAnsi="Arial" w:cs="Arial"/>
            <w:color w:val="1155CC"/>
            <w:sz w:val="24"/>
            <w:szCs w:val="24"/>
            <w:u w:val="single"/>
          </w:rPr>
          <w:t>https://repositorio.ucp.pt/bitstream/10400.14/35212/1/202749835.pdf</w:t>
        </w:r>
      </w:hyperlink>
      <w:r>
        <w:rPr>
          <w:rFonts w:ascii="Arial" w:eastAsia="Arial" w:hAnsi="Arial" w:cs="Arial"/>
          <w:color w:val="222222"/>
          <w:sz w:val="24"/>
          <w:szCs w:val="24"/>
          <w:highlight w:val="white"/>
        </w:rPr>
        <w:t xml:space="preserve"> (Accessed: 24 February 2025)</w:t>
      </w:r>
    </w:p>
    <w:p w14:paraId="3B3C5DDA" w14:textId="77777777" w:rsidR="00B1069B" w:rsidRDefault="00B1069B">
      <w:pPr>
        <w:spacing w:after="0" w:line="360" w:lineRule="auto"/>
        <w:jc w:val="both"/>
        <w:rPr>
          <w:rFonts w:ascii="Times New Roman" w:eastAsia="Times New Roman" w:hAnsi="Times New Roman" w:cs="Times New Roman"/>
          <w:sz w:val="24"/>
          <w:szCs w:val="24"/>
        </w:rPr>
      </w:pPr>
    </w:p>
    <w:p w14:paraId="3B3C5DDB"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Lin, M.P., Marine-Roig, E. and Llonch-Molina, N., 2022. Gastronomy tourism and well-being: Evidence from Taiwan and Catalonia Michelin-starred restaurants. </w:t>
      </w:r>
      <w:r>
        <w:rPr>
          <w:rFonts w:ascii="Arial" w:eastAsia="Arial" w:hAnsi="Arial" w:cs="Arial"/>
          <w:i/>
          <w:color w:val="222222"/>
          <w:sz w:val="24"/>
          <w:szCs w:val="24"/>
          <w:highlight w:val="white"/>
        </w:rPr>
        <w:t>International Journal of Environmental Research and Public Health</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19</w:t>
      </w:r>
      <w:r>
        <w:rPr>
          <w:rFonts w:ascii="Arial" w:eastAsia="Arial" w:hAnsi="Arial" w:cs="Arial"/>
          <w:color w:val="222222"/>
          <w:sz w:val="24"/>
          <w:szCs w:val="24"/>
          <w:highlight w:val="white"/>
        </w:rPr>
        <w:t xml:space="preserve">(5), p.2778. Available at: </w:t>
      </w:r>
      <w:hyperlink r:id="rId15">
        <w:r>
          <w:rPr>
            <w:rFonts w:ascii="Arial" w:eastAsia="Arial" w:hAnsi="Arial" w:cs="Arial"/>
            <w:color w:val="1155CC"/>
            <w:sz w:val="24"/>
            <w:szCs w:val="24"/>
            <w:u w:val="single"/>
          </w:rPr>
          <w:t>https://www.mdpi.com/1660-4601/19/5/2778/pdf</w:t>
        </w:r>
      </w:hyperlink>
      <w:r>
        <w:rPr>
          <w:rFonts w:ascii="Arial" w:eastAsia="Arial" w:hAnsi="Arial" w:cs="Arial"/>
          <w:color w:val="222222"/>
          <w:sz w:val="24"/>
          <w:szCs w:val="24"/>
          <w:highlight w:val="white"/>
        </w:rPr>
        <w:t xml:space="preserve"> (Accessed: 24 February 2025)</w:t>
      </w:r>
    </w:p>
    <w:p w14:paraId="3B3C5DDC" w14:textId="77777777" w:rsidR="00B1069B" w:rsidRDefault="00B1069B">
      <w:pPr>
        <w:spacing w:after="0" w:line="360" w:lineRule="auto"/>
        <w:jc w:val="both"/>
        <w:rPr>
          <w:rFonts w:ascii="Times New Roman" w:eastAsia="Times New Roman" w:hAnsi="Times New Roman" w:cs="Times New Roman"/>
          <w:sz w:val="24"/>
          <w:szCs w:val="24"/>
        </w:rPr>
      </w:pPr>
    </w:p>
    <w:p w14:paraId="3B3C5DDD" w14:textId="77777777" w:rsidR="00B1069B" w:rsidRDefault="00991EC9">
      <w:pPr>
        <w:spacing w:after="0" w:line="360" w:lineRule="auto"/>
        <w:jc w:val="both"/>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Musiello</w:t>
      </w:r>
      <w:proofErr w:type="spellEnd"/>
      <w:r>
        <w:rPr>
          <w:rFonts w:ascii="Arial" w:eastAsia="Arial" w:hAnsi="Arial" w:cs="Arial"/>
          <w:color w:val="222222"/>
          <w:sz w:val="24"/>
          <w:szCs w:val="24"/>
          <w:highlight w:val="white"/>
        </w:rPr>
        <w:t xml:space="preserve">-Neto, F., Rua, O.L., Arias-Oliva, M. and Silva, A.F., 2021. Open innovation and competitive advantage on the hospitality sector: The role of organizational strategy. </w:t>
      </w:r>
      <w:r>
        <w:rPr>
          <w:rFonts w:ascii="Arial" w:eastAsia="Arial" w:hAnsi="Arial" w:cs="Arial"/>
          <w:i/>
          <w:color w:val="222222"/>
          <w:sz w:val="24"/>
          <w:szCs w:val="24"/>
          <w:highlight w:val="white"/>
        </w:rPr>
        <w:t>Sustainability</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13</w:t>
      </w:r>
      <w:r>
        <w:rPr>
          <w:rFonts w:ascii="Arial" w:eastAsia="Arial" w:hAnsi="Arial" w:cs="Arial"/>
          <w:color w:val="222222"/>
          <w:sz w:val="24"/>
          <w:szCs w:val="24"/>
          <w:highlight w:val="white"/>
        </w:rPr>
        <w:t xml:space="preserve">(24), p.13650. Available at: </w:t>
      </w:r>
      <w:hyperlink r:id="rId16">
        <w:r>
          <w:rPr>
            <w:rFonts w:ascii="Arial" w:eastAsia="Arial" w:hAnsi="Arial" w:cs="Arial"/>
            <w:color w:val="1155CC"/>
            <w:sz w:val="24"/>
            <w:szCs w:val="24"/>
            <w:u w:val="single"/>
          </w:rPr>
          <w:t>https://www.mdpi.com/2071-1050/13/24/13650/pdf</w:t>
        </w:r>
      </w:hyperlink>
      <w:r>
        <w:rPr>
          <w:rFonts w:ascii="Arial" w:eastAsia="Arial" w:hAnsi="Arial" w:cs="Arial"/>
          <w:color w:val="222222"/>
          <w:sz w:val="24"/>
          <w:szCs w:val="24"/>
          <w:highlight w:val="white"/>
        </w:rPr>
        <w:t xml:space="preserve"> (Accessed: 24 February 2025)</w:t>
      </w:r>
    </w:p>
    <w:p w14:paraId="3B3C5DDE" w14:textId="77777777" w:rsidR="00B1069B" w:rsidRDefault="00B1069B">
      <w:pPr>
        <w:spacing w:after="0" w:line="360" w:lineRule="auto"/>
        <w:jc w:val="both"/>
        <w:rPr>
          <w:rFonts w:ascii="Times New Roman" w:eastAsia="Times New Roman" w:hAnsi="Times New Roman" w:cs="Times New Roman"/>
          <w:sz w:val="24"/>
          <w:szCs w:val="24"/>
        </w:rPr>
      </w:pPr>
    </w:p>
    <w:p w14:paraId="3B3C5DDF"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Nam, K., Dutt, C.S., </w:t>
      </w:r>
      <w:proofErr w:type="spellStart"/>
      <w:r>
        <w:rPr>
          <w:rFonts w:ascii="Arial" w:eastAsia="Arial" w:hAnsi="Arial" w:cs="Arial"/>
          <w:color w:val="222222"/>
          <w:sz w:val="24"/>
          <w:szCs w:val="24"/>
          <w:highlight w:val="white"/>
        </w:rPr>
        <w:t>Chathoth</w:t>
      </w:r>
      <w:proofErr w:type="spellEnd"/>
      <w:r>
        <w:rPr>
          <w:rFonts w:ascii="Arial" w:eastAsia="Arial" w:hAnsi="Arial" w:cs="Arial"/>
          <w:color w:val="222222"/>
          <w:sz w:val="24"/>
          <w:szCs w:val="24"/>
          <w:highlight w:val="white"/>
        </w:rPr>
        <w:t xml:space="preserve">, P., </w:t>
      </w:r>
      <w:proofErr w:type="spellStart"/>
      <w:r>
        <w:rPr>
          <w:rFonts w:ascii="Arial" w:eastAsia="Arial" w:hAnsi="Arial" w:cs="Arial"/>
          <w:color w:val="222222"/>
          <w:sz w:val="24"/>
          <w:szCs w:val="24"/>
          <w:highlight w:val="white"/>
        </w:rPr>
        <w:t>Daghfous</w:t>
      </w:r>
      <w:proofErr w:type="spellEnd"/>
      <w:r>
        <w:rPr>
          <w:rFonts w:ascii="Arial" w:eastAsia="Arial" w:hAnsi="Arial" w:cs="Arial"/>
          <w:color w:val="222222"/>
          <w:sz w:val="24"/>
          <w:szCs w:val="24"/>
          <w:highlight w:val="white"/>
        </w:rPr>
        <w:t xml:space="preserve">, A. and Khan, M.S., 2021. The adoption of artificial intelligence and robotics in the hotel industry: prospects and challenges. </w:t>
      </w:r>
      <w:r>
        <w:rPr>
          <w:rFonts w:ascii="Arial" w:eastAsia="Arial" w:hAnsi="Arial" w:cs="Arial"/>
          <w:i/>
          <w:color w:val="222222"/>
          <w:sz w:val="24"/>
          <w:szCs w:val="24"/>
          <w:highlight w:val="white"/>
        </w:rPr>
        <w:t>Electronic Markets</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31</w:t>
      </w:r>
      <w:r>
        <w:rPr>
          <w:rFonts w:ascii="Arial" w:eastAsia="Arial" w:hAnsi="Arial" w:cs="Arial"/>
          <w:color w:val="222222"/>
          <w:sz w:val="24"/>
          <w:szCs w:val="24"/>
          <w:highlight w:val="white"/>
        </w:rPr>
        <w:t xml:space="preserve">, pp.553-574. Available at: </w:t>
      </w:r>
      <w:hyperlink r:id="rId17">
        <w:r>
          <w:rPr>
            <w:rFonts w:ascii="Arial" w:eastAsia="Arial" w:hAnsi="Arial" w:cs="Arial"/>
            <w:color w:val="1155CC"/>
            <w:sz w:val="24"/>
            <w:szCs w:val="24"/>
            <w:u w:val="single"/>
          </w:rPr>
          <w:t>https://namafar.ir/wp-content/uploads/2023/07/namafar.ir1_-1.pdf</w:t>
        </w:r>
      </w:hyperlink>
      <w:r>
        <w:rPr>
          <w:rFonts w:ascii="Arial" w:eastAsia="Arial" w:hAnsi="Arial" w:cs="Arial"/>
          <w:color w:val="222222"/>
          <w:sz w:val="24"/>
          <w:szCs w:val="24"/>
          <w:highlight w:val="white"/>
        </w:rPr>
        <w:t xml:space="preserve"> (Accessed: 24 February 2025)</w:t>
      </w:r>
    </w:p>
    <w:p w14:paraId="3B3C5DE0" w14:textId="77777777" w:rsidR="00B1069B" w:rsidRDefault="00B1069B">
      <w:pPr>
        <w:spacing w:after="0" w:line="360" w:lineRule="auto"/>
        <w:jc w:val="both"/>
        <w:rPr>
          <w:rFonts w:ascii="Times New Roman" w:eastAsia="Times New Roman" w:hAnsi="Times New Roman" w:cs="Times New Roman"/>
          <w:sz w:val="24"/>
          <w:szCs w:val="24"/>
        </w:rPr>
      </w:pPr>
    </w:p>
    <w:p w14:paraId="3B3C5DE1"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Patel, S., Dora, M., </w:t>
      </w:r>
      <w:proofErr w:type="spellStart"/>
      <w:r>
        <w:rPr>
          <w:rFonts w:ascii="Arial" w:eastAsia="Arial" w:hAnsi="Arial" w:cs="Arial"/>
          <w:color w:val="222222"/>
          <w:sz w:val="24"/>
          <w:szCs w:val="24"/>
          <w:highlight w:val="white"/>
        </w:rPr>
        <w:t>Hahladakis</w:t>
      </w:r>
      <w:proofErr w:type="spellEnd"/>
      <w:r>
        <w:rPr>
          <w:rFonts w:ascii="Arial" w:eastAsia="Arial" w:hAnsi="Arial" w:cs="Arial"/>
          <w:color w:val="222222"/>
          <w:sz w:val="24"/>
          <w:szCs w:val="24"/>
          <w:highlight w:val="white"/>
        </w:rPr>
        <w:t xml:space="preserve">, J.N. and </w:t>
      </w:r>
      <w:proofErr w:type="spellStart"/>
      <w:r>
        <w:rPr>
          <w:rFonts w:ascii="Arial" w:eastAsia="Arial" w:hAnsi="Arial" w:cs="Arial"/>
          <w:color w:val="222222"/>
          <w:sz w:val="24"/>
          <w:szCs w:val="24"/>
          <w:highlight w:val="white"/>
        </w:rPr>
        <w:t>Iacovidou</w:t>
      </w:r>
      <w:proofErr w:type="spellEnd"/>
      <w:r>
        <w:rPr>
          <w:rFonts w:ascii="Arial" w:eastAsia="Arial" w:hAnsi="Arial" w:cs="Arial"/>
          <w:color w:val="222222"/>
          <w:sz w:val="24"/>
          <w:szCs w:val="24"/>
          <w:highlight w:val="white"/>
        </w:rPr>
        <w:t xml:space="preserve">, E., 2021. Opportunities, challenges and trade-offs with decreasing avoidable food waste in the UK. </w:t>
      </w:r>
      <w:r>
        <w:rPr>
          <w:rFonts w:ascii="Arial" w:eastAsia="Arial" w:hAnsi="Arial" w:cs="Arial"/>
          <w:i/>
          <w:color w:val="222222"/>
          <w:sz w:val="24"/>
          <w:szCs w:val="24"/>
          <w:highlight w:val="white"/>
        </w:rPr>
        <w:t>Waste Management &amp; Research</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39</w:t>
      </w:r>
      <w:r>
        <w:rPr>
          <w:rFonts w:ascii="Arial" w:eastAsia="Arial" w:hAnsi="Arial" w:cs="Arial"/>
          <w:color w:val="222222"/>
          <w:sz w:val="24"/>
          <w:szCs w:val="24"/>
          <w:highlight w:val="white"/>
        </w:rPr>
        <w:t xml:space="preserve">(3), pp.473-488. Available at: </w:t>
      </w:r>
      <w:hyperlink r:id="rId18">
        <w:r>
          <w:rPr>
            <w:rFonts w:ascii="Arial" w:eastAsia="Arial" w:hAnsi="Arial" w:cs="Arial"/>
            <w:color w:val="1155CC"/>
            <w:sz w:val="24"/>
            <w:szCs w:val="24"/>
            <w:u w:val="single"/>
          </w:rPr>
          <w:t>https://journals.sagepub.com/doi/pdf/10.1177/0734242X20983427</w:t>
        </w:r>
      </w:hyperlink>
      <w:r>
        <w:rPr>
          <w:rFonts w:ascii="Arial" w:eastAsia="Arial" w:hAnsi="Arial" w:cs="Arial"/>
          <w:color w:val="222222"/>
          <w:sz w:val="24"/>
          <w:szCs w:val="24"/>
          <w:highlight w:val="white"/>
        </w:rPr>
        <w:t xml:space="preserve"> (Accessed: 24 February 2025)</w:t>
      </w:r>
    </w:p>
    <w:p w14:paraId="3B3C5DE2" w14:textId="77777777" w:rsidR="00B1069B" w:rsidRDefault="00B1069B">
      <w:pPr>
        <w:spacing w:after="0" w:line="360" w:lineRule="auto"/>
        <w:jc w:val="both"/>
        <w:rPr>
          <w:rFonts w:ascii="Times New Roman" w:eastAsia="Times New Roman" w:hAnsi="Times New Roman" w:cs="Times New Roman"/>
          <w:sz w:val="24"/>
          <w:szCs w:val="24"/>
        </w:rPr>
      </w:pPr>
    </w:p>
    <w:p w14:paraId="3B3C5DE3"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Pavlova, V., 2023. Encouraging Employee Participation in Environmental Sustainability Practices in Luxury Hotel Company. Available at: </w:t>
      </w:r>
      <w:hyperlink r:id="rId19">
        <w:r>
          <w:rPr>
            <w:rFonts w:ascii="Arial" w:eastAsia="Arial" w:hAnsi="Arial" w:cs="Arial"/>
            <w:color w:val="1155CC"/>
            <w:sz w:val="24"/>
            <w:szCs w:val="24"/>
            <w:u w:val="single"/>
          </w:rPr>
          <w:t>https://www.theseus.fi/bitstream/handle/10024/817315/Pavlova_Valeriia.pdf?sequence=2</w:t>
        </w:r>
      </w:hyperlink>
      <w:r>
        <w:rPr>
          <w:rFonts w:ascii="Arial" w:eastAsia="Arial" w:hAnsi="Arial" w:cs="Arial"/>
          <w:color w:val="222222"/>
          <w:sz w:val="24"/>
          <w:szCs w:val="24"/>
          <w:highlight w:val="white"/>
        </w:rPr>
        <w:t xml:space="preserve"> (Accessed: 24 February 2025)</w:t>
      </w:r>
    </w:p>
    <w:p w14:paraId="3B3C5DE4" w14:textId="77777777" w:rsidR="00B1069B" w:rsidRDefault="00B1069B">
      <w:pPr>
        <w:spacing w:after="0" w:line="360" w:lineRule="auto"/>
        <w:jc w:val="both"/>
        <w:rPr>
          <w:rFonts w:ascii="Times New Roman" w:eastAsia="Times New Roman" w:hAnsi="Times New Roman" w:cs="Times New Roman"/>
          <w:sz w:val="24"/>
          <w:szCs w:val="24"/>
        </w:rPr>
      </w:pPr>
    </w:p>
    <w:p w14:paraId="3B3C5DE5"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Perdomo-Verdecia, V., Sacristan-Díaz, M. and Garrido-Vega, P., 2022. Lean management in hotels: Where we are and where we might go. </w:t>
      </w:r>
      <w:r>
        <w:rPr>
          <w:rFonts w:ascii="Arial" w:eastAsia="Arial" w:hAnsi="Arial" w:cs="Arial"/>
          <w:i/>
          <w:color w:val="222222"/>
          <w:sz w:val="24"/>
          <w:szCs w:val="24"/>
          <w:highlight w:val="white"/>
        </w:rPr>
        <w:t>International Journal of Hospitality Management</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104</w:t>
      </w:r>
      <w:r>
        <w:rPr>
          <w:rFonts w:ascii="Arial" w:eastAsia="Arial" w:hAnsi="Arial" w:cs="Arial"/>
          <w:color w:val="222222"/>
          <w:sz w:val="24"/>
          <w:szCs w:val="24"/>
          <w:highlight w:val="white"/>
        </w:rPr>
        <w:t xml:space="preserve">, p.103250. Available at: </w:t>
      </w:r>
      <w:hyperlink r:id="rId20">
        <w:r>
          <w:rPr>
            <w:rFonts w:ascii="Arial" w:eastAsia="Arial" w:hAnsi="Arial" w:cs="Arial"/>
            <w:color w:val="1155CC"/>
            <w:sz w:val="24"/>
            <w:szCs w:val="24"/>
            <w:u w:val="single"/>
          </w:rPr>
          <w:t>https://www.sciencedirect.com/science/article/pii/S0278431922001128</w:t>
        </w:r>
      </w:hyperlink>
      <w:r>
        <w:rPr>
          <w:rFonts w:ascii="Arial" w:eastAsia="Arial" w:hAnsi="Arial" w:cs="Arial"/>
          <w:color w:val="222222"/>
          <w:sz w:val="24"/>
          <w:szCs w:val="24"/>
          <w:highlight w:val="white"/>
        </w:rPr>
        <w:t xml:space="preserve"> (Accessed: 24 February 2025)</w:t>
      </w:r>
    </w:p>
    <w:p w14:paraId="3B3C5DE6" w14:textId="77777777" w:rsidR="00B1069B" w:rsidRDefault="00B1069B">
      <w:pPr>
        <w:spacing w:after="0" w:line="360" w:lineRule="auto"/>
        <w:jc w:val="both"/>
        <w:rPr>
          <w:rFonts w:ascii="Times New Roman" w:eastAsia="Times New Roman" w:hAnsi="Times New Roman" w:cs="Times New Roman"/>
          <w:sz w:val="24"/>
          <w:szCs w:val="24"/>
        </w:rPr>
      </w:pPr>
    </w:p>
    <w:p w14:paraId="3B3C5DE7"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Perera, M., 2024. Exploring the role of AI in enhancing sustainability within New Zealand's hospitality industry: A study on knowledge, applicability, and perception in reducing food waste. Available at: </w:t>
      </w:r>
      <w:hyperlink r:id="rId21">
        <w:r>
          <w:rPr>
            <w:rFonts w:ascii="Arial" w:eastAsia="Arial" w:hAnsi="Arial" w:cs="Arial"/>
            <w:color w:val="1155CC"/>
            <w:sz w:val="24"/>
            <w:szCs w:val="24"/>
            <w:u w:val="single"/>
          </w:rPr>
          <w:t>https://www.researchbank.ac.nz/bitstreams/d0aed509-9f2e-4e90-8816-d5fcb3a5d93a/download</w:t>
        </w:r>
      </w:hyperlink>
      <w:r>
        <w:rPr>
          <w:rFonts w:ascii="Arial" w:eastAsia="Arial" w:hAnsi="Arial" w:cs="Arial"/>
          <w:color w:val="222222"/>
          <w:sz w:val="24"/>
          <w:szCs w:val="24"/>
          <w:highlight w:val="white"/>
        </w:rPr>
        <w:t xml:space="preserve"> (Accessed: 24 February 2025)</w:t>
      </w:r>
    </w:p>
    <w:p w14:paraId="3B3C5DE8" w14:textId="77777777" w:rsidR="00B1069B" w:rsidRDefault="00B1069B">
      <w:pPr>
        <w:spacing w:after="0" w:line="360" w:lineRule="auto"/>
        <w:jc w:val="both"/>
        <w:rPr>
          <w:rFonts w:ascii="Times New Roman" w:eastAsia="Times New Roman" w:hAnsi="Times New Roman" w:cs="Times New Roman"/>
          <w:sz w:val="24"/>
          <w:szCs w:val="24"/>
        </w:rPr>
      </w:pPr>
    </w:p>
    <w:p w14:paraId="3B3C5DE9" w14:textId="77777777" w:rsidR="00B1069B" w:rsidRDefault="00991EC9">
      <w:pPr>
        <w:spacing w:after="0" w:line="360" w:lineRule="auto"/>
        <w:jc w:val="both"/>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Pietocha</w:t>
      </w:r>
      <w:proofErr w:type="spellEnd"/>
      <w:r>
        <w:rPr>
          <w:rFonts w:ascii="Arial" w:eastAsia="Arial" w:hAnsi="Arial" w:cs="Arial"/>
          <w:color w:val="222222"/>
          <w:sz w:val="24"/>
          <w:szCs w:val="24"/>
          <w:highlight w:val="white"/>
        </w:rPr>
        <w:t xml:space="preserve">, A., 2024. The BREEAM, the LEED and the DGNB certifications as an aspect of sustainable development. </w:t>
      </w:r>
      <w:r>
        <w:rPr>
          <w:rFonts w:ascii="Arial" w:eastAsia="Arial" w:hAnsi="Arial" w:cs="Arial"/>
          <w:i/>
          <w:color w:val="222222"/>
          <w:sz w:val="24"/>
          <w:szCs w:val="24"/>
          <w:highlight w:val="white"/>
        </w:rPr>
        <w:t xml:space="preserve">Acta </w:t>
      </w:r>
      <w:proofErr w:type="spellStart"/>
      <w:r>
        <w:rPr>
          <w:rFonts w:ascii="Arial" w:eastAsia="Arial" w:hAnsi="Arial" w:cs="Arial"/>
          <w:i/>
          <w:color w:val="222222"/>
          <w:sz w:val="24"/>
          <w:szCs w:val="24"/>
          <w:highlight w:val="white"/>
        </w:rPr>
        <w:t>Scientiarum</w:t>
      </w:r>
      <w:proofErr w:type="spellEnd"/>
      <w:r>
        <w:rPr>
          <w:rFonts w:ascii="Arial" w:eastAsia="Arial" w:hAnsi="Arial" w:cs="Arial"/>
          <w:i/>
          <w:color w:val="222222"/>
          <w:sz w:val="24"/>
          <w:szCs w:val="24"/>
          <w:highlight w:val="white"/>
        </w:rPr>
        <w:t xml:space="preserve"> </w:t>
      </w:r>
      <w:proofErr w:type="spellStart"/>
      <w:r>
        <w:rPr>
          <w:rFonts w:ascii="Arial" w:eastAsia="Arial" w:hAnsi="Arial" w:cs="Arial"/>
          <w:i/>
          <w:color w:val="222222"/>
          <w:sz w:val="24"/>
          <w:szCs w:val="24"/>
          <w:highlight w:val="white"/>
        </w:rPr>
        <w:t>Polonorum</w:t>
      </w:r>
      <w:proofErr w:type="spellEnd"/>
      <w:r>
        <w:rPr>
          <w:rFonts w:ascii="Arial" w:eastAsia="Arial" w:hAnsi="Arial" w:cs="Arial"/>
          <w:i/>
          <w:color w:val="222222"/>
          <w:sz w:val="24"/>
          <w:szCs w:val="24"/>
          <w:highlight w:val="white"/>
        </w:rPr>
        <w:t xml:space="preserve">. </w:t>
      </w:r>
      <w:proofErr w:type="spellStart"/>
      <w:r>
        <w:rPr>
          <w:rFonts w:ascii="Arial" w:eastAsia="Arial" w:hAnsi="Arial" w:cs="Arial"/>
          <w:i/>
          <w:color w:val="222222"/>
          <w:sz w:val="24"/>
          <w:szCs w:val="24"/>
          <w:highlight w:val="white"/>
        </w:rPr>
        <w:t>Architectura</w:t>
      </w:r>
      <w:proofErr w:type="spellEnd"/>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23</w:t>
      </w:r>
      <w:r>
        <w:rPr>
          <w:rFonts w:ascii="Arial" w:eastAsia="Arial" w:hAnsi="Arial" w:cs="Arial"/>
          <w:color w:val="222222"/>
          <w:sz w:val="24"/>
          <w:szCs w:val="24"/>
          <w:highlight w:val="white"/>
        </w:rPr>
        <w:t xml:space="preserve">. Available at: </w:t>
      </w:r>
      <w:hyperlink r:id="rId22">
        <w:r>
          <w:rPr>
            <w:rFonts w:ascii="Arial" w:eastAsia="Arial" w:hAnsi="Arial" w:cs="Arial"/>
            <w:color w:val="1155CC"/>
            <w:sz w:val="24"/>
            <w:szCs w:val="24"/>
            <w:u w:val="single"/>
          </w:rPr>
          <w:t>https://agro.icm.edu.pl/agro/element/bwmeta1.element.agro-aa770671-d09c-456f-8c73-9215aff56a7d/c/document.pdf</w:t>
        </w:r>
      </w:hyperlink>
      <w:r>
        <w:rPr>
          <w:rFonts w:ascii="Arial" w:eastAsia="Arial" w:hAnsi="Arial" w:cs="Arial"/>
          <w:color w:val="222222"/>
          <w:sz w:val="24"/>
          <w:szCs w:val="24"/>
          <w:highlight w:val="white"/>
        </w:rPr>
        <w:t xml:space="preserve"> (Accessed: 24 February 2025)</w:t>
      </w:r>
    </w:p>
    <w:p w14:paraId="3B3C5DEA" w14:textId="77777777" w:rsidR="00B1069B" w:rsidRDefault="00B1069B">
      <w:pPr>
        <w:spacing w:after="0" w:line="360" w:lineRule="auto"/>
        <w:jc w:val="both"/>
        <w:rPr>
          <w:rFonts w:ascii="Times New Roman" w:eastAsia="Times New Roman" w:hAnsi="Times New Roman" w:cs="Times New Roman"/>
          <w:sz w:val="24"/>
          <w:szCs w:val="24"/>
        </w:rPr>
      </w:pPr>
    </w:p>
    <w:p w14:paraId="3B3C5DEB"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Sergeevna, T.V., 2024. Examining the Effects of Organizational Culture on Guest Satisfaction in the Hotel Industry, The Ritz-Carlton Hotel Company Case. Available at: </w:t>
      </w:r>
      <w:hyperlink r:id="rId23">
        <w:r>
          <w:rPr>
            <w:rFonts w:ascii="Arial" w:eastAsia="Arial" w:hAnsi="Arial" w:cs="Arial"/>
            <w:color w:val="1155CC"/>
            <w:sz w:val="24"/>
            <w:szCs w:val="24"/>
            <w:u w:val="single"/>
          </w:rPr>
          <w:t>https://dspace.spbu.ru/bitstream/11701/46781/2/Temnikova_VKR.pdf</w:t>
        </w:r>
      </w:hyperlink>
      <w:r>
        <w:rPr>
          <w:rFonts w:ascii="Arial" w:eastAsia="Arial" w:hAnsi="Arial" w:cs="Arial"/>
          <w:color w:val="222222"/>
          <w:sz w:val="24"/>
          <w:szCs w:val="24"/>
          <w:highlight w:val="white"/>
        </w:rPr>
        <w:t xml:space="preserve"> (Accessed: 24 February 2025)</w:t>
      </w:r>
    </w:p>
    <w:p w14:paraId="3B3C5DEC" w14:textId="77777777" w:rsidR="00B1069B" w:rsidRDefault="00B1069B">
      <w:pPr>
        <w:spacing w:after="0" w:line="360" w:lineRule="auto"/>
        <w:jc w:val="both"/>
        <w:rPr>
          <w:rFonts w:ascii="Times New Roman" w:eastAsia="Times New Roman" w:hAnsi="Times New Roman" w:cs="Times New Roman"/>
          <w:sz w:val="24"/>
          <w:szCs w:val="24"/>
        </w:rPr>
      </w:pPr>
    </w:p>
    <w:p w14:paraId="3B3C5DED"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Serrano-Baena, M.M., Hidalgo Fernández, R.E., Carranza-Cañadas, P. and Triviño-</w:t>
      </w:r>
      <w:proofErr w:type="spellStart"/>
      <w:r>
        <w:rPr>
          <w:rFonts w:ascii="Arial" w:eastAsia="Arial" w:hAnsi="Arial" w:cs="Arial"/>
          <w:color w:val="222222"/>
          <w:sz w:val="24"/>
          <w:szCs w:val="24"/>
          <w:highlight w:val="white"/>
        </w:rPr>
        <w:t>Tarradas</w:t>
      </w:r>
      <w:proofErr w:type="spellEnd"/>
      <w:r>
        <w:rPr>
          <w:rFonts w:ascii="Arial" w:eastAsia="Arial" w:hAnsi="Arial" w:cs="Arial"/>
          <w:color w:val="222222"/>
          <w:sz w:val="24"/>
          <w:szCs w:val="24"/>
          <w:highlight w:val="white"/>
        </w:rPr>
        <w:t xml:space="preserve">, P., 2021. How the Implementation of BREEAM in hotels could help to achieve the SDGs. </w:t>
      </w:r>
      <w:r>
        <w:rPr>
          <w:rFonts w:ascii="Arial" w:eastAsia="Arial" w:hAnsi="Arial" w:cs="Arial"/>
          <w:i/>
          <w:color w:val="222222"/>
          <w:sz w:val="24"/>
          <w:szCs w:val="24"/>
          <w:highlight w:val="white"/>
        </w:rPr>
        <w:t>Applied Sciences</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11</w:t>
      </w:r>
      <w:r>
        <w:rPr>
          <w:rFonts w:ascii="Arial" w:eastAsia="Arial" w:hAnsi="Arial" w:cs="Arial"/>
          <w:color w:val="222222"/>
          <w:sz w:val="24"/>
          <w:szCs w:val="24"/>
          <w:highlight w:val="white"/>
        </w:rPr>
        <w:t xml:space="preserve">(23), p.11131. Available at: </w:t>
      </w:r>
      <w:hyperlink r:id="rId24">
        <w:r>
          <w:rPr>
            <w:rFonts w:ascii="Arial" w:eastAsia="Arial" w:hAnsi="Arial" w:cs="Arial"/>
            <w:color w:val="1155CC"/>
            <w:sz w:val="24"/>
            <w:szCs w:val="24"/>
            <w:u w:val="single"/>
          </w:rPr>
          <w:t>https://www.mdpi.com/2076-3417/11/23/11131/pdf</w:t>
        </w:r>
      </w:hyperlink>
      <w:r>
        <w:rPr>
          <w:rFonts w:ascii="Arial" w:eastAsia="Arial" w:hAnsi="Arial" w:cs="Arial"/>
          <w:color w:val="222222"/>
          <w:sz w:val="24"/>
          <w:szCs w:val="24"/>
          <w:highlight w:val="white"/>
        </w:rPr>
        <w:t xml:space="preserve"> (Accessed: 24 February 2025)</w:t>
      </w:r>
    </w:p>
    <w:p w14:paraId="3B3C5DEE" w14:textId="77777777" w:rsidR="00B1069B" w:rsidRDefault="00B1069B">
      <w:pPr>
        <w:spacing w:after="0" w:line="360" w:lineRule="auto"/>
        <w:jc w:val="both"/>
        <w:rPr>
          <w:rFonts w:ascii="Times New Roman" w:eastAsia="Times New Roman" w:hAnsi="Times New Roman" w:cs="Times New Roman"/>
          <w:sz w:val="24"/>
          <w:szCs w:val="24"/>
        </w:rPr>
      </w:pPr>
    </w:p>
    <w:p w14:paraId="3B3C5DEF" w14:textId="77777777" w:rsidR="00B1069B" w:rsidRDefault="00991EC9">
      <w:pPr>
        <w:spacing w:after="0" w:line="360" w:lineRule="auto"/>
        <w:jc w:val="both"/>
        <w:rPr>
          <w:rFonts w:ascii="Arial" w:eastAsia="Arial" w:hAnsi="Arial" w:cs="Arial"/>
          <w:color w:val="222222"/>
          <w:sz w:val="24"/>
          <w:szCs w:val="24"/>
          <w:highlight w:val="white"/>
        </w:rPr>
      </w:pPr>
      <w:proofErr w:type="spellStart"/>
      <w:r>
        <w:rPr>
          <w:rFonts w:ascii="Arial" w:eastAsia="Arial" w:hAnsi="Arial" w:cs="Arial"/>
          <w:color w:val="222222"/>
          <w:sz w:val="24"/>
          <w:szCs w:val="24"/>
          <w:highlight w:val="white"/>
        </w:rPr>
        <w:t>Srijuntrapun</w:t>
      </w:r>
      <w:proofErr w:type="spellEnd"/>
      <w:r>
        <w:rPr>
          <w:rFonts w:ascii="Arial" w:eastAsia="Arial" w:hAnsi="Arial" w:cs="Arial"/>
          <w:color w:val="222222"/>
          <w:sz w:val="24"/>
          <w:szCs w:val="24"/>
          <w:highlight w:val="white"/>
        </w:rPr>
        <w:t xml:space="preserve">, P., </w:t>
      </w:r>
      <w:proofErr w:type="spellStart"/>
      <w:r>
        <w:rPr>
          <w:rFonts w:ascii="Arial" w:eastAsia="Arial" w:hAnsi="Arial" w:cs="Arial"/>
          <w:color w:val="222222"/>
          <w:sz w:val="24"/>
          <w:szCs w:val="24"/>
          <w:highlight w:val="white"/>
        </w:rPr>
        <w:t>Sukwong</w:t>
      </w:r>
      <w:proofErr w:type="spellEnd"/>
      <w:r>
        <w:rPr>
          <w:rFonts w:ascii="Arial" w:eastAsia="Arial" w:hAnsi="Arial" w:cs="Arial"/>
          <w:color w:val="222222"/>
          <w:sz w:val="24"/>
          <w:szCs w:val="24"/>
          <w:highlight w:val="white"/>
        </w:rPr>
        <w:t xml:space="preserve">, P. and Marshall, A., 2022. The role of food waste hierarchy as Thai hotels </w:t>
      </w:r>
      <w:proofErr w:type="gramStart"/>
      <w:r>
        <w:rPr>
          <w:rFonts w:ascii="Arial" w:eastAsia="Arial" w:hAnsi="Arial" w:cs="Arial"/>
          <w:color w:val="222222"/>
          <w:sz w:val="24"/>
          <w:szCs w:val="24"/>
          <w:highlight w:val="white"/>
        </w:rPr>
        <w:t>seek</w:t>
      </w:r>
      <w:proofErr w:type="gramEnd"/>
      <w:r>
        <w:rPr>
          <w:rFonts w:ascii="Arial" w:eastAsia="Arial" w:hAnsi="Arial" w:cs="Arial"/>
          <w:color w:val="222222"/>
          <w:sz w:val="24"/>
          <w:szCs w:val="24"/>
          <w:highlight w:val="white"/>
        </w:rPr>
        <w:t xml:space="preserve"> to </w:t>
      </w:r>
      <w:proofErr w:type="spellStart"/>
      <w:r>
        <w:rPr>
          <w:rFonts w:ascii="Arial" w:eastAsia="Arial" w:hAnsi="Arial" w:cs="Arial"/>
          <w:color w:val="222222"/>
          <w:sz w:val="24"/>
          <w:szCs w:val="24"/>
          <w:highlight w:val="white"/>
        </w:rPr>
        <w:t>fulfill</w:t>
      </w:r>
      <w:proofErr w:type="spellEnd"/>
      <w:r>
        <w:rPr>
          <w:rFonts w:ascii="Arial" w:eastAsia="Arial" w:hAnsi="Arial" w:cs="Arial"/>
          <w:color w:val="222222"/>
          <w:sz w:val="24"/>
          <w:szCs w:val="24"/>
          <w:highlight w:val="white"/>
        </w:rPr>
        <w:t xml:space="preserve"> their corporate social responsibility. </w:t>
      </w:r>
      <w:proofErr w:type="spellStart"/>
      <w:r>
        <w:rPr>
          <w:rFonts w:ascii="Arial" w:eastAsia="Arial" w:hAnsi="Arial" w:cs="Arial"/>
          <w:i/>
          <w:color w:val="222222"/>
          <w:sz w:val="24"/>
          <w:szCs w:val="24"/>
          <w:highlight w:val="white"/>
        </w:rPr>
        <w:t>Heliyon</w:t>
      </w:r>
      <w:proofErr w:type="spellEnd"/>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8</w:t>
      </w:r>
      <w:r>
        <w:rPr>
          <w:rFonts w:ascii="Arial" w:eastAsia="Arial" w:hAnsi="Arial" w:cs="Arial"/>
          <w:color w:val="222222"/>
          <w:sz w:val="24"/>
          <w:szCs w:val="24"/>
          <w:highlight w:val="white"/>
        </w:rPr>
        <w:t xml:space="preserve">(10). Available at: </w:t>
      </w:r>
      <w:hyperlink r:id="rId25">
        <w:r>
          <w:rPr>
            <w:rFonts w:ascii="Arial" w:eastAsia="Arial" w:hAnsi="Arial" w:cs="Arial"/>
            <w:color w:val="1155CC"/>
            <w:sz w:val="24"/>
            <w:szCs w:val="24"/>
            <w:u w:val="single"/>
          </w:rPr>
          <w:t>https://www.cell.com/heliyon/pdf/S2405-8440(22)02489-6.pdf</w:t>
        </w:r>
      </w:hyperlink>
      <w:r>
        <w:rPr>
          <w:rFonts w:ascii="Arial" w:eastAsia="Arial" w:hAnsi="Arial" w:cs="Arial"/>
          <w:color w:val="222222"/>
          <w:sz w:val="24"/>
          <w:szCs w:val="24"/>
          <w:highlight w:val="white"/>
        </w:rPr>
        <w:t xml:space="preserve"> (Accessed: 24 February 2025)</w:t>
      </w:r>
    </w:p>
    <w:p w14:paraId="3B3C5DF0" w14:textId="77777777" w:rsidR="00B1069B" w:rsidRDefault="00B1069B">
      <w:pPr>
        <w:spacing w:after="0" w:line="360" w:lineRule="auto"/>
        <w:jc w:val="both"/>
        <w:rPr>
          <w:rFonts w:ascii="Times New Roman" w:eastAsia="Times New Roman" w:hAnsi="Times New Roman" w:cs="Times New Roman"/>
          <w:sz w:val="24"/>
          <w:szCs w:val="24"/>
        </w:rPr>
      </w:pPr>
    </w:p>
    <w:p w14:paraId="3B3C5DF1" w14:textId="77777777" w:rsidR="00B1069B" w:rsidRDefault="00991EC9">
      <w:pPr>
        <w:spacing w:after="0"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Thomas, G., 2022. Corporate social responsibility as a sustainable business practice: a study among generation Z customers of Indian luxury hotels. </w:t>
      </w:r>
      <w:r>
        <w:rPr>
          <w:rFonts w:ascii="Arial" w:eastAsia="Arial" w:hAnsi="Arial" w:cs="Arial"/>
          <w:i/>
          <w:color w:val="222222"/>
          <w:sz w:val="24"/>
          <w:szCs w:val="24"/>
          <w:highlight w:val="white"/>
        </w:rPr>
        <w:t>Sustainability</w:t>
      </w:r>
      <w:r>
        <w:rPr>
          <w:rFonts w:ascii="Arial" w:eastAsia="Arial" w:hAnsi="Arial" w:cs="Arial"/>
          <w:color w:val="222222"/>
          <w:sz w:val="24"/>
          <w:szCs w:val="24"/>
          <w:highlight w:val="white"/>
        </w:rPr>
        <w:t xml:space="preserve">, </w:t>
      </w:r>
      <w:r>
        <w:rPr>
          <w:rFonts w:ascii="Arial" w:eastAsia="Arial" w:hAnsi="Arial" w:cs="Arial"/>
          <w:i/>
          <w:color w:val="222222"/>
          <w:sz w:val="24"/>
          <w:szCs w:val="24"/>
          <w:highlight w:val="white"/>
        </w:rPr>
        <w:t>14</w:t>
      </w:r>
      <w:r>
        <w:rPr>
          <w:rFonts w:ascii="Arial" w:eastAsia="Arial" w:hAnsi="Arial" w:cs="Arial"/>
          <w:color w:val="222222"/>
          <w:sz w:val="24"/>
          <w:szCs w:val="24"/>
          <w:highlight w:val="white"/>
        </w:rPr>
        <w:t xml:space="preserve">(24), p.16813. Available at: </w:t>
      </w:r>
      <w:hyperlink r:id="rId26">
        <w:r>
          <w:rPr>
            <w:rFonts w:ascii="Arial" w:eastAsia="Arial" w:hAnsi="Arial" w:cs="Arial"/>
            <w:color w:val="1155CC"/>
            <w:sz w:val="24"/>
            <w:szCs w:val="24"/>
            <w:u w:val="single"/>
          </w:rPr>
          <w:t>https://www.mdpi.com/2071-1050/14/24/16813/pdf</w:t>
        </w:r>
      </w:hyperlink>
      <w:r>
        <w:rPr>
          <w:rFonts w:ascii="Arial" w:eastAsia="Arial" w:hAnsi="Arial" w:cs="Arial"/>
          <w:color w:val="222222"/>
          <w:sz w:val="24"/>
          <w:szCs w:val="24"/>
          <w:highlight w:val="white"/>
        </w:rPr>
        <w:t xml:space="preserve"> (Accessed: 24 February 2025)</w:t>
      </w:r>
    </w:p>
    <w:p w14:paraId="3B3C5DF2" w14:textId="77777777" w:rsidR="00B1069B" w:rsidRDefault="00B1069B">
      <w:pPr>
        <w:spacing w:after="0" w:line="360" w:lineRule="auto"/>
        <w:jc w:val="both"/>
        <w:rPr>
          <w:rFonts w:ascii="Times New Roman" w:eastAsia="Times New Roman" w:hAnsi="Times New Roman" w:cs="Times New Roman"/>
          <w:sz w:val="24"/>
          <w:szCs w:val="24"/>
        </w:rPr>
      </w:pPr>
    </w:p>
    <w:p w14:paraId="3B3C5DF3" w14:textId="77777777" w:rsidR="00B1069B" w:rsidRDefault="00991EC9">
      <w:pPr>
        <w:spacing w:after="0" w:line="360" w:lineRule="auto"/>
        <w:jc w:val="both"/>
        <w:rPr>
          <w:rFonts w:ascii="Times New Roman" w:eastAsia="Times New Roman" w:hAnsi="Times New Roman" w:cs="Times New Roman"/>
          <w:sz w:val="24"/>
          <w:szCs w:val="24"/>
        </w:rPr>
      </w:pPr>
      <w:r>
        <w:rPr>
          <w:rFonts w:ascii="Arial" w:eastAsia="Arial" w:hAnsi="Arial" w:cs="Arial"/>
          <w:color w:val="222222"/>
          <w:sz w:val="24"/>
          <w:szCs w:val="24"/>
          <w:highlight w:val="white"/>
        </w:rPr>
        <w:t xml:space="preserve">Walker, J.R., 2022. </w:t>
      </w:r>
      <w:r>
        <w:rPr>
          <w:rFonts w:ascii="Arial" w:eastAsia="Arial" w:hAnsi="Arial" w:cs="Arial"/>
          <w:i/>
          <w:color w:val="222222"/>
          <w:sz w:val="24"/>
          <w:szCs w:val="24"/>
          <w:highlight w:val="white"/>
        </w:rPr>
        <w:t>Exploring the Hospitality Industry, 2/e</w:t>
      </w:r>
      <w:r>
        <w:rPr>
          <w:rFonts w:ascii="Arial" w:eastAsia="Arial" w:hAnsi="Arial" w:cs="Arial"/>
          <w:color w:val="222222"/>
          <w:sz w:val="24"/>
          <w:szCs w:val="24"/>
          <w:highlight w:val="white"/>
        </w:rPr>
        <w:t xml:space="preserve">. Pearson Education India. Available at: </w:t>
      </w:r>
      <w:hyperlink r:id="rId27">
        <w:r>
          <w:rPr>
            <w:rFonts w:ascii="Arial" w:eastAsia="Arial" w:hAnsi="Arial" w:cs="Arial"/>
            <w:color w:val="1155CC"/>
            <w:sz w:val="24"/>
            <w:szCs w:val="24"/>
            <w:u w:val="single"/>
          </w:rPr>
          <w:t>https://thuvienso.hoasen.edu.vn/bitstream/handle/123456789/12016/Contents.pdf?sequence=1&amp;isAllowed=y</w:t>
        </w:r>
      </w:hyperlink>
      <w:r>
        <w:rPr>
          <w:rFonts w:ascii="Arial" w:eastAsia="Arial" w:hAnsi="Arial" w:cs="Arial"/>
          <w:color w:val="222222"/>
          <w:sz w:val="24"/>
          <w:szCs w:val="24"/>
          <w:highlight w:val="white"/>
        </w:rPr>
        <w:t xml:space="preserve"> (Accessed: 24 February 2025)</w:t>
      </w:r>
    </w:p>
    <w:p w14:paraId="3B3C5DF4" w14:textId="77777777" w:rsidR="00B1069B" w:rsidRDefault="00B1069B">
      <w:pPr>
        <w:spacing w:line="360" w:lineRule="auto"/>
      </w:pPr>
    </w:p>
    <w:sectPr w:rsidR="00B1069B">
      <w:footerReference w:type="default" r:id="rId28"/>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5DF9" w14:textId="77777777" w:rsidR="00991EC9" w:rsidRDefault="00991EC9">
      <w:pPr>
        <w:spacing w:after="0" w:line="240" w:lineRule="auto"/>
      </w:pPr>
      <w:r>
        <w:separator/>
      </w:r>
    </w:p>
  </w:endnote>
  <w:endnote w:type="continuationSeparator" w:id="0">
    <w:p w14:paraId="3B3C5DFA" w14:textId="77777777" w:rsidR="00991EC9" w:rsidRDefault="00991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C5DFB" w14:textId="77777777" w:rsidR="00B1069B" w:rsidRDefault="00991EC9">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DB166A">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DB166A">
      <w:rPr>
        <w:b/>
        <w:noProof/>
        <w:color w:val="000000"/>
        <w:sz w:val="24"/>
        <w:szCs w:val="24"/>
      </w:rPr>
      <w:t>14</w:t>
    </w:r>
    <w:r>
      <w:rPr>
        <w:b/>
        <w:color w:val="000000"/>
        <w:sz w:val="24"/>
        <w:szCs w:val="24"/>
      </w:rPr>
      <w:fldChar w:fldCharType="end"/>
    </w:r>
  </w:p>
  <w:p w14:paraId="3B3C5DFC" w14:textId="77777777" w:rsidR="00B1069B" w:rsidRDefault="00B1069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C5DF7" w14:textId="77777777" w:rsidR="00991EC9" w:rsidRDefault="00991EC9">
      <w:pPr>
        <w:spacing w:after="0" w:line="240" w:lineRule="auto"/>
      </w:pPr>
      <w:r>
        <w:separator/>
      </w:r>
    </w:p>
  </w:footnote>
  <w:footnote w:type="continuationSeparator" w:id="0">
    <w:p w14:paraId="3B3C5DF8" w14:textId="77777777" w:rsidR="00991EC9" w:rsidRDefault="00991E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9B"/>
    <w:rsid w:val="002F65D8"/>
    <w:rsid w:val="00922886"/>
    <w:rsid w:val="00986885"/>
    <w:rsid w:val="00991EC9"/>
    <w:rsid w:val="00A10AB5"/>
    <w:rsid w:val="00A46738"/>
    <w:rsid w:val="00B1069B"/>
    <w:rsid w:val="00DB1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C5D7B"/>
  <w15:docId w15:val="{C80FDE6A-1400-493C-AD93-1EBBC57B2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cielo.br/j/pope/a/mn7sbbR79xXSVQgHxX33Zqy/?format=html&amp;lang=en" TargetMode="External"/><Relationship Id="rId13" Type="http://schemas.openxmlformats.org/officeDocument/2006/relationships/hyperlink" Target="https://eprints.glos.ac.uk/11732/8/11732%20Jones%20and%20Wynn%20%282022%29%20Circular_Economy_and_Natural_Capital_in_Tourism_and_Hospitality_Industry.pdf" TargetMode="External"/><Relationship Id="rId18" Type="http://schemas.openxmlformats.org/officeDocument/2006/relationships/hyperlink" Target="https://journals.sagepub.com/doi/pdf/10.1177/0734242X20983427" TargetMode="External"/><Relationship Id="rId26" Type="http://schemas.openxmlformats.org/officeDocument/2006/relationships/hyperlink" Target="https://www.mdpi.com/2071-1050/14/24/16813/pdf" TargetMode="External"/><Relationship Id="rId3" Type="http://schemas.openxmlformats.org/officeDocument/2006/relationships/webSettings" Target="webSettings.xml"/><Relationship Id="rId21" Type="http://schemas.openxmlformats.org/officeDocument/2006/relationships/hyperlink" Target="https://www.researchbank.ac.nz/bitstreams/d0aed509-9f2e-4e90-8816-d5fcb3a5d93a/download" TargetMode="External"/><Relationship Id="rId7" Type="http://schemas.openxmlformats.org/officeDocument/2006/relationships/hyperlink" Target="https://www.mdpi.com/2071-1050/15/9/7529/pdf" TargetMode="External"/><Relationship Id="rId12" Type="http://schemas.openxmlformats.org/officeDocument/2006/relationships/hyperlink" Target="https://www.mdpi.com/2227-9717/9/11/2056/pdf" TargetMode="External"/><Relationship Id="rId17" Type="http://schemas.openxmlformats.org/officeDocument/2006/relationships/hyperlink" Target="https://namafar.ir/wp-content/uploads/2023/07/namafar.ir1_-1.pdf" TargetMode="External"/><Relationship Id="rId25" Type="http://schemas.openxmlformats.org/officeDocument/2006/relationships/hyperlink" Target="https://www.cell.com/heliyon/pdf/S2405-8440(22)02489-6.pdf" TargetMode="External"/><Relationship Id="rId2" Type="http://schemas.openxmlformats.org/officeDocument/2006/relationships/settings" Target="settings.xml"/><Relationship Id="rId16" Type="http://schemas.openxmlformats.org/officeDocument/2006/relationships/hyperlink" Target="https://www.mdpi.com/2071-1050/13/24/13650/pdf" TargetMode="External"/><Relationship Id="rId20" Type="http://schemas.openxmlformats.org/officeDocument/2006/relationships/hyperlink" Target="https://www.sciencedirect.com/science/article/pii/S0278431922001128"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al.science/hal-04392036v2/file/ChatGPT_Hospitality%20and%20Tourism_IJCHM_Final.pdf" TargetMode="External"/><Relationship Id="rId24" Type="http://schemas.openxmlformats.org/officeDocument/2006/relationships/hyperlink" Target="https://www.mdpi.com/2076-3417/11/23/11131/pdf" TargetMode="External"/><Relationship Id="rId5" Type="http://schemas.openxmlformats.org/officeDocument/2006/relationships/endnotes" Target="endnotes.xml"/><Relationship Id="rId15" Type="http://schemas.openxmlformats.org/officeDocument/2006/relationships/hyperlink" Target="https://www.mdpi.com/1660-4601/19/5/2778/pdf" TargetMode="External"/><Relationship Id="rId23" Type="http://schemas.openxmlformats.org/officeDocument/2006/relationships/hyperlink" Target="https://dspace.spbu.ru/bitstream/11701/46781/2/Temnikova_VKR.pdf" TargetMode="External"/><Relationship Id="rId28" Type="http://schemas.openxmlformats.org/officeDocument/2006/relationships/footer" Target="footer1.xml"/><Relationship Id="rId10" Type="http://schemas.openxmlformats.org/officeDocument/2006/relationships/hyperlink" Target="https://www.mdpi.com/2673-5768/2/3/19" TargetMode="External"/><Relationship Id="rId19" Type="http://schemas.openxmlformats.org/officeDocument/2006/relationships/hyperlink" Target="https://www.theseus.fi/bitstream/handle/10024/817315/Pavlova_Valeriia.pdf?sequence=2" TargetMode="External"/><Relationship Id="rId4" Type="http://schemas.openxmlformats.org/officeDocument/2006/relationships/footnotes" Target="footnotes.xml"/><Relationship Id="rId9" Type="http://schemas.openxmlformats.org/officeDocument/2006/relationships/hyperlink" Target="https://www.emerald.com/insight/content/doi/10.1108/IJCTHR-01-2021-0019/full/pdf" TargetMode="External"/><Relationship Id="rId14" Type="http://schemas.openxmlformats.org/officeDocument/2006/relationships/hyperlink" Target="https://repositorio.ucp.pt/bitstream/10400.14/35212/1/202749835.pdf" TargetMode="External"/><Relationship Id="rId22" Type="http://schemas.openxmlformats.org/officeDocument/2006/relationships/hyperlink" Target="https://agro.icm.edu.pl/agro/element/bwmeta1.element.agro-aa770671-d09c-456f-8c73-9215aff56a7d/c/document.pdf" TargetMode="External"/><Relationship Id="rId27" Type="http://schemas.openxmlformats.org/officeDocument/2006/relationships/hyperlink" Target="https://thuvienso.hoasen.edu.vn/bitstream/handle/123456789/12016/Contents.pdf?sequence=1&amp;isAllowed=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3610</Words>
  <Characters>20579</Characters>
  <Application>Microsoft Office Word</Application>
  <DocSecurity>0</DocSecurity>
  <Lines>171</Lines>
  <Paragraphs>48</Paragraphs>
  <ScaleCrop>false</ScaleCrop>
  <Company/>
  <LinksUpToDate>false</LinksUpToDate>
  <CharactersWithSpaces>24141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Shamim Kabir Chowdhury (2234243)</cp:lastModifiedBy>
  <cp:revision>5</cp:revision>
  <dcterms:created xsi:type="dcterms:W3CDTF">2025-02-28T18:17:00Z</dcterms:created>
  <dcterms:modified xsi:type="dcterms:W3CDTF">2025-02-28T18:48:00Z</dcterms:modified>
</cp:coreProperties>
</file>