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CF5C2" w14:textId="3CE0BDDE"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 xml:space="preserve">                                        Part 3: </w:t>
      </w:r>
      <w:proofErr w:type="spellStart"/>
      <w:r>
        <w:rPr>
          <w:rFonts w:ascii="Calibri" w:hAnsi="Calibri"/>
          <w:sz w:val="22"/>
          <w:szCs w:val="22"/>
        </w:rPr>
        <w:t>Childe’s</w:t>
      </w:r>
      <w:proofErr w:type="spellEnd"/>
      <w:r>
        <w:rPr>
          <w:rFonts w:ascii="Calibri" w:hAnsi="Calibri"/>
          <w:sz w:val="22"/>
          <w:szCs w:val="22"/>
        </w:rPr>
        <w:t xml:space="preserve"> Characteristics of Complex Societies</w:t>
      </w:r>
    </w:p>
    <w:p w14:paraId="714CBA23" w14:textId="791F4874"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 xml:space="preserve">                                                                       Comparison</w:t>
      </w:r>
    </w:p>
    <w:p w14:paraId="278DC66E" w14:textId="77777777" w:rsidR="00042B89" w:rsidRDefault="00042B89">
      <w:pPr>
        <w:pStyle w:val="NormalWeb"/>
        <w:spacing w:before="0" w:beforeAutospacing="0" w:after="0" w:afterAutospacing="0"/>
        <w:divId w:val="326639734"/>
        <w:rPr>
          <w:rFonts w:ascii="Calibri" w:hAnsi="Calibri"/>
          <w:sz w:val="22"/>
          <w:szCs w:val="22"/>
        </w:rPr>
      </w:pPr>
    </w:p>
    <w:p w14:paraId="05022B3A" w14:textId="7039B81B"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 xml:space="preserve">This essay will discuss </w:t>
      </w:r>
      <w:proofErr w:type="spellStart"/>
      <w:r>
        <w:rPr>
          <w:rFonts w:ascii="Calibri" w:hAnsi="Calibri"/>
          <w:sz w:val="22"/>
          <w:szCs w:val="22"/>
        </w:rPr>
        <w:t>Childe’s</w:t>
      </w:r>
      <w:proofErr w:type="spellEnd"/>
      <w:r>
        <w:rPr>
          <w:rFonts w:ascii="Calibri" w:hAnsi="Calibri"/>
          <w:sz w:val="22"/>
          <w:szCs w:val="22"/>
        </w:rPr>
        <w:t xml:space="preserve"> characteristics of complex societies and criteria, to determine if these </w:t>
      </w:r>
      <w:r w:rsidRPr="00B12DF3">
        <w:rPr>
          <w:rFonts w:ascii="Calibri" w:hAnsi="Calibri"/>
          <w:color w:val="000000" w:themeColor="text1"/>
          <w:sz w:val="22"/>
          <w:szCs w:val="22"/>
        </w:rPr>
        <w:t>criteria can be applied to the civilization of Babylon. These criteria were included in B</w:t>
      </w:r>
      <w:r w:rsidR="00B12DF3" w:rsidRPr="00B12DF3">
        <w:rPr>
          <w:rFonts w:ascii="Calibri" w:hAnsi="Calibri"/>
          <w:color w:val="000000" w:themeColor="text1"/>
          <w:sz w:val="22"/>
          <w:szCs w:val="22"/>
        </w:rPr>
        <w:t>ruce</w:t>
      </w:r>
      <w:r w:rsidRPr="00B12DF3">
        <w:rPr>
          <w:rFonts w:ascii="Calibri" w:hAnsi="Calibri"/>
          <w:color w:val="000000" w:themeColor="text1"/>
          <w:sz w:val="22"/>
          <w:szCs w:val="22"/>
        </w:rPr>
        <w:t xml:space="preserve"> G</w:t>
      </w:r>
      <w:r w:rsidR="00B12DF3" w:rsidRPr="00B12DF3">
        <w:rPr>
          <w:rFonts w:ascii="Calibri" w:hAnsi="Calibri"/>
          <w:color w:val="000000" w:themeColor="text1"/>
          <w:sz w:val="22"/>
          <w:szCs w:val="22"/>
        </w:rPr>
        <w:t>raham</w:t>
      </w:r>
      <w:r w:rsidRPr="00B12DF3">
        <w:rPr>
          <w:rFonts w:ascii="Calibri" w:hAnsi="Calibri"/>
          <w:color w:val="000000" w:themeColor="text1"/>
          <w:sz w:val="22"/>
          <w:szCs w:val="22"/>
        </w:rPr>
        <w:t xml:space="preserve"> Trigger</w:t>
      </w:r>
      <w:r w:rsidR="00B12DF3" w:rsidRPr="00B12DF3">
        <w:rPr>
          <w:rFonts w:ascii="Calibri" w:hAnsi="Calibri"/>
          <w:color w:val="000000" w:themeColor="text1"/>
          <w:sz w:val="22"/>
          <w:szCs w:val="22"/>
        </w:rPr>
        <w:t xml:space="preserve">’s </w:t>
      </w:r>
      <w:r>
        <w:rPr>
          <w:rFonts w:ascii="Calibri" w:hAnsi="Calibri"/>
          <w:sz w:val="22"/>
          <w:szCs w:val="22"/>
        </w:rPr>
        <w:t>early Civilization’s book on page 43. The page depicts that Trigger (1995, p43) perceptions on how ancient civilizations were analysed by scholars in the past. He mainly discusses evolutionists, neo-evolutionists, societies, civilizations and development. The structure of the passage is composed of three paragraphs, two very long and the last paragraph is quite short. It also mentions a few times “19</w:t>
      </w:r>
      <w:r>
        <w:rPr>
          <w:rFonts w:ascii="Calibri" w:hAnsi="Calibri"/>
          <w:sz w:val="22"/>
          <w:szCs w:val="22"/>
          <w:vertAlign w:val="superscript"/>
        </w:rPr>
        <w:t>th</w:t>
      </w:r>
      <w:r>
        <w:rPr>
          <w:rFonts w:ascii="Calibri" w:hAnsi="Calibri"/>
          <w:sz w:val="22"/>
          <w:szCs w:val="22"/>
        </w:rPr>
        <w:t xml:space="preserve"> Century” and “1950’s” terms, which suggests that old fashioned and antiquated views are being included (Trigger, 1995, p. 43). Furthermore, this passage suggests it is easy to define aspects of societies. </w:t>
      </w:r>
      <w:proofErr w:type="spellStart"/>
      <w:r>
        <w:rPr>
          <w:rFonts w:ascii="Calibri" w:hAnsi="Calibri"/>
          <w:sz w:val="22"/>
          <w:szCs w:val="22"/>
        </w:rPr>
        <w:t>Childe’s</w:t>
      </w:r>
      <w:proofErr w:type="spellEnd"/>
      <w:r>
        <w:rPr>
          <w:rFonts w:ascii="Calibri" w:hAnsi="Calibri"/>
          <w:sz w:val="22"/>
          <w:szCs w:val="22"/>
        </w:rPr>
        <w:t xml:space="preserve"> criteria is discussed in paragraph two, indicates that there are ten pieces of criteria and these can determine aspects of civilizations (Trigger, 1995, p.43). In addition, the passage also conveys that all societies worked together to develop a cohesive lifestyle (Trigger, 1995, p.43). These characteristics that Childe has created appears to be his thesis on civilizations, although is it applicable to all societies? Moreover, the themes about this passage are about society, civilization and the development of that society. Also, includes one theory of how they have developed which is </w:t>
      </w:r>
      <w:proofErr w:type="spellStart"/>
      <w:r>
        <w:rPr>
          <w:rFonts w:ascii="Calibri" w:hAnsi="Calibri"/>
          <w:sz w:val="22"/>
          <w:szCs w:val="22"/>
        </w:rPr>
        <w:t>Childe’s</w:t>
      </w:r>
      <w:proofErr w:type="spellEnd"/>
      <w:r>
        <w:rPr>
          <w:rFonts w:ascii="Calibri" w:hAnsi="Calibri"/>
          <w:sz w:val="22"/>
          <w:szCs w:val="22"/>
        </w:rPr>
        <w:t xml:space="preserve"> criteria.</w:t>
      </w:r>
    </w:p>
    <w:p w14:paraId="3F410B90" w14:textId="77777777" w:rsidR="00042B89" w:rsidRDefault="00042B89">
      <w:pPr>
        <w:pStyle w:val="NormalWeb"/>
        <w:spacing w:before="0" w:beforeAutospacing="0" w:after="0" w:afterAutospacing="0"/>
        <w:divId w:val="326639734"/>
        <w:rPr>
          <w:rFonts w:ascii="Calibri" w:hAnsi="Calibri"/>
          <w:sz w:val="22"/>
          <w:szCs w:val="22"/>
        </w:rPr>
      </w:pPr>
      <w:proofErr w:type="spellStart"/>
      <w:r>
        <w:rPr>
          <w:rFonts w:ascii="Calibri" w:hAnsi="Calibri"/>
          <w:sz w:val="22"/>
          <w:szCs w:val="22"/>
        </w:rPr>
        <w:t>Childe’s</w:t>
      </w:r>
      <w:proofErr w:type="spellEnd"/>
      <w:r>
        <w:rPr>
          <w:rFonts w:ascii="Calibri" w:hAnsi="Calibri"/>
          <w:sz w:val="22"/>
          <w:szCs w:val="22"/>
        </w:rPr>
        <w:t xml:space="preserve"> characteristics include, 1: large urban centres; 2: craft workers, officials, priests and merchants who are supported by the produce obtained from farming; 3: primary producers giving their wares to the local deity or king ; 4: presence of monumental architecture; 5: a ruling class that does not have to work; 6: a medium for recording any information; 7: technological development and advances; 8: monumental art; 9: evidence of trade; 10: religious officials who control specialist craftsmen, administration and organisation being prominent and inclusion of temples and funerary cult so presence of religion (Trigger, 1995, p.43). </w:t>
      </w:r>
    </w:p>
    <w:p w14:paraId="3D6575B2" w14:textId="2EB57510"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Quite a few of these criteria can apply to Babylon however only the four most prominent categories will be discussed in detail. Which are urban centres, trade, society and documentation.</w:t>
      </w:r>
    </w:p>
    <w:p w14:paraId="7860F418" w14:textId="6DC10714"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Babylon had an urban centre, where it symbolized grand urbanization throughout various points in Mesopotamian history, Babylon went through periods of great urban expansion (Richardson, 2007, p.16). Where Babylon had markets, urban planning and housing from quite an early stage in its timeline (Baker, 2007, p.73). Urbanization seems to be more prominent during c.700BC where economic trends were more eminent which was especially seen in norther</w:t>
      </w:r>
      <w:r w:rsidR="008864AC">
        <w:rPr>
          <w:rFonts w:ascii="Calibri" w:hAnsi="Calibri"/>
          <w:sz w:val="22"/>
          <w:szCs w:val="22"/>
        </w:rPr>
        <w:t>n</w:t>
      </w:r>
      <w:r>
        <w:rPr>
          <w:rFonts w:ascii="Calibri" w:hAnsi="Calibri"/>
          <w:sz w:val="22"/>
          <w:szCs w:val="22"/>
        </w:rPr>
        <w:t xml:space="preserve"> Babylonia (</w:t>
      </w:r>
      <w:proofErr w:type="spellStart"/>
      <w:r>
        <w:rPr>
          <w:rFonts w:ascii="Calibri" w:hAnsi="Calibri"/>
          <w:sz w:val="22"/>
          <w:szCs w:val="22"/>
        </w:rPr>
        <w:t>Jursa</w:t>
      </w:r>
      <w:proofErr w:type="spellEnd"/>
      <w:r>
        <w:rPr>
          <w:rFonts w:ascii="Calibri" w:hAnsi="Calibri"/>
          <w:sz w:val="22"/>
          <w:szCs w:val="22"/>
        </w:rPr>
        <w:t>, 2007, p.224). Where the presence of urban work forces and market places began to appear more strongly (</w:t>
      </w:r>
      <w:proofErr w:type="spellStart"/>
      <w:r>
        <w:rPr>
          <w:rFonts w:ascii="Calibri" w:hAnsi="Calibri"/>
          <w:sz w:val="22"/>
          <w:szCs w:val="22"/>
        </w:rPr>
        <w:t>Jursa</w:t>
      </w:r>
      <w:proofErr w:type="spellEnd"/>
      <w:r>
        <w:rPr>
          <w:rFonts w:ascii="Calibri" w:hAnsi="Calibri"/>
          <w:sz w:val="22"/>
          <w:szCs w:val="22"/>
        </w:rPr>
        <w:t xml:space="preserve">, 2007, p.233). While there was market places the specific land ownership is debated and seemed to rely more on prices and conditions of the area unlike modern markets are based on specific mechanisms (Seri, 2007, p.45). </w:t>
      </w:r>
    </w:p>
    <w:p w14:paraId="3A813308" w14:textId="77777777"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 xml:space="preserve">The presence of trade was prominent in Babylon, their trade relations were quite extensive and far. For instance, a more famous example of Babylonian trade relations was between Babylon and Egypt during the Amarna Age, so around 1549/1550-1292 BC (Oats, 1979, p. 90). The papyrus inscription EA714 depicts a letter between </w:t>
      </w:r>
      <w:proofErr w:type="spellStart"/>
      <w:r>
        <w:rPr>
          <w:rFonts w:ascii="Calibri" w:hAnsi="Calibri"/>
          <w:sz w:val="22"/>
          <w:szCs w:val="22"/>
        </w:rPr>
        <w:t>Burnaburiash</w:t>
      </w:r>
      <w:proofErr w:type="spellEnd"/>
      <w:r>
        <w:rPr>
          <w:rFonts w:ascii="Calibri" w:hAnsi="Calibri"/>
          <w:sz w:val="22"/>
          <w:szCs w:val="22"/>
        </w:rPr>
        <w:t xml:space="preserve"> and Akhenaten detailing the trade transactions they made which included horses, lapis lazuli and chariots, </w:t>
      </w:r>
      <w:proofErr w:type="spellStart"/>
      <w:r>
        <w:rPr>
          <w:rFonts w:ascii="Calibri" w:hAnsi="Calibri"/>
          <w:sz w:val="22"/>
          <w:szCs w:val="22"/>
        </w:rPr>
        <w:t>Burnaburiash</w:t>
      </w:r>
      <w:proofErr w:type="spellEnd"/>
      <w:r>
        <w:rPr>
          <w:rFonts w:ascii="Calibri" w:hAnsi="Calibri"/>
          <w:sz w:val="22"/>
          <w:szCs w:val="22"/>
        </w:rPr>
        <w:t xml:space="preserve"> gave these items to Akhenaten and Akhenaten gave gold, ivory, silver, bronze, precious woods, oils and garments to </w:t>
      </w:r>
      <w:proofErr w:type="spellStart"/>
      <w:r>
        <w:rPr>
          <w:rFonts w:ascii="Calibri" w:hAnsi="Calibri"/>
          <w:sz w:val="22"/>
          <w:szCs w:val="22"/>
        </w:rPr>
        <w:t>Burnaburiash</w:t>
      </w:r>
      <w:proofErr w:type="spellEnd"/>
      <w:r>
        <w:rPr>
          <w:rFonts w:ascii="Calibri" w:hAnsi="Calibri"/>
          <w:sz w:val="22"/>
          <w:szCs w:val="22"/>
        </w:rPr>
        <w:t xml:space="preserve"> (Oats, 1979, p.90). It was during 1235-1228 BC, were the Assyrian’s ruled Babylon, they created trade routes between areas that generated profit for the Assyrian rulers and thus indicating the first profitable trade route in Babylonian history (Oats, 1979, p. 95).</w:t>
      </w:r>
    </w:p>
    <w:p w14:paraId="098F8C8E" w14:textId="77777777" w:rsidR="00042B89" w:rsidRDefault="00042B89">
      <w:pPr>
        <w:pStyle w:val="NormalWeb"/>
        <w:spacing w:before="0" w:beforeAutospacing="0" w:after="0" w:afterAutospacing="0"/>
        <w:divId w:val="326639734"/>
        <w:rPr>
          <w:rFonts w:ascii="Calibri" w:hAnsi="Calibri"/>
          <w:sz w:val="22"/>
          <w:szCs w:val="22"/>
        </w:rPr>
      </w:pPr>
      <w:r>
        <w:rPr>
          <w:rFonts w:ascii="Calibri" w:hAnsi="Calibri"/>
          <w:sz w:val="22"/>
          <w:szCs w:val="22"/>
        </w:rPr>
        <w:t xml:space="preserve">The societal structure of Babylon was very class based, at the top was the royal families, then </w:t>
      </w:r>
    </w:p>
    <w:p w14:paraId="630FE479" w14:textId="77777777" w:rsidR="00042B89" w:rsidRDefault="00042B89">
      <w:pPr>
        <w:pStyle w:val="NormalWeb"/>
        <w:spacing w:before="0" w:beforeAutospacing="0" w:after="0" w:afterAutospacing="0"/>
        <w:divId w:val="1533953530"/>
        <w:rPr>
          <w:rFonts w:ascii="Calibri" w:hAnsi="Calibri"/>
          <w:sz w:val="22"/>
          <w:szCs w:val="22"/>
        </w:rPr>
      </w:pPr>
      <w:proofErr w:type="spellStart"/>
      <w:r>
        <w:rPr>
          <w:rFonts w:ascii="Calibri" w:hAnsi="Calibri"/>
          <w:sz w:val="22"/>
          <w:szCs w:val="22"/>
        </w:rPr>
        <w:t>Awill</w:t>
      </w:r>
      <w:proofErr w:type="spellEnd"/>
      <w:r>
        <w:rPr>
          <w:rFonts w:ascii="Calibri" w:hAnsi="Calibri"/>
          <w:sz w:val="22"/>
          <w:szCs w:val="22"/>
        </w:rPr>
        <w:t xml:space="preserve"> which was the Upper Class and freedmen, then </w:t>
      </w:r>
      <w:proofErr w:type="spellStart"/>
      <w:r>
        <w:rPr>
          <w:rFonts w:ascii="Calibri" w:hAnsi="Calibri"/>
          <w:sz w:val="22"/>
          <w:szCs w:val="22"/>
        </w:rPr>
        <w:t>Mushkenu</w:t>
      </w:r>
      <w:proofErr w:type="spellEnd"/>
      <w:r>
        <w:rPr>
          <w:rFonts w:ascii="Calibri" w:hAnsi="Calibri"/>
          <w:sz w:val="22"/>
          <w:szCs w:val="22"/>
        </w:rPr>
        <w:t xml:space="preserve"> which was the lower class and the </w:t>
      </w:r>
      <w:proofErr w:type="spellStart"/>
      <w:r>
        <w:rPr>
          <w:rFonts w:ascii="Calibri" w:hAnsi="Calibri"/>
          <w:sz w:val="22"/>
          <w:szCs w:val="22"/>
        </w:rPr>
        <w:t>Wardu</w:t>
      </w:r>
      <w:proofErr w:type="spellEnd"/>
      <w:r>
        <w:rPr>
          <w:rFonts w:ascii="Calibri" w:hAnsi="Calibri"/>
          <w:sz w:val="22"/>
          <w:szCs w:val="22"/>
        </w:rPr>
        <w:t xml:space="preserve"> which was the slaves (</w:t>
      </w:r>
      <w:proofErr w:type="spellStart"/>
      <w:r>
        <w:rPr>
          <w:rFonts w:ascii="Calibri" w:hAnsi="Calibri"/>
          <w:sz w:val="22"/>
          <w:szCs w:val="22"/>
        </w:rPr>
        <w:t>Kriwaczek</w:t>
      </w:r>
      <w:proofErr w:type="spellEnd"/>
      <w:r>
        <w:rPr>
          <w:rFonts w:ascii="Calibri" w:hAnsi="Calibri"/>
          <w:sz w:val="22"/>
          <w:szCs w:val="22"/>
        </w:rPr>
        <w:t xml:space="preserve">, 2010, p.181). Hammurabi the king managed to unify Mesopotamia as one country and he called this Babylonia (History, 2019). Hammurabi created law codes which is an important political and legal document and Hammurabi turned Babylonia into a prominent military power (History, 2019). Where Hammurabi conquered neighbouring countries </w:t>
      </w:r>
      <w:r>
        <w:rPr>
          <w:rFonts w:ascii="Calibri" w:hAnsi="Calibri"/>
          <w:sz w:val="22"/>
          <w:szCs w:val="22"/>
        </w:rPr>
        <w:lastRenderedPageBreak/>
        <w:t>and cities and added them to Babylonia (History, 2019). They also celebrated New Year’s Day during the Spring Equinox and was the start of the agricultural season (History, 2019).</w:t>
      </w:r>
    </w:p>
    <w:p w14:paraId="73BCDB55" w14:textId="77777777" w:rsidR="00042B89" w:rsidRDefault="00042B89">
      <w:pPr>
        <w:pStyle w:val="NormalWeb"/>
        <w:spacing w:before="0" w:beforeAutospacing="0" w:after="0" w:afterAutospacing="0"/>
        <w:divId w:val="1533953530"/>
        <w:rPr>
          <w:rFonts w:ascii="Calibri" w:hAnsi="Calibri"/>
          <w:sz w:val="22"/>
          <w:szCs w:val="22"/>
        </w:rPr>
      </w:pPr>
      <w:r>
        <w:rPr>
          <w:rFonts w:ascii="Calibri" w:hAnsi="Calibri"/>
          <w:sz w:val="22"/>
          <w:szCs w:val="22"/>
        </w:rPr>
        <w:t xml:space="preserve">Documentation and writing </w:t>
      </w:r>
      <w:proofErr w:type="gramStart"/>
      <w:r>
        <w:rPr>
          <w:rFonts w:ascii="Calibri" w:hAnsi="Calibri"/>
          <w:sz w:val="22"/>
          <w:szCs w:val="22"/>
        </w:rPr>
        <w:t>was</w:t>
      </w:r>
      <w:proofErr w:type="gramEnd"/>
      <w:r>
        <w:rPr>
          <w:rFonts w:ascii="Calibri" w:hAnsi="Calibri"/>
          <w:sz w:val="22"/>
          <w:szCs w:val="22"/>
        </w:rPr>
        <w:t xml:space="preserve"> an important skill to the Babylonians they often wrote various things and the writing system started quite early in their development, the writing system is cuneiform (</w:t>
      </w:r>
      <w:proofErr w:type="spellStart"/>
      <w:r>
        <w:rPr>
          <w:rFonts w:ascii="Calibri" w:hAnsi="Calibri"/>
          <w:sz w:val="22"/>
          <w:szCs w:val="22"/>
        </w:rPr>
        <w:t>Groneberg</w:t>
      </w:r>
      <w:proofErr w:type="spellEnd"/>
      <w:r>
        <w:rPr>
          <w:rFonts w:ascii="Calibri" w:hAnsi="Calibri"/>
          <w:sz w:val="22"/>
          <w:szCs w:val="22"/>
        </w:rPr>
        <w:t>, 2007, 327). Also, the writing had religious origins and Babylon, they explained the presence of writing, like most ancient societies, through religious or mythological narrative (</w:t>
      </w:r>
      <w:proofErr w:type="spellStart"/>
      <w:r>
        <w:rPr>
          <w:rFonts w:ascii="Calibri" w:hAnsi="Calibri"/>
          <w:sz w:val="22"/>
          <w:szCs w:val="22"/>
        </w:rPr>
        <w:t>Groneberg</w:t>
      </w:r>
      <w:proofErr w:type="spellEnd"/>
      <w:r>
        <w:rPr>
          <w:rFonts w:ascii="Calibri" w:hAnsi="Calibri"/>
          <w:sz w:val="22"/>
          <w:szCs w:val="22"/>
        </w:rPr>
        <w:t xml:space="preserve">, 2007, p.327). </w:t>
      </w:r>
      <w:proofErr w:type="spellStart"/>
      <w:r>
        <w:rPr>
          <w:rFonts w:ascii="Calibri" w:hAnsi="Calibri"/>
          <w:sz w:val="22"/>
          <w:szCs w:val="22"/>
        </w:rPr>
        <w:t>Nabu</w:t>
      </w:r>
      <w:proofErr w:type="spellEnd"/>
      <w:r>
        <w:rPr>
          <w:rFonts w:ascii="Calibri" w:hAnsi="Calibri"/>
          <w:sz w:val="22"/>
          <w:szCs w:val="22"/>
        </w:rPr>
        <w:t xml:space="preserve"> was the Babylonian god of writing and wisdom from the first millennium BC who was the patron god of </w:t>
      </w:r>
      <w:proofErr w:type="spellStart"/>
      <w:r>
        <w:rPr>
          <w:rFonts w:ascii="Calibri" w:hAnsi="Calibri"/>
          <w:sz w:val="22"/>
          <w:szCs w:val="22"/>
        </w:rPr>
        <w:t>Bersippa</w:t>
      </w:r>
      <w:proofErr w:type="spellEnd"/>
      <w:r>
        <w:rPr>
          <w:rFonts w:ascii="Calibri" w:hAnsi="Calibri"/>
          <w:sz w:val="22"/>
          <w:szCs w:val="22"/>
        </w:rPr>
        <w:t xml:space="preserve"> (AMGG Project, 2011). The texts were written by scribes and most of the texts are well written (Taylor, 2007, p.433). Hammurabi’s Law Codes was well written and depicts written forms of encouraging peace and prosperity so acts of kindness in written form (Mark, Ancient History, 2011).</w:t>
      </w:r>
    </w:p>
    <w:p w14:paraId="2F3742DE" w14:textId="77777777" w:rsidR="00042B89" w:rsidRDefault="00042B89">
      <w:pPr>
        <w:pStyle w:val="NormalWeb"/>
        <w:spacing w:before="0" w:beforeAutospacing="0" w:after="0" w:afterAutospacing="0"/>
        <w:divId w:val="1533953530"/>
        <w:rPr>
          <w:rFonts w:ascii="Calibri" w:hAnsi="Calibri"/>
          <w:sz w:val="22"/>
          <w:szCs w:val="22"/>
        </w:rPr>
      </w:pPr>
      <w:r>
        <w:rPr>
          <w:rFonts w:ascii="Calibri" w:hAnsi="Calibri"/>
          <w:sz w:val="22"/>
          <w:szCs w:val="22"/>
        </w:rPr>
        <w:t xml:space="preserve">In conclusion, </w:t>
      </w:r>
      <w:proofErr w:type="spellStart"/>
      <w:r>
        <w:rPr>
          <w:rFonts w:ascii="Calibri" w:hAnsi="Calibri"/>
          <w:sz w:val="22"/>
          <w:szCs w:val="22"/>
        </w:rPr>
        <w:t>Childe’s</w:t>
      </w:r>
      <w:proofErr w:type="spellEnd"/>
      <w:r>
        <w:rPr>
          <w:rFonts w:ascii="Calibri" w:hAnsi="Calibri"/>
          <w:sz w:val="22"/>
          <w:szCs w:val="22"/>
        </w:rPr>
        <w:t xml:space="preserve"> characteristic criteria does apply very well to Babylon, it fits very well and covers almost all of </w:t>
      </w:r>
      <w:proofErr w:type="spellStart"/>
      <w:r>
        <w:rPr>
          <w:rFonts w:ascii="Calibri" w:hAnsi="Calibri"/>
          <w:sz w:val="22"/>
          <w:szCs w:val="22"/>
        </w:rPr>
        <w:t>Childe’s</w:t>
      </w:r>
      <w:proofErr w:type="spellEnd"/>
      <w:r>
        <w:rPr>
          <w:rFonts w:ascii="Calibri" w:hAnsi="Calibri"/>
          <w:sz w:val="22"/>
          <w:szCs w:val="22"/>
        </w:rPr>
        <w:t xml:space="preserve"> criteria. So, in terms of Babylon </w:t>
      </w:r>
      <w:proofErr w:type="spellStart"/>
      <w:r>
        <w:rPr>
          <w:rFonts w:ascii="Calibri" w:hAnsi="Calibri"/>
          <w:sz w:val="22"/>
          <w:szCs w:val="22"/>
        </w:rPr>
        <w:t>Childe’s</w:t>
      </w:r>
      <w:proofErr w:type="spellEnd"/>
      <w:r>
        <w:rPr>
          <w:rFonts w:ascii="Calibri" w:hAnsi="Calibri"/>
          <w:sz w:val="22"/>
          <w:szCs w:val="22"/>
        </w:rPr>
        <w:t xml:space="preserve"> criteria is very useful, informative and compelling. It greatly demonstrates the origins of a civilization like Babylon very clearly and cohesively. It does break down complex societies into easier categories to comprehend and apply to reconstructing the past. </w:t>
      </w:r>
    </w:p>
    <w:p w14:paraId="760D0334" w14:textId="77777777" w:rsidR="00042B89" w:rsidRDefault="00042B89">
      <w:pPr>
        <w:pStyle w:val="NormalWeb"/>
        <w:spacing w:before="0" w:beforeAutospacing="0" w:after="0" w:afterAutospacing="0"/>
        <w:divId w:val="1533953530"/>
        <w:rPr>
          <w:rFonts w:ascii="Calibri" w:hAnsi="Calibri"/>
          <w:sz w:val="22"/>
          <w:szCs w:val="22"/>
        </w:rPr>
      </w:pPr>
    </w:p>
    <w:p w14:paraId="6C40E9CF" w14:textId="77777777" w:rsidR="00042B89" w:rsidRDefault="00042B89">
      <w:pPr>
        <w:pStyle w:val="NormalWeb"/>
        <w:spacing w:before="0" w:beforeAutospacing="0" w:after="0" w:afterAutospacing="0"/>
        <w:divId w:val="1533953530"/>
        <w:rPr>
          <w:rFonts w:ascii="Calibri" w:hAnsi="Calibri"/>
          <w:sz w:val="22"/>
          <w:szCs w:val="22"/>
        </w:rPr>
      </w:pPr>
    </w:p>
    <w:p w14:paraId="11569739" w14:textId="77777777" w:rsidR="00042B89" w:rsidRDefault="00042B89">
      <w:pPr>
        <w:pStyle w:val="NormalWeb"/>
        <w:spacing w:before="0" w:beforeAutospacing="0" w:after="0" w:afterAutospacing="0"/>
        <w:divId w:val="1533953530"/>
        <w:rPr>
          <w:rFonts w:ascii="Calibri" w:hAnsi="Calibri"/>
          <w:sz w:val="22"/>
          <w:szCs w:val="22"/>
        </w:rPr>
      </w:pPr>
    </w:p>
    <w:p w14:paraId="41F42446" w14:textId="77777777" w:rsidR="00042B89" w:rsidRDefault="00042B89">
      <w:pPr>
        <w:pStyle w:val="NormalWeb"/>
        <w:spacing w:before="0" w:beforeAutospacing="0" w:after="0" w:afterAutospacing="0"/>
        <w:divId w:val="1533953530"/>
        <w:rPr>
          <w:rFonts w:ascii="Calibri" w:hAnsi="Calibri"/>
          <w:sz w:val="22"/>
          <w:szCs w:val="22"/>
        </w:rPr>
      </w:pPr>
    </w:p>
    <w:p w14:paraId="4E205E9B" w14:textId="77777777" w:rsidR="00042B89" w:rsidRDefault="00042B89">
      <w:pPr>
        <w:pStyle w:val="NormalWeb"/>
        <w:spacing w:before="0" w:beforeAutospacing="0" w:after="0" w:afterAutospacing="0"/>
        <w:divId w:val="1533953530"/>
        <w:rPr>
          <w:rFonts w:ascii="Calibri" w:hAnsi="Calibri"/>
          <w:sz w:val="22"/>
          <w:szCs w:val="22"/>
        </w:rPr>
      </w:pPr>
    </w:p>
    <w:p w14:paraId="4ADA3D98" w14:textId="77777777" w:rsidR="00042B89" w:rsidRDefault="00042B89">
      <w:pPr>
        <w:pStyle w:val="NormalWeb"/>
        <w:spacing w:before="0" w:beforeAutospacing="0" w:after="0" w:afterAutospacing="0"/>
        <w:divId w:val="1533953530"/>
        <w:rPr>
          <w:rFonts w:ascii="Calibri" w:hAnsi="Calibri"/>
          <w:sz w:val="22"/>
          <w:szCs w:val="22"/>
        </w:rPr>
      </w:pPr>
    </w:p>
    <w:p w14:paraId="3179CF87" w14:textId="77777777" w:rsidR="00042B89" w:rsidRDefault="00042B89">
      <w:pPr>
        <w:pStyle w:val="NormalWeb"/>
        <w:spacing w:before="0" w:beforeAutospacing="0" w:after="0" w:afterAutospacing="0"/>
        <w:divId w:val="1533953530"/>
        <w:rPr>
          <w:rFonts w:ascii="Calibri" w:hAnsi="Calibri"/>
          <w:sz w:val="22"/>
          <w:szCs w:val="22"/>
        </w:rPr>
      </w:pPr>
    </w:p>
    <w:p w14:paraId="291B49AF" w14:textId="77777777" w:rsidR="00042B89" w:rsidRDefault="00042B89">
      <w:pPr>
        <w:pStyle w:val="NormalWeb"/>
        <w:spacing w:before="0" w:beforeAutospacing="0" w:after="0" w:afterAutospacing="0"/>
        <w:divId w:val="1533953530"/>
        <w:rPr>
          <w:rFonts w:ascii="Calibri" w:hAnsi="Calibri"/>
          <w:sz w:val="22"/>
          <w:szCs w:val="22"/>
        </w:rPr>
      </w:pPr>
    </w:p>
    <w:p w14:paraId="16E677AC" w14:textId="77777777" w:rsidR="00042B89" w:rsidRDefault="00042B89">
      <w:pPr>
        <w:pStyle w:val="NormalWeb"/>
        <w:spacing w:before="0" w:beforeAutospacing="0" w:after="0" w:afterAutospacing="0"/>
        <w:divId w:val="1533953530"/>
        <w:rPr>
          <w:rFonts w:ascii="Calibri" w:hAnsi="Calibri"/>
          <w:sz w:val="22"/>
          <w:szCs w:val="22"/>
        </w:rPr>
      </w:pPr>
    </w:p>
    <w:p w14:paraId="2289C4B2" w14:textId="77777777" w:rsidR="00042B89" w:rsidRDefault="00042B89">
      <w:pPr>
        <w:pStyle w:val="NormalWeb"/>
        <w:spacing w:before="0" w:beforeAutospacing="0" w:after="0" w:afterAutospacing="0"/>
        <w:divId w:val="1533953530"/>
        <w:rPr>
          <w:rFonts w:ascii="Calibri" w:hAnsi="Calibri"/>
          <w:sz w:val="22"/>
          <w:szCs w:val="22"/>
        </w:rPr>
      </w:pPr>
    </w:p>
    <w:p w14:paraId="1A4BB7E2" w14:textId="77777777" w:rsidR="00042B89" w:rsidRDefault="00042B89">
      <w:pPr>
        <w:pStyle w:val="NormalWeb"/>
        <w:spacing w:before="0" w:beforeAutospacing="0" w:after="0" w:afterAutospacing="0"/>
        <w:divId w:val="1533953530"/>
        <w:rPr>
          <w:rFonts w:ascii="Calibri" w:hAnsi="Calibri"/>
          <w:sz w:val="22"/>
          <w:szCs w:val="22"/>
        </w:rPr>
      </w:pPr>
    </w:p>
    <w:p w14:paraId="65DA1D0F" w14:textId="77777777" w:rsidR="00042B89" w:rsidRDefault="00042B89">
      <w:pPr>
        <w:pStyle w:val="NormalWeb"/>
        <w:spacing w:before="0" w:beforeAutospacing="0" w:after="0" w:afterAutospacing="0"/>
        <w:divId w:val="1533953530"/>
        <w:rPr>
          <w:rFonts w:ascii="Calibri" w:hAnsi="Calibri"/>
          <w:sz w:val="22"/>
          <w:szCs w:val="22"/>
        </w:rPr>
      </w:pPr>
    </w:p>
    <w:p w14:paraId="7B99BEFC" w14:textId="77777777" w:rsidR="00042B89" w:rsidRDefault="00042B89">
      <w:pPr>
        <w:pStyle w:val="NormalWeb"/>
        <w:spacing w:before="0" w:beforeAutospacing="0" w:after="0" w:afterAutospacing="0"/>
        <w:divId w:val="1533953530"/>
        <w:rPr>
          <w:rFonts w:ascii="Calibri" w:hAnsi="Calibri"/>
          <w:sz w:val="22"/>
          <w:szCs w:val="22"/>
        </w:rPr>
      </w:pPr>
    </w:p>
    <w:p w14:paraId="5440B106" w14:textId="31FC6BB4" w:rsidR="00042B89" w:rsidRDefault="00042B89">
      <w:pPr>
        <w:pStyle w:val="NormalWeb"/>
        <w:spacing w:before="0" w:beforeAutospacing="0" w:after="0" w:afterAutospacing="0"/>
        <w:divId w:val="1533953530"/>
        <w:rPr>
          <w:rFonts w:ascii="Calibri" w:hAnsi="Calibri"/>
          <w:sz w:val="22"/>
          <w:szCs w:val="22"/>
        </w:rPr>
      </w:pPr>
    </w:p>
    <w:p w14:paraId="3BBCB1EE" w14:textId="5102D39F" w:rsidR="00830AA3" w:rsidRDefault="00830AA3">
      <w:pPr>
        <w:pStyle w:val="NormalWeb"/>
        <w:spacing w:before="0" w:beforeAutospacing="0" w:after="0" w:afterAutospacing="0"/>
        <w:divId w:val="1533953530"/>
        <w:rPr>
          <w:rFonts w:ascii="Calibri" w:hAnsi="Calibri"/>
          <w:sz w:val="22"/>
          <w:szCs w:val="22"/>
        </w:rPr>
      </w:pPr>
    </w:p>
    <w:p w14:paraId="747D64A2" w14:textId="098A8DF2" w:rsidR="00830AA3" w:rsidRDefault="00830AA3">
      <w:pPr>
        <w:pStyle w:val="NormalWeb"/>
        <w:spacing w:before="0" w:beforeAutospacing="0" w:after="0" w:afterAutospacing="0"/>
        <w:divId w:val="1533953530"/>
        <w:rPr>
          <w:rFonts w:ascii="Calibri" w:hAnsi="Calibri"/>
          <w:sz w:val="22"/>
          <w:szCs w:val="22"/>
        </w:rPr>
      </w:pPr>
    </w:p>
    <w:p w14:paraId="23743064" w14:textId="3B713E00" w:rsidR="00830AA3" w:rsidRDefault="00830AA3">
      <w:pPr>
        <w:pStyle w:val="NormalWeb"/>
        <w:spacing w:before="0" w:beforeAutospacing="0" w:after="0" w:afterAutospacing="0"/>
        <w:divId w:val="1533953530"/>
        <w:rPr>
          <w:rFonts w:ascii="Calibri" w:hAnsi="Calibri"/>
          <w:sz w:val="22"/>
          <w:szCs w:val="22"/>
        </w:rPr>
      </w:pPr>
    </w:p>
    <w:p w14:paraId="02645F65" w14:textId="5FAC4D8D" w:rsidR="00830AA3" w:rsidRDefault="00830AA3">
      <w:pPr>
        <w:pStyle w:val="NormalWeb"/>
        <w:spacing w:before="0" w:beforeAutospacing="0" w:after="0" w:afterAutospacing="0"/>
        <w:divId w:val="1533953530"/>
        <w:rPr>
          <w:rFonts w:ascii="Calibri" w:hAnsi="Calibri"/>
          <w:sz w:val="22"/>
          <w:szCs w:val="22"/>
        </w:rPr>
      </w:pPr>
    </w:p>
    <w:p w14:paraId="70280C57" w14:textId="4B6E4896" w:rsidR="00830AA3" w:rsidRDefault="00830AA3">
      <w:pPr>
        <w:pStyle w:val="NormalWeb"/>
        <w:spacing w:before="0" w:beforeAutospacing="0" w:after="0" w:afterAutospacing="0"/>
        <w:divId w:val="1533953530"/>
        <w:rPr>
          <w:rFonts w:ascii="Calibri" w:hAnsi="Calibri"/>
          <w:sz w:val="22"/>
          <w:szCs w:val="22"/>
        </w:rPr>
      </w:pPr>
    </w:p>
    <w:p w14:paraId="60E37A62" w14:textId="11DADDEB" w:rsidR="00830AA3" w:rsidRDefault="00830AA3">
      <w:pPr>
        <w:pStyle w:val="NormalWeb"/>
        <w:spacing w:before="0" w:beforeAutospacing="0" w:after="0" w:afterAutospacing="0"/>
        <w:divId w:val="1533953530"/>
        <w:rPr>
          <w:rFonts w:ascii="Calibri" w:hAnsi="Calibri"/>
          <w:sz w:val="22"/>
          <w:szCs w:val="22"/>
        </w:rPr>
      </w:pPr>
    </w:p>
    <w:p w14:paraId="14802B75" w14:textId="140FEBFE" w:rsidR="00830AA3" w:rsidRDefault="00830AA3">
      <w:pPr>
        <w:pStyle w:val="NormalWeb"/>
        <w:spacing w:before="0" w:beforeAutospacing="0" w:after="0" w:afterAutospacing="0"/>
        <w:divId w:val="1533953530"/>
        <w:rPr>
          <w:rFonts w:ascii="Calibri" w:hAnsi="Calibri"/>
          <w:sz w:val="22"/>
          <w:szCs w:val="22"/>
        </w:rPr>
      </w:pPr>
    </w:p>
    <w:p w14:paraId="41DD2380" w14:textId="5BA7B021" w:rsidR="00830AA3" w:rsidRDefault="00830AA3">
      <w:pPr>
        <w:pStyle w:val="NormalWeb"/>
        <w:spacing w:before="0" w:beforeAutospacing="0" w:after="0" w:afterAutospacing="0"/>
        <w:divId w:val="1533953530"/>
        <w:rPr>
          <w:rFonts w:ascii="Calibri" w:hAnsi="Calibri"/>
          <w:sz w:val="22"/>
          <w:szCs w:val="22"/>
        </w:rPr>
      </w:pPr>
    </w:p>
    <w:p w14:paraId="4B1CB888" w14:textId="27E00B61" w:rsidR="00830AA3" w:rsidRDefault="00830AA3">
      <w:pPr>
        <w:pStyle w:val="NormalWeb"/>
        <w:spacing w:before="0" w:beforeAutospacing="0" w:after="0" w:afterAutospacing="0"/>
        <w:divId w:val="1533953530"/>
        <w:rPr>
          <w:rFonts w:ascii="Calibri" w:hAnsi="Calibri"/>
          <w:sz w:val="22"/>
          <w:szCs w:val="22"/>
        </w:rPr>
      </w:pPr>
    </w:p>
    <w:p w14:paraId="59215723" w14:textId="6F18BDD1" w:rsidR="00830AA3" w:rsidRDefault="00830AA3">
      <w:pPr>
        <w:pStyle w:val="NormalWeb"/>
        <w:spacing w:before="0" w:beforeAutospacing="0" w:after="0" w:afterAutospacing="0"/>
        <w:divId w:val="1533953530"/>
        <w:rPr>
          <w:rFonts w:ascii="Calibri" w:hAnsi="Calibri"/>
          <w:sz w:val="22"/>
          <w:szCs w:val="22"/>
        </w:rPr>
      </w:pPr>
    </w:p>
    <w:p w14:paraId="2336EE8B" w14:textId="0D6A0877" w:rsidR="00830AA3" w:rsidRDefault="00830AA3">
      <w:pPr>
        <w:pStyle w:val="NormalWeb"/>
        <w:spacing w:before="0" w:beforeAutospacing="0" w:after="0" w:afterAutospacing="0"/>
        <w:divId w:val="1533953530"/>
        <w:rPr>
          <w:rFonts w:ascii="Calibri" w:hAnsi="Calibri"/>
          <w:sz w:val="22"/>
          <w:szCs w:val="22"/>
        </w:rPr>
      </w:pPr>
    </w:p>
    <w:p w14:paraId="37D37906" w14:textId="46D6B312" w:rsidR="00830AA3" w:rsidRDefault="00830AA3">
      <w:pPr>
        <w:pStyle w:val="NormalWeb"/>
        <w:spacing w:before="0" w:beforeAutospacing="0" w:after="0" w:afterAutospacing="0"/>
        <w:divId w:val="1533953530"/>
        <w:rPr>
          <w:rFonts w:ascii="Calibri" w:hAnsi="Calibri"/>
          <w:sz w:val="22"/>
          <w:szCs w:val="22"/>
        </w:rPr>
      </w:pPr>
    </w:p>
    <w:p w14:paraId="35A095DA" w14:textId="6CA19DA4" w:rsidR="00830AA3" w:rsidRDefault="00830AA3">
      <w:pPr>
        <w:pStyle w:val="NormalWeb"/>
        <w:spacing w:before="0" w:beforeAutospacing="0" w:after="0" w:afterAutospacing="0"/>
        <w:divId w:val="1533953530"/>
        <w:rPr>
          <w:rFonts w:ascii="Calibri" w:hAnsi="Calibri"/>
          <w:sz w:val="22"/>
          <w:szCs w:val="22"/>
        </w:rPr>
      </w:pPr>
    </w:p>
    <w:p w14:paraId="0F29876E" w14:textId="473D3B56" w:rsidR="00830AA3" w:rsidRDefault="00830AA3">
      <w:pPr>
        <w:pStyle w:val="NormalWeb"/>
        <w:spacing w:before="0" w:beforeAutospacing="0" w:after="0" w:afterAutospacing="0"/>
        <w:divId w:val="1533953530"/>
        <w:rPr>
          <w:rFonts w:ascii="Calibri" w:hAnsi="Calibri"/>
          <w:sz w:val="22"/>
          <w:szCs w:val="22"/>
        </w:rPr>
      </w:pPr>
    </w:p>
    <w:p w14:paraId="131A2ACF" w14:textId="6DE9157F" w:rsidR="00830AA3" w:rsidRDefault="00830AA3">
      <w:pPr>
        <w:pStyle w:val="NormalWeb"/>
        <w:spacing w:before="0" w:beforeAutospacing="0" w:after="0" w:afterAutospacing="0"/>
        <w:divId w:val="1533953530"/>
        <w:rPr>
          <w:rFonts w:ascii="Calibri" w:hAnsi="Calibri"/>
          <w:sz w:val="22"/>
          <w:szCs w:val="22"/>
        </w:rPr>
      </w:pPr>
    </w:p>
    <w:p w14:paraId="21EAA239" w14:textId="415E2C90" w:rsidR="00830AA3" w:rsidRDefault="00830AA3">
      <w:pPr>
        <w:pStyle w:val="NormalWeb"/>
        <w:spacing w:before="0" w:beforeAutospacing="0" w:after="0" w:afterAutospacing="0"/>
        <w:divId w:val="1533953530"/>
        <w:rPr>
          <w:rFonts w:ascii="Calibri" w:hAnsi="Calibri"/>
          <w:sz w:val="22"/>
          <w:szCs w:val="22"/>
        </w:rPr>
      </w:pPr>
    </w:p>
    <w:p w14:paraId="54E07192" w14:textId="4171BF09" w:rsidR="00830AA3" w:rsidRDefault="00830AA3">
      <w:pPr>
        <w:pStyle w:val="NormalWeb"/>
        <w:spacing w:before="0" w:beforeAutospacing="0" w:after="0" w:afterAutospacing="0"/>
        <w:divId w:val="1533953530"/>
        <w:rPr>
          <w:rFonts w:ascii="Calibri" w:hAnsi="Calibri"/>
          <w:sz w:val="22"/>
          <w:szCs w:val="22"/>
        </w:rPr>
      </w:pPr>
    </w:p>
    <w:p w14:paraId="43BAA3AC" w14:textId="6A25CA6F" w:rsidR="00830AA3" w:rsidRDefault="00830AA3">
      <w:pPr>
        <w:pStyle w:val="NormalWeb"/>
        <w:spacing w:before="0" w:beforeAutospacing="0" w:after="0" w:afterAutospacing="0"/>
        <w:divId w:val="1533953530"/>
        <w:rPr>
          <w:rFonts w:ascii="Calibri" w:hAnsi="Calibri"/>
          <w:sz w:val="22"/>
          <w:szCs w:val="22"/>
        </w:rPr>
      </w:pPr>
    </w:p>
    <w:p w14:paraId="46D3F311" w14:textId="4C20BED9" w:rsidR="00830AA3" w:rsidRDefault="00830AA3">
      <w:pPr>
        <w:pStyle w:val="NormalWeb"/>
        <w:spacing w:before="0" w:beforeAutospacing="0" w:after="0" w:afterAutospacing="0"/>
        <w:divId w:val="1533953530"/>
        <w:rPr>
          <w:rFonts w:ascii="Calibri" w:hAnsi="Calibri"/>
          <w:sz w:val="22"/>
          <w:szCs w:val="22"/>
        </w:rPr>
      </w:pPr>
    </w:p>
    <w:p w14:paraId="1F466559" w14:textId="6AAACAFD" w:rsidR="00830AA3" w:rsidRDefault="00830AA3">
      <w:pPr>
        <w:pStyle w:val="NormalWeb"/>
        <w:spacing w:before="0" w:beforeAutospacing="0" w:after="0" w:afterAutospacing="0"/>
        <w:divId w:val="1533953530"/>
        <w:rPr>
          <w:rFonts w:ascii="Calibri" w:hAnsi="Calibri"/>
          <w:sz w:val="22"/>
          <w:szCs w:val="22"/>
        </w:rPr>
      </w:pPr>
    </w:p>
    <w:p w14:paraId="353A4CF0" w14:textId="18A664CA" w:rsidR="00830AA3" w:rsidRDefault="00830AA3">
      <w:pPr>
        <w:pStyle w:val="NormalWeb"/>
        <w:spacing w:before="0" w:beforeAutospacing="0" w:after="0" w:afterAutospacing="0"/>
        <w:divId w:val="1533953530"/>
        <w:rPr>
          <w:rFonts w:ascii="Calibri" w:hAnsi="Calibri"/>
          <w:sz w:val="22"/>
          <w:szCs w:val="22"/>
        </w:rPr>
      </w:pPr>
    </w:p>
    <w:p w14:paraId="42754571" w14:textId="77777777" w:rsidR="00830AA3" w:rsidRDefault="00830AA3">
      <w:pPr>
        <w:pStyle w:val="NormalWeb"/>
        <w:spacing w:before="0" w:beforeAutospacing="0" w:after="0" w:afterAutospacing="0"/>
        <w:divId w:val="1533953530"/>
        <w:rPr>
          <w:rFonts w:ascii="Calibri" w:hAnsi="Calibri"/>
          <w:sz w:val="22"/>
          <w:szCs w:val="22"/>
        </w:rPr>
      </w:pPr>
      <w:bookmarkStart w:id="0" w:name="_GoBack"/>
      <w:bookmarkEnd w:id="0"/>
    </w:p>
    <w:p w14:paraId="50D4072C" w14:textId="77777777" w:rsidR="00042B89" w:rsidRDefault="00042B89">
      <w:pPr>
        <w:pStyle w:val="NormalWeb"/>
        <w:spacing w:before="0" w:beforeAutospacing="0" w:after="0" w:afterAutospacing="0"/>
        <w:divId w:val="1533953530"/>
        <w:rPr>
          <w:rFonts w:ascii="Calibri" w:hAnsi="Calibri"/>
          <w:sz w:val="22"/>
          <w:szCs w:val="22"/>
        </w:rPr>
      </w:pPr>
      <w:r>
        <w:rPr>
          <w:rFonts w:ascii="Calibri" w:hAnsi="Calibri"/>
          <w:b/>
          <w:bCs/>
          <w:sz w:val="22"/>
          <w:szCs w:val="22"/>
        </w:rPr>
        <w:t>Reference List:</w:t>
      </w:r>
    </w:p>
    <w:p w14:paraId="71241493" w14:textId="77777777" w:rsidR="00042B89" w:rsidRDefault="00042B89">
      <w:pPr>
        <w:pStyle w:val="NormalWeb"/>
        <w:spacing w:before="0" w:beforeAutospacing="0" w:after="0" w:afterAutospacing="0"/>
        <w:divId w:val="1533953530"/>
        <w:rPr>
          <w:rFonts w:ascii="Calibri" w:hAnsi="Calibri"/>
          <w:sz w:val="22"/>
          <w:szCs w:val="22"/>
        </w:rPr>
      </w:pPr>
      <w:r>
        <w:rPr>
          <w:rFonts w:ascii="Calibri" w:hAnsi="Calibri"/>
          <w:sz w:val="22"/>
          <w:szCs w:val="22"/>
        </w:rPr>
        <w:t>Baker, H. D (2007). “</w:t>
      </w:r>
      <w:r>
        <w:rPr>
          <w:rFonts w:ascii="Calibri" w:hAnsi="Calibri"/>
          <w:i/>
          <w:iCs/>
          <w:sz w:val="22"/>
          <w:szCs w:val="22"/>
        </w:rPr>
        <w:t>Urban Form in the First Millennium BC</w:t>
      </w:r>
      <w:r>
        <w:rPr>
          <w:rFonts w:ascii="Calibri" w:hAnsi="Calibri"/>
          <w:sz w:val="22"/>
          <w:szCs w:val="22"/>
        </w:rPr>
        <w:t xml:space="preserve">”. In </w:t>
      </w:r>
      <w:proofErr w:type="spellStart"/>
      <w:r>
        <w:rPr>
          <w:rFonts w:ascii="Calibri" w:hAnsi="Calibri"/>
          <w:sz w:val="22"/>
          <w:szCs w:val="22"/>
        </w:rPr>
        <w:t>Leick</w:t>
      </w:r>
      <w:proofErr w:type="spellEnd"/>
      <w:r>
        <w:rPr>
          <w:rFonts w:ascii="Calibri" w:hAnsi="Calibri"/>
          <w:sz w:val="22"/>
          <w:szCs w:val="22"/>
        </w:rPr>
        <w:t>, G. (</w:t>
      </w:r>
      <w:proofErr w:type="spellStart"/>
      <w:r>
        <w:rPr>
          <w:rFonts w:ascii="Calibri" w:hAnsi="Calibri"/>
          <w:sz w:val="22"/>
          <w:szCs w:val="22"/>
        </w:rPr>
        <w:t>Eds</w:t>
      </w:r>
      <w:proofErr w:type="spellEnd"/>
      <w:r>
        <w:rPr>
          <w:rFonts w:ascii="Calibri" w:hAnsi="Calibri"/>
          <w:sz w:val="22"/>
          <w:szCs w:val="22"/>
        </w:rPr>
        <w:t xml:space="preserve">). </w:t>
      </w:r>
      <w:r>
        <w:rPr>
          <w:rFonts w:ascii="Calibri" w:hAnsi="Calibri"/>
          <w:i/>
          <w:iCs/>
          <w:sz w:val="22"/>
          <w:szCs w:val="22"/>
        </w:rPr>
        <w:t>The Babylonian World</w:t>
      </w:r>
      <w:r>
        <w:rPr>
          <w:rFonts w:ascii="Calibri" w:hAnsi="Calibri"/>
          <w:sz w:val="22"/>
          <w:szCs w:val="22"/>
        </w:rPr>
        <w:t xml:space="preserve">. New York: Routledge. </w:t>
      </w:r>
    </w:p>
    <w:p w14:paraId="10363355" w14:textId="77777777" w:rsidR="00042B89" w:rsidRDefault="00042B89">
      <w:pPr>
        <w:pStyle w:val="NormalWeb"/>
        <w:spacing w:before="0" w:beforeAutospacing="0" w:after="0" w:afterAutospacing="0"/>
        <w:divId w:val="1533953530"/>
        <w:rPr>
          <w:rFonts w:ascii="Calibri" w:hAnsi="Calibri"/>
          <w:sz w:val="22"/>
          <w:szCs w:val="22"/>
        </w:rPr>
      </w:pPr>
      <w:r>
        <w:rPr>
          <w:rFonts w:ascii="Calibri" w:hAnsi="Calibri"/>
          <w:sz w:val="22"/>
          <w:szCs w:val="22"/>
        </w:rPr>
        <w:t>British Museum: EA 714.</w:t>
      </w:r>
    </w:p>
    <w:p w14:paraId="0A5BF4F6" w14:textId="77777777" w:rsidR="00042B89" w:rsidRDefault="00042B89">
      <w:pPr>
        <w:pStyle w:val="NormalWeb"/>
        <w:spacing w:before="0" w:beforeAutospacing="0" w:after="0" w:afterAutospacing="0"/>
        <w:divId w:val="844897809"/>
        <w:rPr>
          <w:rFonts w:ascii="Calibri" w:hAnsi="Calibri"/>
          <w:sz w:val="22"/>
          <w:szCs w:val="22"/>
        </w:rPr>
      </w:pPr>
      <w:proofErr w:type="spellStart"/>
      <w:r>
        <w:rPr>
          <w:rFonts w:ascii="Calibri" w:hAnsi="Calibri"/>
          <w:sz w:val="22"/>
          <w:szCs w:val="22"/>
        </w:rPr>
        <w:t>Groneberg</w:t>
      </w:r>
      <w:proofErr w:type="spellEnd"/>
      <w:r>
        <w:rPr>
          <w:rFonts w:ascii="Calibri" w:hAnsi="Calibri"/>
          <w:sz w:val="22"/>
          <w:szCs w:val="22"/>
        </w:rPr>
        <w:t>, B (2007). “</w:t>
      </w:r>
      <w:r>
        <w:rPr>
          <w:rFonts w:ascii="Calibri" w:hAnsi="Calibri"/>
          <w:i/>
          <w:iCs/>
          <w:sz w:val="22"/>
          <w:szCs w:val="22"/>
        </w:rPr>
        <w:t>The Role and Function of Goddesses in Mesopotamia</w:t>
      </w:r>
      <w:r>
        <w:rPr>
          <w:rFonts w:ascii="Calibri" w:hAnsi="Calibri"/>
          <w:sz w:val="22"/>
          <w:szCs w:val="22"/>
        </w:rPr>
        <w:t xml:space="preserve">”. In </w:t>
      </w:r>
      <w:proofErr w:type="spellStart"/>
      <w:r>
        <w:rPr>
          <w:rFonts w:ascii="Calibri" w:hAnsi="Calibri"/>
          <w:sz w:val="22"/>
          <w:szCs w:val="22"/>
        </w:rPr>
        <w:t>Leick</w:t>
      </w:r>
      <w:proofErr w:type="spellEnd"/>
      <w:r>
        <w:rPr>
          <w:rFonts w:ascii="Calibri" w:hAnsi="Calibri"/>
          <w:sz w:val="22"/>
          <w:szCs w:val="22"/>
        </w:rPr>
        <w:t>, G. (</w:t>
      </w:r>
      <w:proofErr w:type="spellStart"/>
      <w:r>
        <w:rPr>
          <w:rFonts w:ascii="Calibri" w:hAnsi="Calibri"/>
          <w:sz w:val="22"/>
          <w:szCs w:val="22"/>
        </w:rPr>
        <w:t>Eds</w:t>
      </w:r>
      <w:proofErr w:type="spellEnd"/>
      <w:r>
        <w:rPr>
          <w:rFonts w:ascii="Calibri" w:hAnsi="Calibri"/>
          <w:sz w:val="22"/>
          <w:szCs w:val="22"/>
        </w:rPr>
        <w:t xml:space="preserve">). </w:t>
      </w:r>
      <w:r>
        <w:rPr>
          <w:rFonts w:ascii="Calibri" w:hAnsi="Calibri"/>
          <w:i/>
          <w:iCs/>
          <w:sz w:val="22"/>
          <w:szCs w:val="22"/>
        </w:rPr>
        <w:t>The Babylonian World</w:t>
      </w:r>
      <w:r>
        <w:rPr>
          <w:rFonts w:ascii="Calibri" w:hAnsi="Calibri"/>
          <w:sz w:val="22"/>
          <w:szCs w:val="22"/>
        </w:rPr>
        <w:t xml:space="preserve">. New York: Routledge. </w:t>
      </w:r>
    </w:p>
    <w:p w14:paraId="04D133DF"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History (2019) </w:t>
      </w:r>
      <w:r>
        <w:rPr>
          <w:rFonts w:ascii="Calibri" w:hAnsi="Calibri"/>
          <w:i/>
          <w:iCs/>
          <w:sz w:val="22"/>
          <w:szCs w:val="22"/>
        </w:rPr>
        <w:t>Babylonia</w:t>
      </w:r>
      <w:r>
        <w:rPr>
          <w:rFonts w:ascii="Calibri" w:hAnsi="Calibri"/>
          <w:sz w:val="22"/>
          <w:szCs w:val="22"/>
        </w:rPr>
        <w:t xml:space="preserve">. Available at: </w:t>
      </w:r>
      <w:hyperlink r:id="rId4" w:tgtFrame="_blank" w:history="1">
        <w:r>
          <w:rPr>
            <w:rStyle w:val="qowt-stl-hyperlink"/>
            <w:rFonts w:ascii="Calibri" w:hAnsi="Calibri"/>
            <w:color w:val="0563C1"/>
            <w:sz w:val="22"/>
            <w:szCs w:val="22"/>
            <w:u w:val="single"/>
          </w:rPr>
          <w:t>https://www.history.com/topics/ancient-middle-east/babylonia</w:t>
        </w:r>
      </w:hyperlink>
      <w:r>
        <w:rPr>
          <w:rFonts w:ascii="Calibri" w:hAnsi="Calibri"/>
          <w:sz w:val="22"/>
          <w:szCs w:val="22"/>
        </w:rPr>
        <w:t xml:space="preserve">. Accessed: 6/11/2019. </w:t>
      </w:r>
    </w:p>
    <w:p w14:paraId="68BFB5D2" w14:textId="77777777" w:rsidR="00042B89" w:rsidRDefault="00042B89">
      <w:pPr>
        <w:pStyle w:val="NormalWeb"/>
        <w:spacing w:before="0" w:beforeAutospacing="0" w:after="0" w:afterAutospacing="0"/>
        <w:divId w:val="844897809"/>
        <w:rPr>
          <w:rFonts w:ascii="Calibri" w:hAnsi="Calibri"/>
          <w:sz w:val="22"/>
          <w:szCs w:val="22"/>
        </w:rPr>
      </w:pPr>
      <w:proofErr w:type="spellStart"/>
      <w:r>
        <w:rPr>
          <w:rFonts w:ascii="Calibri" w:hAnsi="Calibri"/>
          <w:sz w:val="22"/>
          <w:szCs w:val="22"/>
        </w:rPr>
        <w:t>Jursa</w:t>
      </w:r>
      <w:proofErr w:type="spellEnd"/>
      <w:r>
        <w:rPr>
          <w:rFonts w:ascii="Calibri" w:hAnsi="Calibri"/>
          <w:sz w:val="22"/>
          <w:szCs w:val="22"/>
        </w:rPr>
        <w:t>, M (2007). “</w:t>
      </w:r>
      <w:r>
        <w:rPr>
          <w:rFonts w:ascii="Calibri" w:hAnsi="Calibri"/>
          <w:i/>
          <w:iCs/>
          <w:sz w:val="22"/>
          <w:szCs w:val="22"/>
        </w:rPr>
        <w:t>The Babylonian Economy in the First Millennium BC</w:t>
      </w:r>
      <w:r>
        <w:rPr>
          <w:rFonts w:ascii="Calibri" w:hAnsi="Calibri"/>
          <w:sz w:val="22"/>
          <w:szCs w:val="22"/>
        </w:rPr>
        <w:t xml:space="preserve">”. In </w:t>
      </w:r>
      <w:proofErr w:type="spellStart"/>
      <w:r>
        <w:rPr>
          <w:rFonts w:ascii="Calibri" w:hAnsi="Calibri"/>
          <w:sz w:val="22"/>
          <w:szCs w:val="22"/>
        </w:rPr>
        <w:t>Leick</w:t>
      </w:r>
      <w:proofErr w:type="spellEnd"/>
      <w:r>
        <w:rPr>
          <w:rFonts w:ascii="Calibri" w:hAnsi="Calibri"/>
          <w:sz w:val="22"/>
          <w:szCs w:val="22"/>
        </w:rPr>
        <w:t>, G. (</w:t>
      </w:r>
      <w:proofErr w:type="spellStart"/>
      <w:r>
        <w:rPr>
          <w:rFonts w:ascii="Calibri" w:hAnsi="Calibri"/>
          <w:sz w:val="22"/>
          <w:szCs w:val="22"/>
        </w:rPr>
        <w:t>Eds</w:t>
      </w:r>
      <w:proofErr w:type="spellEnd"/>
      <w:r>
        <w:rPr>
          <w:rFonts w:ascii="Calibri" w:hAnsi="Calibri"/>
          <w:sz w:val="22"/>
          <w:szCs w:val="22"/>
        </w:rPr>
        <w:t xml:space="preserve">). </w:t>
      </w:r>
      <w:r>
        <w:rPr>
          <w:rFonts w:ascii="Calibri" w:hAnsi="Calibri"/>
          <w:i/>
          <w:iCs/>
          <w:sz w:val="22"/>
          <w:szCs w:val="22"/>
        </w:rPr>
        <w:t>The Babylonian World</w:t>
      </w:r>
      <w:r>
        <w:rPr>
          <w:rFonts w:ascii="Calibri" w:hAnsi="Calibri"/>
          <w:sz w:val="22"/>
          <w:szCs w:val="22"/>
        </w:rPr>
        <w:t xml:space="preserve">. New York: Routledge. </w:t>
      </w:r>
    </w:p>
    <w:p w14:paraId="1DAF21E4" w14:textId="77777777" w:rsidR="00042B89" w:rsidRDefault="00042B89">
      <w:pPr>
        <w:pStyle w:val="NormalWeb"/>
        <w:spacing w:before="0" w:beforeAutospacing="0" w:after="0" w:afterAutospacing="0"/>
        <w:divId w:val="844897809"/>
        <w:rPr>
          <w:rFonts w:ascii="Calibri" w:hAnsi="Calibri"/>
          <w:sz w:val="22"/>
          <w:szCs w:val="22"/>
        </w:rPr>
      </w:pPr>
      <w:proofErr w:type="spellStart"/>
      <w:r>
        <w:rPr>
          <w:rFonts w:ascii="Calibri" w:hAnsi="Calibri"/>
          <w:sz w:val="22"/>
          <w:szCs w:val="22"/>
        </w:rPr>
        <w:t>Kriwaczek</w:t>
      </w:r>
      <w:proofErr w:type="spellEnd"/>
      <w:r>
        <w:rPr>
          <w:rFonts w:ascii="Calibri" w:hAnsi="Calibri"/>
          <w:sz w:val="22"/>
          <w:szCs w:val="22"/>
        </w:rPr>
        <w:t xml:space="preserve">, P (2010). </w:t>
      </w:r>
      <w:r>
        <w:rPr>
          <w:rFonts w:ascii="Calibri" w:hAnsi="Calibri"/>
          <w:i/>
          <w:iCs/>
          <w:sz w:val="22"/>
          <w:szCs w:val="22"/>
        </w:rPr>
        <w:t>Babylon, Mesopotamia and the Birth of Civilization</w:t>
      </w:r>
      <w:r>
        <w:rPr>
          <w:rFonts w:ascii="Calibri" w:hAnsi="Calibri"/>
          <w:sz w:val="22"/>
          <w:szCs w:val="22"/>
        </w:rPr>
        <w:t>. London: Atlantic Books Ltd.</w:t>
      </w:r>
    </w:p>
    <w:p w14:paraId="62B3F12E"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Levine, B. A (2007). “</w:t>
      </w:r>
      <w:r>
        <w:rPr>
          <w:rFonts w:ascii="Calibri" w:hAnsi="Calibri"/>
          <w:i/>
          <w:iCs/>
          <w:sz w:val="22"/>
          <w:szCs w:val="22"/>
        </w:rPr>
        <w:t>The View of Jerusalem Biblical Responses to the Babylonian Presence</w:t>
      </w:r>
      <w:r>
        <w:rPr>
          <w:rFonts w:ascii="Calibri" w:hAnsi="Calibri"/>
          <w:sz w:val="22"/>
          <w:szCs w:val="22"/>
        </w:rPr>
        <w:t xml:space="preserve">”. In </w:t>
      </w:r>
      <w:proofErr w:type="spellStart"/>
      <w:r>
        <w:rPr>
          <w:rFonts w:ascii="Calibri" w:hAnsi="Calibri"/>
          <w:sz w:val="22"/>
          <w:szCs w:val="22"/>
        </w:rPr>
        <w:t>Leick</w:t>
      </w:r>
      <w:proofErr w:type="spellEnd"/>
      <w:r>
        <w:rPr>
          <w:rFonts w:ascii="Calibri" w:hAnsi="Calibri"/>
          <w:sz w:val="22"/>
          <w:szCs w:val="22"/>
        </w:rPr>
        <w:t>, G. (</w:t>
      </w:r>
      <w:proofErr w:type="spellStart"/>
      <w:r>
        <w:rPr>
          <w:rFonts w:ascii="Calibri" w:hAnsi="Calibri"/>
          <w:sz w:val="22"/>
          <w:szCs w:val="22"/>
        </w:rPr>
        <w:t>Eds</w:t>
      </w:r>
      <w:proofErr w:type="spellEnd"/>
      <w:r>
        <w:rPr>
          <w:rFonts w:ascii="Calibri" w:hAnsi="Calibri"/>
          <w:sz w:val="22"/>
          <w:szCs w:val="22"/>
        </w:rPr>
        <w:t xml:space="preserve">). </w:t>
      </w:r>
      <w:r>
        <w:rPr>
          <w:rFonts w:ascii="Calibri" w:hAnsi="Calibri"/>
          <w:i/>
          <w:iCs/>
          <w:sz w:val="22"/>
          <w:szCs w:val="22"/>
        </w:rPr>
        <w:t>The Babylonian World</w:t>
      </w:r>
      <w:r>
        <w:rPr>
          <w:rFonts w:ascii="Calibri" w:hAnsi="Calibri"/>
          <w:sz w:val="22"/>
          <w:szCs w:val="22"/>
        </w:rPr>
        <w:t xml:space="preserve">. New York: Routledge. </w:t>
      </w:r>
    </w:p>
    <w:p w14:paraId="2C386B3F"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Mark, J. J (2011). </w:t>
      </w:r>
      <w:r>
        <w:rPr>
          <w:rFonts w:ascii="Calibri" w:hAnsi="Calibri"/>
          <w:i/>
          <w:iCs/>
          <w:sz w:val="22"/>
          <w:szCs w:val="22"/>
        </w:rPr>
        <w:t>Babylon</w:t>
      </w:r>
      <w:r>
        <w:rPr>
          <w:rFonts w:ascii="Calibri" w:hAnsi="Calibri"/>
          <w:sz w:val="22"/>
          <w:szCs w:val="22"/>
        </w:rPr>
        <w:t xml:space="preserve">. Ancient History </w:t>
      </w:r>
      <w:proofErr w:type="spellStart"/>
      <w:r>
        <w:rPr>
          <w:rFonts w:ascii="Calibri" w:hAnsi="Calibri"/>
          <w:sz w:val="22"/>
          <w:szCs w:val="22"/>
        </w:rPr>
        <w:t>Encyclopedia</w:t>
      </w:r>
      <w:proofErr w:type="spellEnd"/>
      <w:r>
        <w:rPr>
          <w:rFonts w:ascii="Calibri" w:hAnsi="Calibri"/>
          <w:sz w:val="22"/>
          <w:szCs w:val="22"/>
        </w:rPr>
        <w:t xml:space="preserve">. Available at: </w:t>
      </w:r>
      <w:hyperlink r:id="rId5" w:tgtFrame="_blank" w:history="1">
        <w:r>
          <w:rPr>
            <w:rStyle w:val="qowt-stl-hyperlink"/>
            <w:rFonts w:ascii="Calibri" w:hAnsi="Calibri"/>
            <w:color w:val="0563C1"/>
            <w:sz w:val="22"/>
            <w:szCs w:val="22"/>
            <w:u w:val="single"/>
          </w:rPr>
          <w:t>https://www.ancient.eu/babylon/</w:t>
        </w:r>
      </w:hyperlink>
      <w:r>
        <w:rPr>
          <w:rFonts w:ascii="Calibri" w:hAnsi="Calibri"/>
          <w:sz w:val="22"/>
          <w:szCs w:val="22"/>
        </w:rPr>
        <w:t>. Accessed 6/11/2019.</w:t>
      </w:r>
    </w:p>
    <w:p w14:paraId="0B771B31"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Oats, J (1979). </w:t>
      </w:r>
      <w:r>
        <w:rPr>
          <w:rFonts w:ascii="Calibri" w:hAnsi="Calibri"/>
          <w:i/>
          <w:iCs/>
          <w:sz w:val="22"/>
          <w:szCs w:val="22"/>
        </w:rPr>
        <w:t>Babylon</w:t>
      </w:r>
      <w:r>
        <w:rPr>
          <w:rFonts w:ascii="Calibri" w:hAnsi="Calibri"/>
          <w:sz w:val="22"/>
          <w:szCs w:val="22"/>
        </w:rPr>
        <w:t>. London: Thomas and Hudson Ltd.</w:t>
      </w:r>
    </w:p>
    <w:p w14:paraId="735AEF54"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Ancient Mesopotamia Gods and Goddess Project (2011). </w:t>
      </w:r>
      <w:r>
        <w:rPr>
          <w:rFonts w:ascii="Calibri" w:hAnsi="Calibri"/>
          <w:i/>
          <w:iCs/>
          <w:sz w:val="22"/>
          <w:szCs w:val="22"/>
        </w:rPr>
        <w:t>Ancient Mesopotamia Gods and Goddess</w:t>
      </w:r>
      <w:r>
        <w:rPr>
          <w:rFonts w:ascii="Calibri" w:hAnsi="Calibri"/>
          <w:sz w:val="22"/>
          <w:szCs w:val="22"/>
        </w:rPr>
        <w:t xml:space="preserve">. Available at: </w:t>
      </w:r>
      <w:hyperlink r:id="rId6" w:tgtFrame="_blank" w:history="1">
        <w:r>
          <w:rPr>
            <w:rStyle w:val="qowt-stl-hyperlink"/>
            <w:rFonts w:ascii="Calibri" w:hAnsi="Calibri"/>
            <w:color w:val="0563C1"/>
            <w:sz w:val="22"/>
            <w:szCs w:val="22"/>
            <w:u w:val="single"/>
          </w:rPr>
          <w:t>https://www.oracc.museum.upenn.edu/amgg/listofdeities/mabu/index.html</w:t>
        </w:r>
      </w:hyperlink>
      <w:r>
        <w:rPr>
          <w:rFonts w:ascii="Calibri" w:hAnsi="Calibri"/>
          <w:sz w:val="22"/>
          <w:szCs w:val="22"/>
        </w:rPr>
        <w:t>. Accessed: 7/11/2019.</w:t>
      </w:r>
    </w:p>
    <w:p w14:paraId="029C6321"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Seri, A. (2012). </w:t>
      </w:r>
      <w:r>
        <w:rPr>
          <w:rFonts w:ascii="Calibri" w:hAnsi="Calibri"/>
          <w:i/>
          <w:iCs/>
          <w:sz w:val="22"/>
          <w:szCs w:val="22"/>
        </w:rPr>
        <w:t>Local Power in Old Babylon Mesopotamia</w:t>
      </w:r>
      <w:r>
        <w:rPr>
          <w:rFonts w:ascii="Calibri" w:hAnsi="Calibri"/>
          <w:sz w:val="22"/>
          <w:szCs w:val="22"/>
        </w:rPr>
        <w:t>. Sheffield: Equinox Publishing Ltd.</w:t>
      </w:r>
    </w:p>
    <w:p w14:paraId="449394F9"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Taylor, J. (2007). </w:t>
      </w:r>
      <w:r>
        <w:rPr>
          <w:rFonts w:ascii="Calibri" w:hAnsi="Calibri"/>
          <w:i/>
          <w:iCs/>
          <w:sz w:val="22"/>
          <w:szCs w:val="22"/>
        </w:rPr>
        <w:t>“Babylonian Lists of Words and Signs”</w:t>
      </w:r>
      <w:r>
        <w:rPr>
          <w:rFonts w:ascii="Calibri" w:hAnsi="Calibri"/>
          <w:sz w:val="22"/>
          <w:szCs w:val="22"/>
        </w:rPr>
        <w:t xml:space="preserve">. In </w:t>
      </w:r>
      <w:proofErr w:type="spellStart"/>
      <w:r>
        <w:rPr>
          <w:rFonts w:ascii="Calibri" w:hAnsi="Calibri"/>
          <w:sz w:val="22"/>
          <w:szCs w:val="22"/>
        </w:rPr>
        <w:t>Leick</w:t>
      </w:r>
      <w:proofErr w:type="spellEnd"/>
      <w:r>
        <w:rPr>
          <w:rFonts w:ascii="Calibri" w:hAnsi="Calibri"/>
          <w:sz w:val="22"/>
          <w:szCs w:val="22"/>
        </w:rPr>
        <w:t>, G. (</w:t>
      </w:r>
      <w:proofErr w:type="spellStart"/>
      <w:r>
        <w:rPr>
          <w:rFonts w:ascii="Calibri" w:hAnsi="Calibri"/>
          <w:sz w:val="22"/>
          <w:szCs w:val="22"/>
        </w:rPr>
        <w:t>Eds</w:t>
      </w:r>
      <w:proofErr w:type="spellEnd"/>
      <w:r>
        <w:rPr>
          <w:rFonts w:ascii="Calibri" w:hAnsi="Calibri"/>
          <w:sz w:val="22"/>
          <w:szCs w:val="22"/>
        </w:rPr>
        <w:t xml:space="preserve">). </w:t>
      </w:r>
      <w:r>
        <w:rPr>
          <w:rFonts w:ascii="Calibri" w:hAnsi="Calibri"/>
          <w:i/>
          <w:iCs/>
          <w:sz w:val="22"/>
          <w:szCs w:val="22"/>
        </w:rPr>
        <w:t>The Babylonian World</w:t>
      </w:r>
      <w:r>
        <w:rPr>
          <w:rFonts w:ascii="Calibri" w:hAnsi="Calibri"/>
          <w:sz w:val="22"/>
          <w:szCs w:val="22"/>
        </w:rPr>
        <w:t xml:space="preserve">. New York: Routledge. </w:t>
      </w:r>
    </w:p>
    <w:p w14:paraId="6CC6DFD6" w14:textId="77777777" w:rsidR="00042B89" w:rsidRDefault="00042B89">
      <w:pPr>
        <w:pStyle w:val="NormalWeb"/>
        <w:spacing w:before="0" w:beforeAutospacing="0" w:after="0" w:afterAutospacing="0"/>
        <w:divId w:val="844897809"/>
        <w:rPr>
          <w:rFonts w:ascii="Calibri" w:hAnsi="Calibri"/>
          <w:sz w:val="22"/>
          <w:szCs w:val="22"/>
        </w:rPr>
      </w:pPr>
      <w:r>
        <w:rPr>
          <w:rFonts w:ascii="Calibri" w:hAnsi="Calibri"/>
          <w:sz w:val="22"/>
          <w:szCs w:val="22"/>
        </w:rPr>
        <w:t xml:space="preserve">Trigger, B. G (1995). </w:t>
      </w:r>
      <w:r>
        <w:rPr>
          <w:rFonts w:ascii="Calibri" w:hAnsi="Calibri"/>
          <w:i/>
          <w:iCs/>
          <w:sz w:val="22"/>
          <w:szCs w:val="22"/>
        </w:rPr>
        <w:t>Early Civilizations: Ancient Egypt in Context</w:t>
      </w:r>
      <w:r>
        <w:rPr>
          <w:rFonts w:ascii="Calibri" w:hAnsi="Calibri"/>
          <w:sz w:val="22"/>
          <w:szCs w:val="22"/>
        </w:rPr>
        <w:t xml:space="preserve">. Cairo: American University in Cairo Press. </w:t>
      </w:r>
    </w:p>
    <w:p w14:paraId="2485FB3F" w14:textId="77777777" w:rsidR="00042B89" w:rsidRDefault="00042B89">
      <w:pPr>
        <w:pStyle w:val="NormalWeb"/>
        <w:spacing w:before="0" w:beforeAutospacing="0" w:after="0" w:afterAutospacing="0"/>
        <w:divId w:val="844897809"/>
        <w:rPr>
          <w:rFonts w:ascii="Calibri" w:hAnsi="Calibri"/>
          <w:sz w:val="22"/>
          <w:szCs w:val="22"/>
        </w:rPr>
      </w:pPr>
    </w:p>
    <w:p w14:paraId="430465F2" w14:textId="77777777" w:rsidR="00042B89" w:rsidRDefault="00042B89">
      <w:pPr>
        <w:pStyle w:val="NormalWeb"/>
        <w:spacing w:before="0" w:beforeAutospacing="0" w:after="0" w:afterAutospacing="0"/>
        <w:divId w:val="844897809"/>
        <w:rPr>
          <w:rFonts w:ascii="Calibri" w:hAnsi="Calibri"/>
          <w:sz w:val="22"/>
          <w:szCs w:val="22"/>
        </w:rPr>
      </w:pPr>
    </w:p>
    <w:p w14:paraId="1AC7C863" w14:textId="77777777" w:rsidR="00042B89" w:rsidRDefault="00042B89">
      <w:pPr>
        <w:pStyle w:val="NormalWeb"/>
        <w:spacing w:before="0" w:beforeAutospacing="0" w:after="0" w:afterAutospacing="0"/>
        <w:divId w:val="844897809"/>
        <w:rPr>
          <w:rFonts w:ascii="Calibri" w:hAnsi="Calibri"/>
          <w:sz w:val="22"/>
          <w:szCs w:val="22"/>
        </w:rPr>
      </w:pPr>
    </w:p>
    <w:p w14:paraId="7D5F3EC6" w14:textId="77777777" w:rsidR="00042B89" w:rsidRDefault="00042B89">
      <w:pPr>
        <w:pStyle w:val="NormalWeb"/>
        <w:spacing w:before="0" w:beforeAutospacing="0" w:after="0" w:afterAutospacing="0"/>
        <w:divId w:val="844897809"/>
        <w:rPr>
          <w:rFonts w:ascii="Calibri" w:hAnsi="Calibri"/>
          <w:sz w:val="22"/>
          <w:szCs w:val="22"/>
        </w:rPr>
      </w:pPr>
    </w:p>
    <w:p w14:paraId="49F836B4" w14:textId="77777777" w:rsidR="00042B89" w:rsidRDefault="00042B89">
      <w:pPr>
        <w:pStyle w:val="NormalWeb"/>
        <w:spacing w:before="0" w:beforeAutospacing="0" w:after="0" w:afterAutospacing="0"/>
        <w:divId w:val="844897809"/>
        <w:rPr>
          <w:rFonts w:ascii="Calibri" w:hAnsi="Calibri"/>
          <w:sz w:val="22"/>
          <w:szCs w:val="22"/>
        </w:rPr>
      </w:pPr>
    </w:p>
    <w:p w14:paraId="52576C22" w14:textId="77777777" w:rsidR="00042B89" w:rsidRDefault="00042B89">
      <w:pPr>
        <w:pStyle w:val="NormalWeb"/>
        <w:spacing w:before="0" w:beforeAutospacing="0" w:after="0" w:afterAutospacing="0"/>
        <w:divId w:val="844897809"/>
        <w:rPr>
          <w:rFonts w:ascii="Calibri" w:hAnsi="Calibri"/>
          <w:sz w:val="22"/>
          <w:szCs w:val="22"/>
        </w:rPr>
      </w:pPr>
    </w:p>
    <w:p w14:paraId="7EDC3EE5" w14:textId="77777777" w:rsidR="00042B89" w:rsidRDefault="00042B89"/>
    <w:sectPr w:rsidR="00042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89"/>
    <w:rsid w:val="00042B89"/>
    <w:rsid w:val="00830AA3"/>
    <w:rsid w:val="008864AC"/>
    <w:rsid w:val="00B12DF3"/>
    <w:rsid w:val="00EE5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28DB6B"/>
  <w15:chartTrackingRefBased/>
  <w15:docId w15:val="{015B5858-A693-8747-91A1-6A6B0C9AA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2B89"/>
    <w:pPr>
      <w:spacing w:before="100" w:beforeAutospacing="1" w:after="100" w:afterAutospacing="1" w:line="240" w:lineRule="auto"/>
    </w:pPr>
    <w:rPr>
      <w:rFonts w:ascii="Times New Roman" w:hAnsi="Times New Roman" w:cs="Times New Roman"/>
      <w:sz w:val="24"/>
      <w:szCs w:val="24"/>
    </w:rPr>
  </w:style>
  <w:style w:type="character" w:customStyle="1" w:styleId="qowt-stl-hyperlink">
    <w:name w:val="qowt-stl-hyperlink"/>
    <w:basedOn w:val="DefaultParagraphFont"/>
    <w:rsid w:val="00042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98575">
      <w:marLeft w:val="0"/>
      <w:marRight w:val="0"/>
      <w:marTop w:val="0"/>
      <w:marBottom w:val="0"/>
      <w:divBdr>
        <w:top w:val="none" w:sz="0" w:space="0" w:color="auto"/>
        <w:left w:val="none" w:sz="0" w:space="0" w:color="auto"/>
        <w:bottom w:val="none" w:sz="0" w:space="0" w:color="auto"/>
        <w:right w:val="none" w:sz="0" w:space="0" w:color="auto"/>
      </w:divBdr>
      <w:divsChild>
        <w:div w:id="1533953530">
          <w:marLeft w:val="0"/>
          <w:marRight w:val="0"/>
          <w:marTop w:val="0"/>
          <w:marBottom w:val="0"/>
          <w:divBdr>
            <w:top w:val="none" w:sz="0" w:space="0" w:color="auto"/>
            <w:left w:val="none" w:sz="0" w:space="0" w:color="auto"/>
            <w:bottom w:val="none" w:sz="0" w:space="0" w:color="auto"/>
            <w:right w:val="none" w:sz="0" w:space="0" w:color="auto"/>
          </w:divBdr>
        </w:div>
      </w:divsChild>
    </w:div>
    <w:div w:id="1782532470">
      <w:marLeft w:val="0"/>
      <w:marRight w:val="0"/>
      <w:marTop w:val="0"/>
      <w:marBottom w:val="0"/>
      <w:divBdr>
        <w:top w:val="none" w:sz="0" w:space="0" w:color="auto"/>
        <w:left w:val="none" w:sz="0" w:space="0" w:color="auto"/>
        <w:bottom w:val="none" w:sz="0" w:space="0" w:color="auto"/>
        <w:right w:val="none" w:sz="0" w:space="0" w:color="auto"/>
      </w:divBdr>
      <w:divsChild>
        <w:div w:id="326639734">
          <w:marLeft w:val="0"/>
          <w:marRight w:val="0"/>
          <w:marTop w:val="0"/>
          <w:marBottom w:val="0"/>
          <w:divBdr>
            <w:top w:val="none" w:sz="0" w:space="0" w:color="auto"/>
            <w:left w:val="none" w:sz="0" w:space="0" w:color="auto"/>
            <w:bottom w:val="none" w:sz="0" w:space="0" w:color="auto"/>
            <w:right w:val="none" w:sz="0" w:space="0" w:color="auto"/>
          </w:divBdr>
        </w:div>
      </w:divsChild>
    </w:div>
    <w:div w:id="2093509047">
      <w:marLeft w:val="0"/>
      <w:marRight w:val="0"/>
      <w:marTop w:val="0"/>
      <w:marBottom w:val="0"/>
      <w:divBdr>
        <w:top w:val="none" w:sz="0" w:space="0" w:color="auto"/>
        <w:left w:val="none" w:sz="0" w:space="0" w:color="auto"/>
        <w:bottom w:val="none" w:sz="0" w:space="0" w:color="auto"/>
        <w:right w:val="none" w:sz="0" w:space="0" w:color="auto"/>
      </w:divBdr>
      <w:divsChild>
        <w:div w:id="844897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oracc.museum.upenn.edu/amgg/listofdeities/mabu/index.html" TargetMode="External" /><Relationship Id="rId5" Type="http://schemas.openxmlformats.org/officeDocument/2006/relationships/hyperlink" Target="https://www.ancient.eu/babylon/" TargetMode="External" /><Relationship Id="rId4" Type="http://schemas.openxmlformats.org/officeDocument/2006/relationships/hyperlink" Target="https://www.history.com/topics/ancient-middle-east/babyloni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1180</Words>
  <Characters>6727</Characters>
  <Application>Microsoft Office Word</Application>
  <DocSecurity>0</DocSecurity>
  <Lines>56</Lines>
  <Paragraphs>15</Paragraphs>
  <ScaleCrop>false</ScaleCrop>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Hopkins</dc:creator>
  <cp:keywords/>
  <dc:description/>
  <cp:lastModifiedBy>Lauren Hopkins</cp:lastModifiedBy>
  <cp:revision>6</cp:revision>
  <dcterms:created xsi:type="dcterms:W3CDTF">2019-11-13T13:25:00Z</dcterms:created>
  <dcterms:modified xsi:type="dcterms:W3CDTF">2019-11-13T13:33:00Z</dcterms:modified>
</cp:coreProperties>
</file>