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198" w:rsidRPr="008C5E45" w:rsidRDefault="005F6198" w:rsidP="005F6198">
      <w:pPr>
        <w:jc w:val="center"/>
        <w:rPr>
          <w:u w:val="single"/>
        </w:rPr>
      </w:pPr>
      <w:r w:rsidRPr="008C5E45">
        <w:rPr>
          <w:u w:val="single"/>
        </w:rPr>
        <w:t>A report discussing the contemporary challenges impacting on religious identity(-</w:t>
      </w:r>
      <w:proofErr w:type="spellStart"/>
      <w:r w:rsidRPr="008C5E45">
        <w:rPr>
          <w:u w:val="single"/>
        </w:rPr>
        <w:t>ies</w:t>
      </w:r>
      <w:proofErr w:type="spellEnd"/>
      <w:r w:rsidRPr="008C5E45">
        <w:rPr>
          <w:u w:val="single"/>
        </w:rPr>
        <w:t>) for young Muslims in the UK.</w:t>
      </w:r>
    </w:p>
    <w:p w:rsidR="005F6198" w:rsidRDefault="005F6198" w:rsidP="005F6198"/>
    <w:p w:rsidR="005F6198" w:rsidRDefault="005F6198" w:rsidP="005F6198">
      <w:pPr>
        <w:jc w:val="both"/>
      </w:pPr>
      <w:r w:rsidRPr="003F7072">
        <w:t>The main precept in the following report, it seems, is to identify firstly what is means to be a Muslim</w:t>
      </w:r>
      <w:r w:rsidR="00F86867">
        <w:t>:</w:t>
      </w:r>
      <w:r w:rsidRPr="003F7072">
        <w:t xml:space="preserve"> what must one believe or practice to be considered a Muslim? Further, who decides what it means to be a Muslim</w:t>
      </w:r>
      <w:r w:rsidR="00A00619">
        <w:t>, or more specifically, who decides what is acceptable Islamic practice</w:t>
      </w:r>
      <w:r w:rsidRPr="003F7072">
        <w:t xml:space="preserve">? </w:t>
      </w:r>
      <w:r>
        <w:t>Once these questions have been given some analysis, a consideration of the dynamic of Muslim identity</w:t>
      </w:r>
      <w:r w:rsidR="007A3123">
        <w:t xml:space="preserve"> and its challenges</w:t>
      </w:r>
      <w:r>
        <w:t xml:space="preserve"> in the UK will be given</w:t>
      </w:r>
      <w:r w:rsidR="007B7EEB">
        <w:t xml:space="preserve">, along with some of the responses </w:t>
      </w:r>
      <w:r w:rsidR="003B7A1C">
        <w:t>offered by individuals and organisations who seek to resolve or adapt to different challenges in modern Britain</w:t>
      </w:r>
      <w:r>
        <w:t xml:space="preserve">. </w:t>
      </w:r>
    </w:p>
    <w:p w:rsidR="005F6198" w:rsidRDefault="005F6198" w:rsidP="005F6198">
      <w:pPr>
        <w:jc w:val="both"/>
      </w:pPr>
    </w:p>
    <w:p w:rsidR="00F57CC6" w:rsidRDefault="007A3123" w:rsidP="005F6198">
      <w:pPr>
        <w:jc w:val="both"/>
      </w:pPr>
      <w:r>
        <w:t xml:space="preserve">Traditionally a Muslim is one who expresses faith in one God (Allah) and accepts Muhammad as God’s, </w:t>
      </w:r>
      <w:r w:rsidRPr="007A3123">
        <w:rPr>
          <w:i/>
        </w:rPr>
        <w:t>usually</w:t>
      </w:r>
      <w:r>
        <w:t xml:space="preserve"> final, messenger.</w:t>
      </w:r>
      <w:r w:rsidR="00F57CC6">
        <w:t xml:space="preserve"> This expression of faith is most notably found within the Shahadah, which is the gateway into Islam, much like baptism is for Christianity, and its fundamental dogmatic statement. Sophie Gilliat proposes that to understand how this “…profession of faith shapes the personal identity of a Muslim, one must recognise the scope of the </w:t>
      </w:r>
      <w:r w:rsidR="00F57CC6" w:rsidRPr="00F57CC6">
        <w:rPr>
          <w:i/>
        </w:rPr>
        <w:t>Shahadah</w:t>
      </w:r>
      <w:r w:rsidR="00F57CC6">
        <w:t>.”</w:t>
      </w:r>
      <w:r w:rsidR="00F57CC6">
        <w:rPr>
          <w:rStyle w:val="FootnoteReference"/>
        </w:rPr>
        <w:footnoteReference w:id="1"/>
      </w:r>
      <w:r w:rsidR="00F57CC6">
        <w:t xml:space="preserve"> It emphasises the unity of God </w:t>
      </w:r>
      <w:r w:rsidR="00E202B2">
        <w:t>(</w:t>
      </w:r>
      <w:r w:rsidR="00E202B2" w:rsidRPr="00E202B2">
        <w:rPr>
          <w:i/>
        </w:rPr>
        <w:t>tawhid</w:t>
      </w:r>
      <w:r w:rsidR="00E202B2">
        <w:t>) and bears witness to the Prophet Muhammad; “at the deepest level it is a statement which indicates a way of life: away from idolatry and polytheism; away from false values and human tyranny.”</w:t>
      </w:r>
      <w:r w:rsidR="00E202B2">
        <w:rPr>
          <w:rStyle w:val="FootnoteReference"/>
        </w:rPr>
        <w:footnoteReference w:id="2"/>
      </w:r>
      <w:r w:rsidR="00E202B2">
        <w:t xml:space="preserve"> Further, by this submission to God</w:t>
      </w:r>
      <w:r w:rsidR="00DD79BE">
        <w:t>,</w:t>
      </w:r>
      <w:r w:rsidR="00E202B2">
        <w:t xml:space="preserve"> a Muslim may seek to transcend the boundaries of individuality </w:t>
      </w:r>
      <w:r w:rsidR="00DD79BE">
        <w:t>“…in the eternal identity of the human race, who through the negation of self becomes everlasting.”</w:t>
      </w:r>
      <w:r w:rsidR="00DD79BE">
        <w:rPr>
          <w:rStyle w:val="FootnoteReference"/>
        </w:rPr>
        <w:footnoteReference w:id="3"/>
      </w:r>
      <w:r w:rsidR="00DD79BE">
        <w:t xml:space="preserve"> Thus, as Gilliat notes, “…in examining Muslim identity, we have to be aware that distinct categories of ‘personal’, ‘group’ and ‘social’ do not perhaps exist in the Muslim mind.”</w:t>
      </w:r>
      <w:r w:rsidR="00DD79BE">
        <w:rPr>
          <w:rStyle w:val="FootnoteReference"/>
        </w:rPr>
        <w:footnoteReference w:id="4"/>
      </w:r>
    </w:p>
    <w:p w:rsidR="00DD79BE" w:rsidRPr="00E202B2" w:rsidRDefault="00DD79BE" w:rsidP="005F6198">
      <w:pPr>
        <w:jc w:val="both"/>
      </w:pPr>
    </w:p>
    <w:p w:rsidR="009C0743" w:rsidRDefault="00DD79BE" w:rsidP="005F6198">
      <w:pPr>
        <w:jc w:val="both"/>
      </w:pPr>
      <w:r>
        <w:t>However, whilst these sentiments may be true of Islam</w:t>
      </w:r>
      <w:r w:rsidR="009C0743">
        <w:t xml:space="preserve"> or one “…who sincerely bear[s] witness to the </w:t>
      </w:r>
      <w:r w:rsidR="009C0743" w:rsidRPr="009C0743">
        <w:rPr>
          <w:i/>
        </w:rPr>
        <w:t>Shahadah</w:t>
      </w:r>
      <w:r w:rsidR="00FF4628">
        <w:t>”</w:t>
      </w:r>
      <w:r w:rsidR="00FF4628">
        <w:rPr>
          <w:rStyle w:val="FootnoteReference"/>
        </w:rPr>
        <w:footnoteReference w:id="5"/>
      </w:r>
      <w:r>
        <w:t>, it seems far too simplistic to assume that all Muslims either live up to this ideal or indeed seek to</w:t>
      </w:r>
      <w:r w:rsidR="009C0743">
        <w:t xml:space="preserve">, as Gilliat seems to recognises with her quote from Muhammed </w:t>
      </w:r>
      <w:proofErr w:type="spellStart"/>
      <w:r w:rsidR="009C0743">
        <w:t>Abduh</w:t>
      </w:r>
      <w:proofErr w:type="spellEnd"/>
      <w:r w:rsidR="009C0743">
        <w:t>, stating that “Islam is concealed from Western eyes by a heavy curtain of Muslims”</w:t>
      </w:r>
      <w:r w:rsidR="009C0743">
        <w:rPr>
          <w:rStyle w:val="FootnoteReference"/>
        </w:rPr>
        <w:footnoteReference w:id="6"/>
      </w:r>
      <w:r w:rsidR="009C0743">
        <w:t>, meaning perhaps that the action of Muslims do not necessarily represent Islam and vice-a-versa</w:t>
      </w:r>
      <w:r w:rsidR="00631F4E">
        <w:t>; the ideals of Islam may not represent individual Muslims</w:t>
      </w:r>
      <w:r w:rsidR="009C0743">
        <w:t xml:space="preserve">. </w:t>
      </w:r>
      <w:r w:rsidR="00631F4E">
        <w:t xml:space="preserve">Nonetheless, it may be important differentiate between the unitive expression of faith shared by the majority of Muslims and their relation to God, and the possible uniqueness of identity found within the religious, or non-religious, plurality that exists within British-Muslim </w:t>
      </w:r>
      <w:r w:rsidR="008C54CC">
        <w:t>communities</w:t>
      </w:r>
      <w:r w:rsidR="00631F4E">
        <w:t xml:space="preserve">. </w:t>
      </w:r>
    </w:p>
    <w:p w:rsidR="00A839EB" w:rsidRDefault="00A839EB" w:rsidP="005F6198">
      <w:pPr>
        <w:jc w:val="both"/>
      </w:pPr>
    </w:p>
    <w:p w:rsidR="00294CE9" w:rsidRDefault="00A04807" w:rsidP="005F6198">
      <w:pPr>
        <w:jc w:val="both"/>
      </w:pPr>
      <w:r>
        <w:t xml:space="preserve">Such plurality can be found between different generations of Muslim </w:t>
      </w:r>
      <w:r w:rsidR="00364089">
        <w:t>immigrants</w:t>
      </w:r>
      <w:r>
        <w:t>, insofar as cultural practices and understanding of religiosity changes</w:t>
      </w:r>
      <w:r w:rsidR="003B7A1C">
        <w:t xml:space="preserve"> across generations</w:t>
      </w:r>
      <w:r w:rsidR="002C2158">
        <w:t>, subsequently impacting upon their personal ‘felt’ identity</w:t>
      </w:r>
      <w:r>
        <w:t xml:space="preserve">, specifically from first, second and third generations. </w:t>
      </w:r>
      <w:r w:rsidR="003B7A1C">
        <w:t xml:space="preserve"> Gill</w:t>
      </w:r>
      <w:r w:rsidR="00A036AA">
        <w:t>ia</w:t>
      </w:r>
      <w:r w:rsidR="003B7A1C">
        <w:t xml:space="preserve">t informs that “many </w:t>
      </w:r>
      <w:proofErr w:type="gramStart"/>
      <w:r w:rsidR="003B7A1C">
        <w:t>first generation</w:t>
      </w:r>
      <w:proofErr w:type="gramEnd"/>
      <w:r w:rsidR="003B7A1C">
        <w:t xml:space="preserve"> immigrants considered their country of origin as ‘home’. On the whole their national, as well as religious identity was central to their self</w:t>
      </w:r>
      <w:r w:rsidR="00CF4FFA">
        <w:t>-perception.</w:t>
      </w:r>
      <w:r w:rsidR="003B7A1C">
        <w:t>”</w:t>
      </w:r>
      <w:r w:rsidR="003B7A1C">
        <w:rPr>
          <w:rStyle w:val="FootnoteReference"/>
        </w:rPr>
        <w:footnoteReference w:id="7"/>
      </w:r>
      <w:r w:rsidR="003B7A1C">
        <w:t xml:space="preserve"> </w:t>
      </w:r>
      <w:r w:rsidR="00CF4FFA">
        <w:t xml:space="preserve">Whereas “…second generation ‘immigrants’, […] feel that they are not immigrants at all, but </w:t>
      </w:r>
      <w:proofErr w:type="gramStart"/>
      <w:r w:rsidR="00CF4FFA">
        <w:t>first generation</w:t>
      </w:r>
      <w:proofErr w:type="gramEnd"/>
      <w:r w:rsidR="00CF4FFA">
        <w:t xml:space="preserve"> British Muslims.”</w:t>
      </w:r>
      <w:r w:rsidR="00CF4FFA">
        <w:rPr>
          <w:rStyle w:val="FootnoteReference"/>
        </w:rPr>
        <w:footnoteReference w:id="8"/>
      </w:r>
      <w:r w:rsidR="00CF4FFA">
        <w:t xml:space="preserve"> </w:t>
      </w:r>
      <w:r w:rsidR="00427CAB">
        <w:t xml:space="preserve"> Gill</w:t>
      </w:r>
      <w:r w:rsidR="00AD5411">
        <w:t>ia</w:t>
      </w:r>
      <w:r w:rsidR="00427CAB">
        <w:t>t notes that for those in the first-</w:t>
      </w:r>
      <w:r w:rsidR="00427CAB">
        <w:lastRenderedPageBreak/>
        <w:t>generation</w:t>
      </w:r>
      <w:r w:rsidR="00294CE9">
        <w:t xml:space="preserve"> “…estrangement from their ‘roots’ led to a revival of customs, in an attempt to capture a sense of continuity between past and present.”</w:t>
      </w:r>
      <w:r w:rsidR="00294CE9">
        <w:rPr>
          <w:rStyle w:val="FootnoteReference"/>
        </w:rPr>
        <w:footnoteReference w:id="9"/>
      </w:r>
      <w:r w:rsidR="00294CE9">
        <w:t xml:space="preserve"> </w:t>
      </w:r>
    </w:p>
    <w:p w:rsidR="002C2158" w:rsidRDefault="002C2158" w:rsidP="005F6198">
      <w:pPr>
        <w:jc w:val="both"/>
      </w:pPr>
    </w:p>
    <w:p w:rsidR="003B7A1C" w:rsidRDefault="00294CE9" w:rsidP="005F6198">
      <w:pPr>
        <w:jc w:val="both"/>
      </w:pPr>
      <w:r>
        <w:t>This is perhaps because “many of the traditional customs of the sending society were accorded religious sanctioning.”</w:t>
      </w:r>
      <w:r>
        <w:rPr>
          <w:rStyle w:val="FootnoteReference"/>
        </w:rPr>
        <w:footnoteReference w:id="10"/>
      </w:r>
      <w:r>
        <w:t xml:space="preserve"> This </w:t>
      </w:r>
      <w:r w:rsidR="002C2158">
        <w:t>was</w:t>
      </w:r>
      <w:r>
        <w:t xml:space="preserve"> particularly true “…with the reunion of families as a result of female migration, [whereby] various religious and cultural norms and values were restored, strengthening identity as a result</w:t>
      </w:r>
      <w:r w:rsidR="002C2158">
        <w:t>.”</w:t>
      </w:r>
      <w:r w:rsidR="002C2158">
        <w:rPr>
          <w:rStyle w:val="FootnoteReference"/>
        </w:rPr>
        <w:footnoteReference w:id="11"/>
      </w:r>
      <w:r w:rsidR="002C2158">
        <w:t xml:space="preserve"> </w:t>
      </w:r>
    </w:p>
    <w:p w:rsidR="002C2158" w:rsidRDefault="002C2158" w:rsidP="005F6198">
      <w:pPr>
        <w:jc w:val="both"/>
      </w:pPr>
    </w:p>
    <w:p w:rsidR="00D6070F" w:rsidRDefault="002C2158" w:rsidP="005F6198">
      <w:pPr>
        <w:jc w:val="both"/>
      </w:pPr>
      <w:r>
        <w:t xml:space="preserve">Conversely, for the second-generation, they found themselves tied up between two cultures and as a result “…biculturalism has tended to lead to the development of </w:t>
      </w:r>
      <w:r w:rsidRPr="002C2158">
        <w:rPr>
          <w:i/>
        </w:rPr>
        <w:t>two</w:t>
      </w:r>
      <w:r>
        <w:t xml:space="preserve"> identities, and dual roles between personal and family ties.”</w:t>
      </w:r>
      <w:r>
        <w:rPr>
          <w:rStyle w:val="FootnoteReference"/>
        </w:rPr>
        <w:footnoteReference w:id="12"/>
      </w:r>
      <w:r>
        <w:t xml:space="preserve"> </w:t>
      </w:r>
      <w:r w:rsidR="00D6070F">
        <w:t>Gilliat believes that this inner tension of conflicting ideological identity “…meant that psychiatric illness was more likely.”</w:t>
      </w:r>
      <w:r w:rsidR="00D6070F">
        <w:rPr>
          <w:rStyle w:val="FootnoteReference"/>
        </w:rPr>
        <w:footnoteReference w:id="13"/>
      </w:r>
      <w:r w:rsidR="00D6070F">
        <w:t xml:space="preserve"> </w:t>
      </w:r>
    </w:p>
    <w:p w:rsidR="00D6070F" w:rsidRDefault="00D6070F" w:rsidP="005F6198">
      <w:pPr>
        <w:jc w:val="both"/>
      </w:pPr>
    </w:p>
    <w:p w:rsidR="00D6070F" w:rsidRDefault="002C2158" w:rsidP="005F6198">
      <w:pPr>
        <w:jc w:val="both"/>
      </w:pPr>
      <w:r>
        <w:t xml:space="preserve">This </w:t>
      </w:r>
      <w:r w:rsidR="00D6070F">
        <w:t xml:space="preserve">battle between ‘two- worlds’ is also something faced by young Muslims today, insofar as they are split between the </w:t>
      </w:r>
      <w:r w:rsidR="00097096">
        <w:t xml:space="preserve">secularised </w:t>
      </w:r>
      <w:r w:rsidR="00D6070F">
        <w:t>pluralistic</w:t>
      </w:r>
      <w:r w:rsidR="00097096">
        <w:t>-</w:t>
      </w:r>
      <w:r w:rsidR="00D6070F">
        <w:t xml:space="preserve">world, perhaps </w:t>
      </w:r>
      <w:r w:rsidR="00097096">
        <w:t>encountered</w:t>
      </w:r>
      <w:r w:rsidR="00D6070F">
        <w:t xml:space="preserve"> at schools where they are the minority and all that</w:t>
      </w:r>
      <w:r w:rsidR="00BB0935">
        <w:t xml:space="preserve"> that</w:t>
      </w:r>
      <w:r w:rsidR="00D6070F">
        <w:t xml:space="preserve"> encompasses, and the ‘seemingly’ monolithic worldview presented to them at home</w:t>
      </w:r>
      <w:r w:rsidR="00E102ED">
        <w:t>:</w:t>
      </w:r>
      <w:r w:rsidR="00D6070F">
        <w:t xml:space="preserve"> </w:t>
      </w:r>
      <w:r w:rsidR="00E102ED">
        <w:t>this is something worth unpacking in more detail. However,</w:t>
      </w:r>
      <w:r w:rsidR="00097096">
        <w:t xml:space="preserve"> before doing so,</w:t>
      </w:r>
      <w:r w:rsidR="00E102ED">
        <w:t xml:space="preserve"> it is also worth mentioning th</w:t>
      </w:r>
      <w:r w:rsidR="00354BB7">
        <w:t>e</w:t>
      </w:r>
      <w:r w:rsidR="00E102ED">
        <w:t xml:space="preserve"> key differences young British Muslims face in comparison to their former counterparts. </w:t>
      </w:r>
    </w:p>
    <w:p w:rsidR="00097096" w:rsidRDefault="00097096" w:rsidP="005F6198">
      <w:pPr>
        <w:jc w:val="both"/>
      </w:pPr>
    </w:p>
    <w:p w:rsidR="00097096" w:rsidRDefault="00097096" w:rsidP="005F6198">
      <w:pPr>
        <w:jc w:val="both"/>
      </w:pPr>
      <w:r>
        <w:t>Unlike the first-generation</w:t>
      </w:r>
      <w:r w:rsidR="005C7C0C">
        <w:t xml:space="preserve"> – </w:t>
      </w:r>
      <w:r>
        <w:t>wh</w:t>
      </w:r>
      <w:r w:rsidR="00BB0935">
        <w:t>ere</w:t>
      </w:r>
      <w:r>
        <w:t xml:space="preserve"> cultural, ethnic and geographical </w:t>
      </w:r>
      <w:r w:rsidR="002741CB">
        <w:t>background</w:t>
      </w:r>
      <w:r>
        <w:t xml:space="preserve"> </w:t>
      </w:r>
      <w:r w:rsidR="00BB0935">
        <w:t>i</w:t>
      </w:r>
      <w:r>
        <w:t xml:space="preserve">s </w:t>
      </w:r>
      <w:r w:rsidR="005C7C0C">
        <w:t>inculcated into</w:t>
      </w:r>
      <w:r>
        <w:t xml:space="preserve"> their</w:t>
      </w:r>
      <w:r w:rsidR="002741CB">
        <w:t xml:space="preserve"> broader</w:t>
      </w:r>
      <w:r>
        <w:t xml:space="preserve"> religious identity</w:t>
      </w:r>
      <w:r w:rsidR="005C7C0C">
        <w:t xml:space="preserve"> – British born Muslims </w:t>
      </w:r>
      <w:r w:rsidR="002741CB">
        <w:t>“…do not want to be dealt with as an ‘ethnic minority group’ or in terms of ‘race relations’.”</w:t>
      </w:r>
      <w:r w:rsidR="002741CB">
        <w:rPr>
          <w:rStyle w:val="FootnoteReference"/>
        </w:rPr>
        <w:footnoteReference w:id="14"/>
      </w:r>
      <w:r w:rsidR="002741CB">
        <w:t xml:space="preserve"> This is clear from the 1997 Runnymede Trust report on </w:t>
      </w:r>
      <w:r w:rsidR="002741CB" w:rsidRPr="002741CB">
        <w:rPr>
          <w:i/>
        </w:rPr>
        <w:t>Islamophobia</w:t>
      </w:r>
      <w:r w:rsidR="008978E6">
        <w:rPr>
          <w:rStyle w:val="FootnoteReference"/>
          <w:i/>
        </w:rPr>
        <w:footnoteReference w:id="15"/>
      </w:r>
      <w:r w:rsidR="002741CB">
        <w:t>, in which</w:t>
      </w:r>
      <w:r w:rsidR="008978E6">
        <w:t>, as Trevor Phillips states (former Chairman of the Trust) “… specifically rejected the notion  that Muslims should be characteri</w:t>
      </w:r>
      <w:r w:rsidR="00CE761B">
        <w:t>s</w:t>
      </w:r>
      <w:r w:rsidR="008978E6">
        <w:t>ed as a racial grouping</w:t>
      </w:r>
      <w:r w:rsidR="00CE761B">
        <w:t>…”</w:t>
      </w:r>
      <w:r w:rsidR="00CE761B">
        <w:rPr>
          <w:rStyle w:val="FootnoteReference"/>
        </w:rPr>
        <w:footnoteReference w:id="16"/>
      </w:r>
      <w:r w:rsidR="00CE761B">
        <w:t>, chiefly, although not solely, because “…Muslims are a conspicuously multiracial group.”</w:t>
      </w:r>
      <w:r w:rsidR="00CE761B">
        <w:rPr>
          <w:rStyle w:val="FootnoteReference"/>
        </w:rPr>
        <w:footnoteReference w:id="17"/>
      </w:r>
      <w:r w:rsidR="00CE761B">
        <w:t xml:space="preserve"> This has recently been ignored, or at least overlooked, by the All Party Parliamentary Group (APPG) on British Muslims, where they concluded in their publication </w:t>
      </w:r>
      <w:r w:rsidR="00CE761B" w:rsidRPr="00CE761B">
        <w:rPr>
          <w:i/>
        </w:rPr>
        <w:t>Islamophobia Defined</w:t>
      </w:r>
      <w:r w:rsidR="00CE761B">
        <w:t xml:space="preserve">, that the definition of Islamophobia should be rendered thusly: “Islamophobia is rooted in racism and is a type of racism that targets expressions </w:t>
      </w:r>
      <w:r w:rsidR="0060338F">
        <w:t>of Muslimness or perceived Muslimness.”</w:t>
      </w:r>
      <w:r w:rsidR="0060338F">
        <w:rPr>
          <w:rStyle w:val="FootnoteReference"/>
        </w:rPr>
        <w:footnoteReference w:id="18"/>
      </w:r>
      <w:r w:rsidR="008C63D1">
        <w:t xml:space="preserve"> There will likely be many challenges to young Muslim</w:t>
      </w:r>
      <w:r w:rsidR="006B2C68">
        <w:t>s</w:t>
      </w:r>
      <w:r w:rsidR="005748FC">
        <w:t xml:space="preserve"> </w:t>
      </w:r>
      <w:r w:rsidR="005748FC" w:rsidRPr="005748FC">
        <w:rPr>
          <w:i/>
        </w:rPr>
        <w:t>perceived</w:t>
      </w:r>
      <w:r w:rsidR="005748FC">
        <w:t xml:space="preserve"> identity</w:t>
      </w:r>
      <w:r w:rsidR="008C63D1">
        <w:t xml:space="preserve"> in the UK should the </w:t>
      </w:r>
      <w:r w:rsidR="00BA2CC4">
        <w:t>G</w:t>
      </w:r>
      <w:r w:rsidR="008C63D1">
        <w:t>overnment adopt this formulaic expression of Islamophobia</w:t>
      </w:r>
      <w:r w:rsidR="004A6464">
        <w:t>;</w:t>
      </w:r>
      <w:r w:rsidR="008C63D1">
        <w:t xml:space="preserve"> although according to an ITV report </w:t>
      </w:r>
      <w:r w:rsidR="00BA2CC4">
        <w:t xml:space="preserve">in May 2019, </w:t>
      </w:r>
      <w:r w:rsidR="008C63D1">
        <w:t xml:space="preserve">the </w:t>
      </w:r>
      <w:r w:rsidR="00BA2CC4">
        <w:t xml:space="preserve">Government has already rejected the definition due to </w:t>
      </w:r>
      <w:r w:rsidR="00BA2CC4" w:rsidRPr="00BA2CC4">
        <w:t>“…</w:t>
      </w:r>
      <w:r w:rsidR="00BA2CC4" w:rsidRPr="00BA2CC4">
        <w:rPr>
          <w:shd w:val="clear" w:color="auto" w:fill="FFFFFF"/>
        </w:rPr>
        <w:t>a warning from police that anti-terrorist operations would be undermined.</w:t>
      </w:r>
      <w:r w:rsidR="00BA2CC4">
        <w:rPr>
          <w:shd w:val="clear" w:color="auto" w:fill="FFFFFF"/>
        </w:rPr>
        <w:t>”</w:t>
      </w:r>
      <w:r w:rsidR="00BA2CC4">
        <w:rPr>
          <w:rStyle w:val="FootnoteReference"/>
          <w:shd w:val="clear" w:color="auto" w:fill="FFFFFF"/>
        </w:rPr>
        <w:footnoteReference w:id="19"/>
      </w:r>
      <w:r w:rsidR="008C63D1">
        <w:t xml:space="preserve"> </w:t>
      </w:r>
    </w:p>
    <w:p w:rsidR="005748FC" w:rsidRDefault="005748FC" w:rsidP="005F6198">
      <w:pPr>
        <w:jc w:val="both"/>
      </w:pPr>
    </w:p>
    <w:p w:rsidR="003A0120" w:rsidRDefault="004A6464" w:rsidP="005F6198">
      <w:pPr>
        <w:jc w:val="both"/>
      </w:pPr>
      <w:r>
        <w:t xml:space="preserve">The identity of young Muslims in the UK can be affected greatly by the duality of secular and religious </w:t>
      </w:r>
      <w:r w:rsidR="00B9221C">
        <w:t xml:space="preserve">(non-) </w:t>
      </w:r>
      <w:r>
        <w:t xml:space="preserve">affiliation, and or influence. This can lead, albeit in rare cases, to a more radical view of one over the other. A 2016 psychiatric research project, published by The Royal College of Psychiatrists, found a link between </w:t>
      </w:r>
      <w:r w:rsidR="006C37AC">
        <w:t>extremism</w:t>
      </w:r>
      <w:r w:rsidR="00A140E8">
        <w:t xml:space="preserve"> and anxiety disorders,</w:t>
      </w:r>
      <w:r>
        <w:t xml:space="preserve"> caused</w:t>
      </w:r>
      <w:r w:rsidR="00A140E8">
        <w:t>, in part, by “separation with […] ethnic culture [combined] with no participation in local culture…”</w:t>
      </w:r>
      <w:r w:rsidR="00A140E8">
        <w:rPr>
          <w:rStyle w:val="FootnoteReference"/>
        </w:rPr>
        <w:footnoteReference w:id="20"/>
      </w:r>
      <w:r w:rsidR="00B9221C">
        <w:t xml:space="preserve">. </w:t>
      </w:r>
      <w:r w:rsidR="0082274F">
        <w:t>Arguably, t</w:t>
      </w:r>
      <w:r w:rsidR="00B9221C">
        <w:t xml:space="preserve">his could in some cases lead to a kind of </w:t>
      </w:r>
      <w:r w:rsidR="00A140E8">
        <w:t xml:space="preserve">identity dysphoria, </w:t>
      </w:r>
      <w:r w:rsidR="00B9221C">
        <w:t>facilitating the path to</w:t>
      </w:r>
      <w:r w:rsidR="00A140E8">
        <w:t xml:space="preserve"> radicalisation </w:t>
      </w:r>
      <w:r w:rsidR="004E6E32">
        <w:t>toward</w:t>
      </w:r>
      <w:r w:rsidR="00A140E8">
        <w:t xml:space="preserve"> a greater monolithic identity found within fundamental organisations</w:t>
      </w:r>
      <w:r w:rsidR="005929FD">
        <w:t>;</w:t>
      </w:r>
      <w:r w:rsidR="00B9221C">
        <w:t xml:space="preserve"> particularly</w:t>
      </w:r>
      <w:r w:rsidR="006C37AC">
        <w:t xml:space="preserve"> affecting</w:t>
      </w:r>
      <w:r w:rsidR="00B9221C">
        <w:t xml:space="preserve"> those seeking a homogenous objective worldview</w:t>
      </w:r>
      <w:r w:rsidR="006C37AC">
        <w:t>,</w:t>
      </w:r>
      <w:r w:rsidR="00B9221C">
        <w:t xml:space="preserve"> where </w:t>
      </w:r>
      <w:r w:rsidR="006C37AC">
        <w:t>religious belonging overrides societal integration</w:t>
      </w:r>
      <w:r w:rsidR="00A140E8">
        <w:t xml:space="preserve">. </w:t>
      </w:r>
      <w:r w:rsidR="006C37AC">
        <w:t>The survey also states that “simulated models suggest that when a large part of the population hold moderate views or are uncertain, [as in the UK], extreme views tend to prevail.”</w:t>
      </w:r>
      <w:r w:rsidR="006C37AC">
        <w:rPr>
          <w:rStyle w:val="FootnoteReference"/>
        </w:rPr>
        <w:footnoteReference w:id="21"/>
      </w:r>
      <w:r w:rsidR="006C37AC">
        <w:t xml:space="preserve"> Plausibly, it is the third-generation who are mostly affected by this, although it is certainly true of the </w:t>
      </w:r>
      <w:r w:rsidR="005929FD">
        <w:t>‘bicultural’ second-generation too,</w:t>
      </w:r>
      <w:r w:rsidR="006C37AC">
        <w:t xml:space="preserve"> as they are more likely t</w:t>
      </w:r>
      <w:r w:rsidR="005929FD">
        <w:t xml:space="preserve">o be </w:t>
      </w:r>
      <w:r w:rsidR="009A7BC5">
        <w:t xml:space="preserve">disassociated from </w:t>
      </w:r>
      <w:r w:rsidR="003A0120">
        <w:t>their</w:t>
      </w:r>
      <w:r w:rsidR="009A7BC5">
        <w:t xml:space="preserve"> ancestral heritage</w:t>
      </w:r>
      <w:r w:rsidR="003A0120">
        <w:t>, as Gilliat notes: “their cultural boundary is perhaps more symbolic, and less well-defined than for their parents.”</w:t>
      </w:r>
      <w:r w:rsidR="003A0120">
        <w:rPr>
          <w:rStyle w:val="FootnoteReference"/>
        </w:rPr>
        <w:footnoteReference w:id="22"/>
      </w:r>
      <w:r w:rsidR="003A0120">
        <w:t xml:space="preserve"> Further, they may find their religious values questioned in wider society, which could lead to a state of existential confusion about what is, and what is not</w:t>
      </w:r>
      <w:r w:rsidR="00B46F0F">
        <w:t>:</w:t>
      </w:r>
      <w:r w:rsidR="003A0120">
        <w:t xml:space="preserve"> morally or otherwise.</w:t>
      </w:r>
    </w:p>
    <w:p w:rsidR="00BB0935" w:rsidRDefault="00BB0935" w:rsidP="005F6198">
      <w:pPr>
        <w:jc w:val="both"/>
      </w:pPr>
    </w:p>
    <w:p w:rsidR="00B46F0F" w:rsidRDefault="00B46F0F" w:rsidP="005F6198">
      <w:pPr>
        <w:jc w:val="both"/>
      </w:pPr>
      <w:r>
        <w:t>However, in response to this dual identity issue, there is a movement “…trying to devise a positive and dynamic approach to their Islamic faith.”</w:t>
      </w:r>
      <w:r>
        <w:rPr>
          <w:rStyle w:val="FootnoteReference"/>
        </w:rPr>
        <w:footnoteReference w:id="23"/>
      </w:r>
      <w:r>
        <w:t xml:space="preserve"> Gilliat explains that this involves, “…for some, a view of Islam as a system of values and a universal religion not specific to any one time or space context.”</w:t>
      </w:r>
      <w:r>
        <w:rPr>
          <w:rStyle w:val="FootnoteReference"/>
        </w:rPr>
        <w:footnoteReference w:id="24"/>
      </w:r>
      <w:r>
        <w:t xml:space="preserve"> This more positive ‘radical’ approach is perhaps able to shed any cultural manifestations of Islam shaped by their forebearers, giving them a chance to integrate more successfully into British culture, in some cases by expressing their </w:t>
      </w:r>
      <w:r w:rsidRPr="00B46F0F">
        <w:rPr>
          <w:i/>
        </w:rPr>
        <w:t>so-called</w:t>
      </w:r>
      <w:r>
        <w:t xml:space="preserve"> ‘Britishness’ by the clothes they wear for example. Gilliat suggests that such a development is made all the more possible “…by the number of ‘white’ converts to Islam with whom the third generation are interacting, free from the language and culture barriers that may have faced their parents.”</w:t>
      </w:r>
      <w:r>
        <w:rPr>
          <w:rStyle w:val="FootnoteReference"/>
        </w:rPr>
        <w:footnoteReference w:id="25"/>
      </w:r>
      <w:r w:rsidR="009E291F">
        <w:t xml:space="preserve"> </w:t>
      </w:r>
    </w:p>
    <w:p w:rsidR="009E291F" w:rsidRDefault="009E291F" w:rsidP="005F6198">
      <w:pPr>
        <w:jc w:val="both"/>
      </w:pPr>
    </w:p>
    <w:p w:rsidR="009E291F" w:rsidRDefault="009E291F" w:rsidP="005F6198">
      <w:pPr>
        <w:jc w:val="both"/>
      </w:pPr>
      <w:r>
        <w:t xml:space="preserve">There are, perhaps, dangers of internal-conflict that can arise from such a movement, particularly as “mosques remain in the hands of </w:t>
      </w:r>
      <w:proofErr w:type="gramStart"/>
      <w:r>
        <w:t>first generation</w:t>
      </w:r>
      <w:proofErr w:type="gramEnd"/>
      <w:r>
        <w:t xml:space="preserve"> immigrants…”</w:t>
      </w:r>
      <w:r w:rsidR="00601882">
        <w:rPr>
          <w:rStyle w:val="FootnoteReference"/>
        </w:rPr>
        <w:footnoteReference w:id="26"/>
      </w:r>
      <w:r>
        <w:t xml:space="preserve">, who may see their younger ambitious offspring as dissenting from ‘true’ Islamic behaviour, claiming that their behaviour is simply not acceptable enough to be called Muslim. This issue of authority will no doubt play a large role in defining British Muslims </w:t>
      </w:r>
      <w:r w:rsidR="00601882">
        <w:t xml:space="preserve">in the future, where their cultural heritage is but a faint memory. Further encompassed in the idea of correct belief or right practice is the issue of education, after all secular schools simply are not in the business of teaching religious codes of behaviour. </w:t>
      </w:r>
    </w:p>
    <w:p w:rsidR="00601882" w:rsidRDefault="00601882" w:rsidP="005F6198">
      <w:pPr>
        <w:jc w:val="both"/>
      </w:pPr>
    </w:p>
    <w:p w:rsidR="00601882" w:rsidRDefault="00601882" w:rsidP="005F6198">
      <w:pPr>
        <w:jc w:val="both"/>
      </w:pPr>
      <w:r>
        <w:t>Thus, as Gilliat points out, “many Muslim parents feel that the establishment of separate Islamic schools is critical to the preservation of the religious identity</w:t>
      </w:r>
      <w:r w:rsidR="009F40FB">
        <w:t xml:space="preserve"> that may be developed in the home and mosque community.”</w:t>
      </w:r>
      <w:r w:rsidR="009F40FB">
        <w:rPr>
          <w:rStyle w:val="FootnoteReference"/>
        </w:rPr>
        <w:footnoteReference w:id="27"/>
      </w:r>
      <w:r w:rsidR="009F40FB">
        <w:t xml:space="preserve"> It may be that certain secular values or the flexibility on key moral issues that are discussed in schools, that Islam has a firm stance on, is considered a </w:t>
      </w:r>
      <w:r w:rsidR="009F40FB" w:rsidRPr="000F209C">
        <w:lastRenderedPageBreak/>
        <w:t xml:space="preserve">dangerous idea; they may reason that hearing the other side may lead them to reject a crucial dogma of Islam. </w:t>
      </w:r>
      <w:r w:rsidR="000F209C" w:rsidRPr="000F209C">
        <w:t xml:space="preserve"> The response has been to open Islamic schools in the UK</w:t>
      </w:r>
      <w:r w:rsidR="000F209C">
        <w:t>;</w:t>
      </w:r>
      <w:r w:rsidR="000F209C" w:rsidRPr="000F209C">
        <w:t xml:space="preserve"> the first one being </w:t>
      </w:r>
      <w:r w:rsidR="000F209C">
        <w:t>“</w:t>
      </w:r>
      <w:proofErr w:type="spellStart"/>
      <w:r w:rsidR="000F209C" w:rsidRPr="000F209C">
        <w:t>Darul</w:t>
      </w:r>
      <w:proofErr w:type="spellEnd"/>
      <w:r w:rsidR="000F209C" w:rsidRPr="000F209C">
        <w:t xml:space="preserve"> </w:t>
      </w:r>
      <w:proofErr w:type="spellStart"/>
      <w:r w:rsidR="000F209C" w:rsidRPr="000F209C">
        <w:t>Uloom</w:t>
      </w:r>
      <w:proofErr w:type="spellEnd"/>
      <w:r w:rsidR="000F209C" w:rsidRPr="000F209C">
        <w:t xml:space="preserve"> Al-Arabiya Al-Islamia, opened in 1979</w:t>
      </w:r>
      <w:r w:rsidR="000F209C">
        <w:t>”, and then the first state funded,</w:t>
      </w:r>
      <w:r w:rsidR="000F209C" w:rsidRPr="000F209C">
        <w:t xml:space="preserve"> </w:t>
      </w:r>
      <w:r w:rsidR="000F209C">
        <w:t>“</w:t>
      </w:r>
      <w:r w:rsidR="000F209C" w:rsidRPr="000F209C">
        <w:t>Islamia Primary School in London</w:t>
      </w:r>
      <w:r w:rsidR="000F209C">
        <w:t>”, being established in 1997, due to “demand and growth”</w:t>
      </w:r>
      <w:r w:rsidR="000F209C">
        <w:rPr>
          <w:rStyle w:val="FootnoteReference"/>
        </w:rPr>
        <w:footnoteReference w:id="28"/>
      </w:r>
      <w:r w:rsidR="000F209C">
        <w:t xml:space="preserve">. However, whilst there may be a demand for such institutions, not all Muslim families agree. </w:t>
      </w:r>
    </w:p>
    <w:p w:rsidR="000F209C" w:rsidRDefault="000F209C" w:rsidP="005F6198">
      <w:pPr>
        <w:jc w:val="both"/>
        <w:rPr>
          <w:color w:val="000000" w:themeColor="text1"/>
          <w:szCs w:val="24"/>
        </w:rPr>
      </w:pPr>
    </w:p>
    <w:p w:rsidR="000F209C" w:rsidRDefault="0079102E" w:rsidP="005F6198">
      <w:pPr>
        <w:jc w:val="both"/>
        <w:rPr>
          <w:color w:val="000000" w:themeColor="text1"/>
          <w:szCs w:val="24"/>
        </w:rPr>
      </w:pPr>
      <w:r>
        <w:rPr>
          <w:color w:val="000000" w:themeColor="text1"/>
          <w:szCs w:val="24"/>
        </w:rPr>
        <w:t xml:space="preserve">Other parents have fears that this will impact the ability </w:t>
      </w:r>
      <w:r w:rsidR="0070385B">
        <w:rPr>
          <w:color w:val="000000" w:themeColor="text1"/>
          <w:szCs w:val="24"/>
        </w:rPr>
        <w:t xml:space="preserve">for social-cohesion and perhaps impact their children chance for a broad education; this seems to come from a distrust of such institutions and concerns they may “…become an extension of the </w:t>
      </w:r>
      <w:r w:rsidR="0070385B" w:rsidRPr="0070385B">
        <w:rPr>
          <w:i/>
          <w:color w:val="000000" w:themeColor="text1"/>
          <w:szCs w:val="24"/>
        </w:rPr>
        <w:t>madrassah</w:t>
      </w:r>
      <w:r w:rsidR="0070385B">
        <w:rPr>
          <w:color w:val="000000" w:themeColor="text1"/>
          <w:szCs w:val="24"/>
        </w:rPr>
        <w:t>, or mosque school.”</w:t>
      </w:r>
      <w:r w:rsidR="0070385B">
        <w:rPr>
          <w:rStyle w:val="FootnoteReference"/>
          <w:color w:val="000000" w:themeColor="text1"/>
          <w:szCs w:val="24"/>
        </w:rPr>
        <w:footnoteReference w:id="29"/>
      </w:r>
      <w:r w:rsidR="0070385B">
        <w:rPr>
          <w:color w:val="000000" w:themeColor="text1"/>
          <w:szCs w:val="24"/>
        </w:rPr>
        <w:t xml:space="preserve"> Although the reality of the state funding a school without the national circular in place may seem highly unlikely to most. Nevertheless, there are other issues that seem to be well justified, such as the aforementioned impact on social cohesion in later life and the ability to integrate with those outside of the Islamic sphere.  </w:t>
      </w:r>
      <w:r w:rsidR="006C7E32">
        <w:rPr>
          <w:color w:val="000000" w:themeColor="text1"/>
          <w:szCs w:val="24"/>
        </w:rPr>
        <w:t>However, it is conceivable that most parents will have apprehension about new ideologies being expounded that do not fit their meta-narrative, especially, as Gilliat writes, when “the plausibility structure of Islam is perhaps relativized when placed alongside other legitimating frameworks.”</w:t>
      </w:r>
      <w:r w:rsidR="006C7E32">
        <w:rPr>
          <w:rStyle w:val="FootnoteReference"/>
          <w:color w:val="000000" w:themeColor="text1"/>
          <w:szCs w:val="24"/>
        </w:rPr>
        <w:footnoteReference w:id="30"/>
      </w:r>
      <w:r w:rsidR="006C7E32">
        <w:rPr>
          <w:color w:val="000000" w:themeColor="text1"/>
          <w:szCs w:val="24"/>
        </w:rPr>
        <w:t xml:space="preserve"> This is </w:t>
      </w:r>
      <w:r w:rsidR="00C01801">
        <w:rPr>
          <w:color w:val="000000" w:themeColor="text1"/>
          <w:szCs w:val="24"/>
        </w:rPr>
        <w:t xml:space="preserve">arguably one of the greatest challenges facing any religious adherent in the UK’s pluralistic society. </w:t>
      </w:r>
    </w:p>
    <w:p w:rsidR="00C01801" w:rsidRDefault="00C01801" w:rsidP="005F6198">
      <w:pPr>
        <w:jc w:val="both"/>
        <w:rPr>
          <w:color w:val="000000" w:themeColor="text1"/>
          <w:szCs w:val="24"/>
        </w:rPr>
      </w:pPr>
    </w:p>
    <w:p w:rsidR="00C01801" w:rsidRDefault="00C01801" w:rsidP="005F6198">
      <w:pPr>
        <w:jc w:val="both"/>
        <w:rPr>
          <w:color w:val="000000" w:themeColor="text1"/>
          <w:szCs w:val="24"/>
          <w:shd w:val="clear" w:color="auto" w:fill="FFFFFF"/>
        </w:rPr>
      </w:pPr>
      <w:r>
        <w:rPr>
          <w:color w:val="000000" w:themeColor="text1"/>
          <w:szCs w:val="24"/>
        </w:rPr>
        <w:t xml:space="preserve">There are many Islamic organisations that have been set-up to tackle such plurality and help to nurture a positive contribution by Muslims in British society, one of which is the </w:t>
      </w:r>
      <w:r w:rsidRPr="00C01801">
        <w:rPr>
          <w:i/>
          <w:color w:val="000000" w:themeColor="text1"/>
          <w:szCs w:val="24"/>
        </w:rPr>
        <w:t>Islamic Society of Britain</w:t>
      </w:r>
      <w:r>
        <w:rPr>
          <w:color w:val="000000" w:themeColor="text1"/>
          <w:szCs w:val="24"/>
        </w:rPr>
        <w:t>, who consider themselves to be “…</w:t>
      </w:r>
      <w:r w:rsidRPr="00C01801">
        <w:rPr>
          <w:color w:val="000000" w:themeColor="text1"/>
          <w:szCs w:val="24"/>
          <w:shd w:val="clear" w:color="auto" w:fill="FFFFFF"/>
        </w:rPr>
        <w:t>one of the first organisations that sought to evolve a uniquely British flavour to Islam.</w:t>
      </w:r>
      <w:r>
        <w:rPr>
          <w:color w:val="000000" w:themeColor="text1"/>
          <w:szCs w:val="24"/>
          <w:shd w:val="clear" w:color="auto" w:fill="FFFFFF"/>
        </w:rPr>
        <w:t>”</w:t>
      </w:r>
      <w:r>
        <w:rPr>
          <w:rStyle w:val="FootnoteReference"/>
          <w:color w:val="000000" w:themeColor="text1"/>
          <w:szCs w:val="24"/>
          <w:shd w:val="clear" w:color="auto" w:fill="FFFFFF"/>
        </w:rPr>
        <w:footnoteReference w:id="31"/>
      </w:r>
      <w:r>
        <w:rPr>
          <w:color w:val="000000" w:themeColor="text1"/>
          <w:szCs w:val="24"/>
          <w:shd w:val="clear" w:color="auto" w:fill="FFFFFF"/>
        </w:rPr>
        <w:t xml:space="preserve"> Their main ethos </w:t>
      </w:r>
      <w:r w:rsidR="002D5C8E">
        <w:rPr>
          <w:color w:val="000000" w:themeColor="text1"/>
          <w:szCs w:val="24"/>
          <w:shd w:val="clear" w:color="auto" w:fill="FFFFFF"/>
        </w:rPr>
        <w:t xml:space="preserve"> is</w:t>
      </w:r>
      <w:r>
        <w:rPr>
          <w:color w:val="000000" w:themeColor="text1"/>
          <w:szCs w:val="24"/>
          <w:shd w:val="clear" w:color="auto" w:fill="FFFFFF"/>
        </w:rPr>
        <w:t xml:space="preserve"> to </w:t>
      </w:r>
      <w:r w:rsidR="002D5C8E">
        <w:rPr>
          <w:color w:val="000000" w:themeColor="text1"/>
          <w:szCs w:val="24"/>
          <w:shd w:val="clear" w:color="auto" w:fill="FFFFFF"/>
        </w:rPr>
        <w:t>“promote a greater understanding of Islam”, “to organise, educate and enhance the development of British Muslim communities” and to promote social justice.</w:t>
      </w:r>
      <w:r w:rsidR="002D5C8E">
        <w:rPr>
          <w:rStyle w:val="FootnoteReference"/>
          <w:color w:val="000000" w:themeColor="text1"/>
          <w:szCs w:val="24"/>
          <w:shd w:val="clear" w:color="auto" w:fill="FFFFFF"/>
        </w:rPr>
        <w:footnoteReference w:id="32"/>
      </w:r>
      <w:r w:rsidR="002D5C8E">
        <w:rPr>
          <w:color w:val="000000" w:themeColor="text1"/>
          <w:szCs w:val="24"/>
          <w:shd w:val="clear" w:color="auto" w:fill="FFFFFF"/>
        </w:rPr>
        <w:t xml:space="preserve"> Such institutions can offer support and encouragement and perhaps apologetic answers to </w:t>
      </w:r>
      <w:bookmarkStart w:id="0" w:name="_GoBack"/>
      <w:bookmarkEnd w:id="0"/>
      <w:r w:rsidR="002D5C8E">
        <w:rPr>
          <w:color w:val="000000" w:themeColor="text1"/>
          <w:szCs w:val="24"/>
          <w:shd w:val="clear" w:color="auto" w:fill="FFFFFF"/>
        </w:rPr>
        <w:t>deep faith questions when challenged by the secular world they inhabit. The aim being, it seems, to maintain a continual identity that is religious in nature and separate from cultural conditioning.</w:t>
      </w:r>
    </w:p>
    <w:p w:rsidR="002D5C8E" w:rsidRDefault="002D5C8E" w:rsidP="005F6198">
      <w:pPr>
        <w:jc w:val="both"/>
        <w:rPr>
          <w:color w:val="000000" w:themeColor="text1"/>
          <w:szCs w:val="24"/>
        </w:rPr>
      </w:pPr>
    </w:p>
    <w:p w:rsidR="006C37AC" w:rsidRPr="00DE4FB2" w:rsidRDefault="002D5C8E" w:rsidP="005F6198">
      <w:pPr>
        <w:jc w:val="both"/>
        <w:rPr>
          <w:color w:val="000000" w:themeColor="text1"/>
          <w:szCs w:val="24"/>
        </w:rPr>
      </w:pPr>
      <w:r>
        <w:rPr>
          <w:color w:val="000000" w:themeColor="text1"/>
          <w:szCs w:val="24"/>
        </w:rPr>
        <w:t xml:space="preserve">This report then, has sought to identify </w:t>
      </w:r>
      <w:r w:rsidRPr="004E35E9">
        <w:rPr>
          <w:i/>
          <w:color w:val="000000" w:themeColor="text1"/>
          <w:szCs w:val="24"/>
        </w:rPr>
        <w:t>some</w:t>
      </w:r>
      <w:r>
        <w:rPr>
          <w:color w:val="000000" w:themeColor="text1"/>
          <w:szCs w:val="24"/>
        </w:rPr>
        <w:t xml:space="preserve"> of the issues facing young British Muslims today, in reflecting on the first-generation of Muslims, one can get an idea of the multiplicity of challenges presented</w:t>
      </w:r>
      <w:r w:rsidR="00373A8A">
        <w:rPr>
          <w:color w:val="000000" w:themeColor="text1"/>
          <w:szCs w:val="24"/>
        </w:rPr>
        <w:t xml:space="preserve"> to young British Muslims today</w:t>
      </w:r>
      <w:r>
        <w:rPr>
          <w:color w:val="000000" w:themeColor="text1"/>
          <w:szCs w:val="24"/>
        </w:rPr>
        <w:t xml:space="preserve">. </w:t>
      </w:r>
      <w:r w:rsidR="00373A8A">
        <w:rPr>
          <w:color w:val="000000" w:themeColor="text1"/>
          <w:szCs w:val="24"/>
        </w:rPr>
        <w:t>The issues range from psychiatric illness, due to identity confusion, to internal conflict from breaking the ‘traditional’ forms of Islamic practice, typical of the previous generation. Moreover, the segregation is not only internal but external, leading to states of depression and a need, in some cases, to a monolithic identity; of which the response by individuals has sometimes been to follow extreme movements and be subsequently radicalised into a narrow mode of thinking. In response to this identity crisis, many organisations have immerged, either as educational platform</w:t>
      </w:r>
      <w:r w:rsidR="00A036AA">
        <w:rPr>
          <w:color w:val="000000" w:themeColor="text1"/>
          <w:szCs w:val="24"/>
        </w:rPr>
        <w:t>s</w:t>
      </w:r>
      <w:r w:rsidR="00373A8A">
        <w:rPr>
          <w:color w:val="000000" w:themeColor="text1"/>
          <w:szCs w:val="24"/>
        </w:rPr>
        <w:t xml:space="preserve"> such as schools, or charities engaged in </w:t>
      </w:r>
      <w:r w:rsidR="004E35E9">
        <w:rPr>
          <w:color w:val="000000" w:themeColor="text1"/>
          <w:szCs w:val="24"/>
        </w:rPr>
        <w:t>bringing people together in solidarity, or in facilitating the continuation of Islamic customs; others have sought</w:t>
      </w:r>
      <w:r w:rsidR="00A036AA">
        <w:rPr>
          <w:color w:val="000000" w:themeColor="text1"/>
          <w:szCs w:val="24"/>
        </w:rPr>
        <w:t xml:space="preserve"> to</w:t>
      </w:r>
      <w:r w:rsidR="004E35E9">
        <w:rPr>
          <w:color w:val="000000" w:themeColor="text1"/>
          <w:szCs w:val="24"/>
        </w:rPr>
        <w:t xml:space="preserve"> </w:t>
      </w:r>
      <w:r w:rsidR="00A036AA">
        <w:rPr>
          <w:color w:val="000000" w:themeColor="text1"/>
          <w:szCs w:val="24"/>
        </w:rPr>
        <w:t>narrowly define</w:t>
      </w:r>
      <w:r w:rsidR="004E35E9">
        <w:rPr>
          <w:color w:val="000000" w:themeColor="text1"/>
          <w:szCs w:val="24"/>
        </w:rPr>
        <w:t xml:space="preserve"> Muslim</w:t>
      </w:r>
      <w:r w:rsidR="00A036AA">
        <w:rPr>
          <w:color w:val="000000" w:themeColor="text1"/>
          <w:szCs w:val="24"/>
        </w:rPr>
        <w:t>s</w:t>
      </w:r>
      <w:r w:rsidR="004E35E9">
        <w:rPr>
          <w:color w:val="000000" w:themeColor="text1"/>
          <w:szCs w:val="24"/>
        </w:rPr>
        <w:t>, which has back fired in the case of the APPG</w:t>
      </w:r>
      <w:r w:rsidR="00A036AA">
        <w:rPr>
          <w:color w:val="000000" w:themeColor="text1"/>
          <w:szCs w:val="24"/>
        </w:rPr>
        <w:t xml:space="preserve"> and its instance on racial grouping</w:t>
      </w:r>
      <w:r w:rsidR="004E35E9">
        <w:rPr>
          <w:color w:val="000000" w:themeColor="text1"/>
          <w:szCs w:val="24"/>
        </w:rPr>
        <w:t>.  The main point being that there is an elasticity to Muslim identity when looked at broadly, who thinks what and when differs from age group to background,</w:t>
      </w:r>
      <w:r w:rsidR="00A036AA">
        <w:rPr>
          <w:color w:val="000000" w:themeColor="text1"/>
          <w:szCs w:val="24"/>
        </w:rPr>
        <w:t xml:space="preserve"> undoubtably</w:t>
      </w:r>
      <w:r w:rsidR="004E35E9">
        <w:rPr>
          <w:color w:val="000000" w:themeColor="text1"/>
          <w:szCs w:val="24"/>
        </w:rPr>
        <w:t xml:space="preserve"> bringing untold challenges</w:t>
      </w:r>
      <w:r w:rsidR="00A036AA">
        <w:rPr>
          <w:color w:val="000000" w:themeColor="text1"/>
          <w:szCs w:val="24"/>
        </w:rPr>
        <w:t xml:space="preserve">. Perhaps it is the </w:t>
      </w:r>
      <w:r w:rsidR="00A036AA" w:rsidRPr="00A036AA">
        <w:rPr>
          <w:i/>
          <w:color w:val="000000" w:themeColor="text1"/>
          <w:szCs w:val="24"/>
        </w:rPr>
        <w:t>Shahada</w:t>
      </w:r>
      <w:r w:rsidR="00A036AA">
        <w:rPr>
          <w:color w:val="000000" w:themeColor="text1"/>
          <w:szCs w:val="24"/>
        </w:rPr>
        <w:t xml:space="preserve"> that is able to unite the internal fractions and work as a basis for cross-cultural and societal relations </w:t>
      </w:r>
      <w:r w:rsidR="00757F7C">
        <w:rPr>
          <w:color w:val="000000" w:themeColor="text1"/>
          <w:szCs w:val="24"/>
        </w:rPr>
        <w:t>by</w:t>
      </w:r>
      <w:r w:rsidR="00A036AA">
        <w:rPr>
          <w:color w:val="000000" w:themeColor="text1"/>
          <w:szCs w:val="24"/>
        </w:rPr>
        <w:t xml:space="preserve"> act</w:t>
      </w:r>
      <w:r w:rsidR="00757F7C">
        <w:rPr>
          <w:color w:val="000000" w:themeColor="text1"/>
          <w:szCs w:val="24"/>
        </w:rPr>
        <w:t>ing</w:t>
      </w:r>
      <w:r w:rsidR="00A036AA">
        <w:rPr>
          <w:color w:val="000000" w:themeColor="text1"/>
          <w:szCs w:val="24"/>
        </w:rPr>
        <w:t xml:space="preserve"> as the </w:t>
      </w:r>
      <w:r w:rsidR="00A036AA" w:rsidRPr="009B7A54">
        <w:rPr>
          <w:i/>
          <w:color w:val="000000" w:themeColor="text1"/>
          <w:szCs w:val="24"/>
        </w:rPr>
        <w:t>common</w:t>
      </w:r>
      <w:r w:rsidR="00A036AA">
        <w:rPr>
          <w:color w:val="000000" w:themeColor="text1"/>
          <w:szCs w:val="24"/>
        </w:rPr>
        <w:t xml:space="preserve"> identity marker of </w:t>
      </w:r>
      <w:r w:rsidR="009B7A54">
        <w:rPr>
          <w:color w:val="000000" w:themeColor="text1"/>
          <w:szCs w:val="24"/>
        </w:rPr>
        <w:t>Muslims</w:t>
      </w:r>
      <w:r w:rsidR="00A036AA">
        <w:rPr>
          <w:color w:val="000000" w:themeColor="text1"/>
          <w:szCs w:val="24"/>
        </w:rPr>
        <w:t xml:space="preserve">. </w:t>
      </w:r>
    </w:p>
    <w:p w:rsidR="004A6464" w:rsidRDefault="004A6464" w:rsidP="005F6198">
      <w:pPr>
        <w:jc w:val="both"/>
      </w:pPr>
    </w:p>
    <w:p w:rsidR="00BA2CC4" w:rsidRDefault="00BA2CC4" w:rsidP="005F6198">
      <w:pPr>
        <w:jc w:val="both"/>
      </w:pPr>
    </w:p>
    <w:p w:rsidR="0003655F" w:rsidRDefault="0003655F" w:rsidP="005F6198">
      <w:pPr>
        <w:jc w:val="both"/>
        <w:rPr>
          <w:u w:val="single"/>
        </w:rPr>
      </w:pPr>
      <w:r w:rsidRPr="0003655F">
        <w:rPr>
          <w:u w:val="single"/>
        </w:rPr>
        <w:t>Bibliography</w:t>
      </w:r>
    </w:p>
    <w:p w:rsidR="0003655F" w:rsidRDefault="0003655F" w:rsidP="005F6198">
      <w:pPr>
        <w:jc w:val="both"/>
        <w:rPr>
          <w:u w:val="single"/>
        </w:rPr>
      </w:pPr>
    </w:p>
    <w:p w:rsidR="00AD5411" w:rsidRDefault="00AD5411" w:rsidP="00AD5411">
      <w:pPr>
        <w:rPr>
          <w:color w:val="000000"/>
          <w:szCs w:val="24"/>
          <w:shd w:val="clear" w:color="auto" w:fill="FFFFFF"/>
        </w:rPr>
      </w:pPr>
      <w:r w:rsidRPr="00AD5411">
        <w:rPr>
          <w:b/>
          <w:color w:val="000000"/>
          <w:szCs w:val="24"/>
          <w:shd w:val="clear" w:color="auto" w:fill="FFFFFF"/>
        </w:rPr>
        <w:t>All Party Parliamentary Group</w:t>
      </w:r>
      <w:r w:rsidRPr="00AD5411">
        <w:rPr>
          <w:color w:val="000000"/>
          <w:szCs w:val="24"/>
          <w:shd w:val="clear" w:color="auto" w:fill="FFFFFF"/>
        </w:rPr>
        <w:t xml:space="preserve"> on British Muslims, </w:t>
      </w:r>
      <w:r w:rsidRPr="00AD5411">
        <w:rPr>
          <w:i/>
          <w:iCs/>
          <w:color w:val="000000"/>
          <w:szCs w:val="24"/>
          <w:shd w:val="clear" w:color="auto" w:fill="FFFFFF"/>
        </w:rPr>
        <w:t>Islamophobia Defined </w:t>
      </w:r>
      <w:r w:rsidRPr="00AD5411">
        <w:rPr>
          <w:color w:val="000000"/>
          <w:szCs w:val="24"/>
          <w:shd w:val="clear" w:color="auto" w:fill="FFFFFF"/>
        </w:rPr>
        <w:t xml:space="preserve">(2018), </w:t>
      </w:r>
      <w:proofErr w:type="gramStart"/>
      <w:r w:rsidRPr="00AD5411">
        <w:rPr>
          <w:color w:val="000000"/>
          <w:szCs w:val="24"/>
          <w:shd w:val="clear" w:color="auto" w:fill="FFFFFF"/>
        </w:rPr>
        <w:t>in ,</w:t>
      </w:r>
      <w:proofErr w:type="gramEnd"/>
      <w:r w:rsidRPr="00AD5411">
        <w:rPr>
          <w:color w:val="000000"/>
          <w:szCs w:val="24"/>
          <w:shd w:val="clear" w:color="auto" w:fill="FFFFFF"/>
        </w:rPr>
        <w:t xml:space="preserve"> &lt;https://appgbritishmuslims.org/publications &gt; [accessed 17 December 2019].</w:t>
      </w:r>
    </w:p>
    <w:p w:rsidR="0003655F" w:rsidRPr="0003655F" w:rsidRDefault="0003655F" w:rsidP="00AD5411">
      <w:pPr>
        <w:rPr>
          <w:u w:val="single"/>
        </w:rPr>
      </w:pPr>
    </w:p>
    <w:p w:rsidR="00AD5411" w:rsidRPr="00AD5411" w:rsidRDefault="00AD5411" w:rsidP="00AD5411">
      <w:pPr>
        <w:rPr>
          <w:color w:val="000000"/>
          <w:szCs w:val="24"/>
          <w:shd w:val="clear" w:color="auto" w:fill="FFFFFF"/>
        </w:rPr>
      </w:pPr>
      <w:r w:rsidRPr="00AD5411">
        <w:rPr>
          <w:b/>
          <w:color w:val="000000"/>
          <w:szCs w:val="24"/>
          <w:shd w:val="clear" w:color="auto" w:fill="FFFFFF"/>
        </w:rPr>
        <w:t>Anonymous.</w:t>
      </w:r>
      <w:r>
        <w:rPr>
          <w:color w:val="000000"/>
          <w:szCs w:val="24"/>
          <w:shd w:val="clear" w:color="auto" w:fill="FFFFFF"/>
        </w:rPr>
        <w:t xml:space="preserve"> </w:t>
      </w:r>
      <w:r w:rsidRPr="00AD5411">
        <w:rPr>
          <w:i/>
          <w:iCs/>
          <w:color w:val="000000"/>
          <w:szCs w:val="24"/>
          <w:shd w:val="clear" w:color="auto" w:fill="FFFFFF"/>
        </w:rPr>
        <w:t>Government rejects controversial definition of Islamophobia after warning from terror police</w:t>
      </w:r>
      <w:r w:rsidRPr="00AD5411">
        <w:rPr>
          <w:color w:val="000000"/>
          <w:szCs w:val="24"/>
          <w:shd w:val="clear" w:color="auto" w:fill="FFFFFF"/>
        </w:rPr>
        <w:t> (2019) &lt;https://www.itv.com/news/2019-05-15/police-counter-terror-chief-joins-row-over-islamophobia-definition/&gt; [accessed 17 December 2019].</w:t>
      </w:r>
      <w:r w:rsidRPr="00AD5411">
        <w:rPr>
          <w:color w:val="000000"/>
          <w:szCs w:val="24"/>
        </w:rPr>
        <w:br/>
      </w:r>
    </w:p>
    <w:p w:rsidR="00AD5411" w:rsidRPr="00AD5411" w:rsidRDefault="00AD5411" w:rsidP="00AD5411">
      <w:pPr>
        <w:rPr>
          <w:color w:val="000000"/>
          <w:szCs w:val="24"/>
          <w:shd w:val="clear" w:color="auto" w:fill="FFFFFF"/>
        </w:rPr>
      </w:pPr>
      <w:r w:rsidRPr="00AD5411">
        <w:rPr>
          <w:b/>
          <w:iCs/>
          <w:color w:val="000000"/>
          <w:szCs w:val="24"/>
          <w:shd w:val="clear" w:color="auto" w:fill="FFFFFF"/>
        </w:rPr>
        <w:t>Anonymous.</w:t>
      </w:r>
      <w:r>
        <w:rPr>
          <w:iCs/>
          <w:color w:val="000000"/>
          <w:szCs w:val="24"/>
          <w:shd w:val="clear" w:color="auto" w:fill="FFFFFF"/>
        </w:rPr>
        <w:t xml:space="preserve"> </w:t>
      </w:r>
      <w:r w:rsidRPr="00AD5411">
        <w:rPr>
          <w:i/>
          <w:iCs/>
          <w:color w:val="000000"/>
          <w:szCs w:val="24"/>
          <w:shd w:val="clear" w:color="auto" w:fill="FFFFFF"/>
        </w:rPr>
        <w:t>Overview of Muslim schools in the UK (2013) </w:t>
      </w:r>
      <w:r w:rsidRPr="00AD5411">
        <w:rPr>
          <w:color w:val="000000"/>
          <w:szCs w:val="24"/>
          <w:shd w:val="clear" w:color="auto" w:fill="FFFFFF"/>
        </w:rPr>
        <w:t>(&lt;https://ams-uk.org/muslim-schools-in-uk/&gt; [accessed 17 December 2019].</w:t>
      </w:r>
      <w:r w:rsidRPr="00AD5411">
        <w:rPr>
          <w:color w:val="000000"/>
          <w:szCs w:val="24"/>
        </w:rPr>
        <w:br/>
      </w:r>
    </w:p>
    <w:p w:rsidR="00BA2CC4" w:rsidRPr="00AD5411" w:rsidRDefault="00BA2CC4" w:rsidP="00AD5411">
      <w:pPr>
        <w:rPr>
          <w:szCs w:val="24"/>
        </w:rPr>
      </w:pPr>
    </w:p>
    <w:p w:rsidR="008C63D1" w:rsidRPr="00AD5411" w:rsidRDefault="0003655F" w:rsidP="00AD5411">
      <w:pPr>
        <w:rPr>
          <w:szCs w:val="24"/>
        </w:rPr>
      </w:pPr>
      <w:proofErr w:type="spellStart"/>
      <w:r w:rsidRPr="00AD5411">
        <w:rPr>
          <w:b/>
          <w:szCs w:val="24"/>
        </w:rPr>
        <w:t>Coid</w:t>
      </w:r>
      <w:proofErr w:type="spellEnd"/>
      <w:r w:rsidRPr="00AD5411">
        <w:rPr>
          <w:b/>
          <w:szCs w:val="24"/>
        </w:rPr>
        <w:t>, J</w:t>
      </w:r>
      <w:r w:rsidR="00DE4FB2" w:rsidRPr="00AD5411">
        <w:rPr>
          <w:b/>
          <w:szCs w:val="24"/>
        </w:rPr>
        <w:t>eremy</w:t>
      </w:r>
      <w:r w:rsidRPr="00AD5411">
        <w:rPr>
          <w:szCs w:val="24"/>
        </w:rPr>
        <w:t xml:space="preserve">, </w:t>
      </w:r>
      <w:proofErr w:type="spellStart"/>
      <w:r w:rsidRPr="00AD5411">
        <w:rPr>
          <w:szCs w:val="24"/>
        </w:rPr>
        <w:t>Bhui</w:t>
      </w:r>
      <w:proofErr w:type="spellEnd"/>
      <w:r w:rsidRPr="00AD5411">
        <w:rPr>
          <w:szCs w:val="24"/>
        </w:rPr>
        <w:t xml:space="preserve">, K., MacManus, D., </w:t>
      </w:r>
      <w:proofErr w:type="spellStart"/>
      <w:r w:rsidRPr="00AD5411">
        <w:rPr>
          <w:szCs w:val="24"/>
        </w:rPr>
        <w:t>Kallis</w:t>
      </w:r>
      <w:proofErr w:type="spellEnd"/>
      <w:r w:rsidRPr="00AD5411">
        <w:rPr>
          <w:szCs w:val="24"/>
        </w:rPr>
        <w:t>, C., Bebbington, P., &amp; Ullrich, S. (2016). Extremism, religion and psychiatric morbidity in a population-based sample of young men. British Journal of Psychiatry, 209(6), 491-497. doi:10.1192/bjp.bp.116.186510</w:t>
      </w:r>
      <w:r w:rsidR="000E4463" w:rsidRPr="00AD5411">
        <w:rPr>
          <w:szCs w:val="24"/>
        </w:rPr>
        <w:t xml:space="preserve"> [accessed 17 December 2019].  </w:t>
      </w:r>
    </w:p>
    <w:p w:rsidR="00DE4FB2" w:rsidRPr="00AD5411" w:rsidRDefault="00DE4FB2" w:rsidP="00AD5411">
      <w:pPr>
        <w:rPr>
          <w:szCs w:val="24"/>
        </w:rPr>
      </w:pPr>
    </w:p>
    <w:p w:rsidR="00DE4FB2" w:rsidRPr="00AD5411" w:rsidRDefault="00AD5411" w:rsidP="00AD5411">
      <w:pPr>
        <w:rPr>
          <w:color w:val="000000"/>
          <w:szCs w:val="24"/>
          <w:shd w:val="clear" w:color="auto" w:fill="FFFFFF"/>
        </w:rPr>
      </w:pPr>
      <w:r w:rsidRPr="00AD5411">
        <w:rPr>
          <w:b/>
          <w:color w:val="000000"/>
          <w:szCs w:val="24"/>
          <w:shd w:val="clear" w:color="auto" w:fill="FFFFFF"/>
        </w:rPr>
        <w:t>Gilliat, Sophie</w:t>
      </w:r>
      <w:r w:rsidR="00DE4FB2" w:rsidRPr="00AD5411">
        <w:rPr>
          <w:color w:val="000000"/>
          <w:szCs w:val="24"/>
          <w:shd w:val="clear" w:color="auto" w:fill="FFFFFF"/>
        </w:rPr>
        <w:t> </w:t>
      </w:r>
      <w:r w:rsidR="00DE4FB2" w:rsidRPr="00AD5411">
        <w:rPr>
          <w:i/>
          <w:iCs/>
          <w:color w:val="000000"/>
          <w:szCs w:val="24"/>
          <w:shd w:val="clear" w:color="auto" w:fill="FFFFFF"/>
        </w:rPr>
        <w:t xml:space="preserve">Religious Identity Issues </w:t>
      </w:r>
      <w:r w:rsidRPr="00AD5411">
        <w:rPr>
          <w:i/>
          <w:iCs/>
          <w:color w:val="000000"/>
          <w:szCs w:val="24"/>
          <w:shd w:val="clear" w:color="auto" w:fill="FFFFFF"/>
        </w:rPr>
        <w:t>for</w:t>
      </w:r>
      <w:r w:rsidR="00DE4FB2" w:rsidRPr="00AD5411">
        <w:rPr>
          <w:i/>
          <w:iCs/>
          <w:color w:val="000000"/>
          <w:szCs w:val="24"/>
          <w:shd w:val="clear" w:color="auto" w:fill="FFFFFF"/>
        </w:rPr>
        <w:t xml:space="preserve"> Muslims In Britain </w:t>
      </w:r>
      <w:r w:rsidR="00DE4FB2" w:rsidRPr="00AD5411">
        <w:rPr>
          <w:color w:val="000000"/>
          <w:szCs w:val="24"/>
          <w:shd w:val="clear" w:color="auto" w:fill="FFFFFF"/>
        </w:rPr>
        <w:t>(</w:t>
      </w:r>
      <w:r w:rsidRPr="00AD5411">
        <w:rPr>
          <w:color w:val="000000"/>
          <w:szCs w:val="24"/>
          <w:shd w:val="clear" w:color="auto" w:fill="FFFFFF"/>
        </w:rPr>
        <w:t>Lampeter:</w:t>
      </w:r>
      <w:r w:rsidR="00DE4FB2" w:rsidRPr="00AD5411">
        <w:rPr>
          <w:color w:val="000000"/>
          <w:szCs w:val="24"/>
          <w:shd w:val="clear" w:color="auto" w:fill="FFFFFF"/>
        </w:rPr>
        <w:t xml:space="preserve"> University of Wales, St. David's University </w:t>
      </w:r>
      <w:r w:rsidRPr="00AD5411">
        <w:rPr>
          <w:color w:val="000000"/>
          <w:szCs w:val="24"/>
          <w:shd w:val="clear" w:color="auto" w:fill="FFFFFF"/>
        </w:rPr>
        <w:t>college,</w:t>
      </w:r>
      <w:r w:rsidR="00DE4FB2" w:rsidRPr="00AD5411">
        <w:rPr>
          <w:color w:val="000000"/>
          <w:szCs w:val="24"/>
          <w:shd w:val="clear" w:color="auto" w:fill="FFFFFF"/>
        </w:rPr>
        <w:t xml:space="preserve"> 1992).</w:t>
      </w:r>
      <w:r w:rsidR="00DE4FB2" w:rsidRPr="00AD5411">
        <w:rPr>
          <w:color w:val="000000"/>
          <w:szCs w:val="24"/>
        </w:rPr>
        <w:br/>
      </w:r>
    </w:p>
    <w:p w:rsidR="00DE4FB2" w:rsidRPr="00AD5411" w:rsidRDefault="00DE4FB2" w:rsidP="00AD5411">
      <w:pPr>
        <w:rPr>
          <w:color w:val="000000"/>
          <w:szCs w:val="24"/>
          <w:shd w:val="clear" w:color="auto" w:fill="FFFFFF"/>
        </w:rPr>
      </w:pPr>
      <w:r w:rsidRPr="00AD5411">
        <w:rPr>
          <w:b/>
          <w:color w:val="000000"/>
          <w:szCs w:val="24"/>
          <w:shd w:val="clear" w:color="auto" w:fill="FFFFFF"/>
        </w:rPr>
        <w:t>Jenkins,</w:t>
      </w:r>
      <w:r w:rsidRPr="00AD5411">
        <w:rPr>
          <w:b/>
          <w:color w:val="000000"/>
          <w:szCs w:val="24"/>
          <w:shd w:val="clear" w:color="auto" w:fill="FFFFFF"/>
        </w:rPr>
        <w:t xml:space="preserve"> </w:t>
      </w:r>
      <w:r w:rsidRPr="00AD5411">
        <w:rPr>
          <w:b/>
          <w:color w:val="000000"/>
          <w:szCs w:val="24"/>
          <w:shd w:val="clear" w:color="auto" w:fill="FFFFFF"/>
        </w:rPr>
        <w:t>Sir Roger</w:t>
      </w:r>
      <w:r w:rsidRPr="00AD5411">
        <w:rPr>
          <w:color w:val="000000"/>
          <w:szCs w:val="24"/>
          <w:shd w:val="clear" w:color="auto" w:fill="FFFFFF"/>
        </w:rPr>
        <w:t xml:space="preserve"> </w:t>
      </w:r>
      <w:r w:rsidRPr="00AD5411">
        <w:rPr>
          <w:color w:val="000000"/>
          <w:szCs w:val="24"/>
          <w:shd w:val="clear" w:color="auto" w:fill="FFFFFF"/>
        </w:rPr>
        <w:t>Trevor Phillips, 'Islamophobia Defined ', </w:t>
      </w:r>
      <w:r w:rsidRPr="00AD5411">
        <w:rPr>
          <w:i/>
          <w:iCs/>
          <w:color w:val="000000"/>
          <w:szCs w:val="24"/>
          <w:shd w:val="clear" w:color="auto" w:fill="FFFFFF"/>
        </w:rPr>
        <w:t xml:space="preserve">Policy </w:t>
      </w:r>
      <w:r w:rsidR="00AD5411" w:rsidRPr="00AD5411">
        <w:rPr>
          <w:i/>
          <w:iCs/>
          <w:color w:val="000000"/>
          <w:szCs w:val="24"/>
          <w:shd w:val="clear" w:color="auto" w:fill="FFFFFF"/>
        </w:rPr>
        <w:t>Exchange</w:t>
      </w:r>
      <w:r w:rsidR="00AD5411" w:rsidRPr="00AD5411">
        <w:rPr>
          <w:color w:val="000000"/>
          <w:szCs w:val="24"/>
          <w:shd w:val="clear" w:color="auto" w:fill="FFFFFF"/>
        </w:rPr>
        <w:t>,</w:t>
      </w:r>
      <w:r w:rsidRPr="00AD5411">
        <w:rPr>
          <w:color w:val="000000"/>
          <w:szCs w:val="24"/>
          <w:shd w:val="clear" w:color="auto" w:fill="FFFFFF"/>
        </w:rPr>
        <w:t xml:space="preserve"> (2018), in </w:t>
      </w:r>
      <w:r w:rsidRPr="00AD5411">
        <w:rPr>
          <w:i/>
          <w:iCs/>
          <w:color w:val="000000"/>
          <w:szCs w:val="24"/>
          <w:shd w:val="clear" w:color="auto" w:fill="FFFFFF"/>
        </w:rPr>
        <w:t>&lt;https://policyexchange.org.uk/wp-content/uploads/2018/12/Defining-Islamophobia.pdf&gt; [accessed 17 December 2019].</w:t>
      </w:r>
      <w:r w:rsidRPr="00AD5411">
        <w:rPr>
          <w:color w:val="000000"/>
          <w:szCs w:val="24"/>
        </w:rPr>
        <w:br/>
      </w:r>
    </w:p>
    <w:p w:rsidR="00AD5411" w:rsidRDefault="00AD5411" w:rsidP="00AD5411">
      <w:pPr>
        <w:rPr>
          <w:b/>
          <w:color w:val="000000"/>
          <w:szCs w:val="24"/>
          <w:shd w:val="clear" w:color="auto" w:fill="FFFFFF"/>
        </w:rPr>
      </w:pPr>
    </w:p>
    <w:p w:rsidR="00AD5411" w:rsidRPr="00AD5411" w:rsidRDefault="00AD5411" w:rsidP="00AD5411">
      <w:pPr>
        <w:rPr>
          <w:b/>
          <w:color w:val="000000"/>
          <w:szCs w:val="24"/>
          <w:shd w:val="clear" w:color="auto" w:fill="FFFFFF"/>
        </w:rPr>
      </w:pPr>
      <w:r w:rsidRPr="00AD5411">
        <w:rPr>
          <w:b/>
          <w:color w:val="000000"/>
          <w:szCs w:val="24"/>
          <w:shd w:val="clear" w:color="auto" w:fill="FFFFFF"/>
        </w:rPr>
        <w:t>Members of the Commission</w:t>
      </w:r>
      <w:r w:rsidRPr="00AD5411">
        <w:rPr>
          <w:color w:val="000000"/>
          <w:szCs w:val="24"/>
          <w:shd w:val="clear" w:color="auto" w:fill="FFFFFF"/>
        </w:rPr>
        <w:t>, </w:t>
      </w:r>
      <w:r w:rsidRPr="00AD5411">
        <w:rPr>
          <w:i/>
          <w:iCs/>
          <w:color w:val="000000"/>
          <w:szCs w:val="24"/>
          <w:shd w:val="clear" w:color="auto" w:fill="FFFFFF"/>
        </w:rPr>
        <w:t xml:space="preserve">Islamophobia: A Challenge </w:t>
      </w:r>
      <w:r w:rsidRPr="00AD5411">
        <w:rPr>
          <w:i/>
          <w:iCs/>
          <w:color w:val="000000"/>
          <w:szCs w:val="24"/>
          <w:shd w:val="clear" w:color="auto" w:fill="FFFFFF"/>
        </w:rPr>
        <w:t>for</w:t>
      </w:r>
      <w:r w:rsidRPr="00AD5411">
        <w:rPr>
          <w:i/>
          <w:iCs/>
          <w:color w:val="000000"/>
          <w:szCs w:val="24"/>
          <w:shd w:val="clear" w:color="auto" w:fill="FFFFFF"/>
        </w:rPr>
        <w:t xml:space="preserve"> US All</w:t>
      </w:r>
      <w:r w:rsidRPr="00AD5411">
        <w:rPr>
          <w:color w:val="000000"/>
          <w:szCs w:val="24"/>
          <w:shd w:val="clear" w:color="auto" w:fill="FFFFFF"/>
        </w:rPr>
        <w:t>, ed. by Robin Richardson (London:</w:t>
      </w:r>
      <w:r>
        <w:rPr>
          <w:color w:val="000000"/>
          <w:szCs w:val="24"/>
          <w:shd w:val="clear" w:color="auto" w:fill="FFFFFF"/>
        </w:rPr>
        <w:t xml:space="preserve"> </w:t>
      </w:r>
      <w:r w:rsidRPr="00AD5411">
        <w:rPr>
          <w:color w:val="000000"/>
          <w:szCs w:val="24"/>
          <w:shd w:val="clear" w:color="auto" w:fill="FFFFFF"/>
        </w:rPr>
        <w:t>The Runnymede Trust, 1997).</w:t>
      </w:r>
      <w:r w:rsidRPr="00AD5411">
        <w:rPr>
          <w:color w:val="000000"/>
          <w:szCs w:val="24"/>
        </w:rPr>
        <w:br/>
      </w:r>
    </w:p>
    <w:p w:rsidR="00DE4FB2" w:rsidRPr="00AD5411" w:rsidRDefault="00DE4FB2" w:rsidP="005F6198">
      <w:pPr>
        <w:jc w:val="both"/>
        <w:rPr>
          <w:color w:val="000000"/>
          <w:szCs w:val="24"/>
          <w:shd w:val="clear" w:color="auto" w:fill="FFFFFF"/>
        </w:rPr>
      </w:pPr>
      <w:r w:rsidRPr="00AD5411">
        <w:rPr>
          <w:color w:val="000000"/>
          <w:szCs w:val="24"/>
        </w:rPr>
        <w:br/>
      </w:r>
    </w:p>
    <w:p w:rsidR="00DE4FB2" w:rsidRPr="00AD5411" w:rsidRDefault="00DE4FB2" w:rsidP="00AD5411">
      <w:pPr>
        <w:jc w:val="both"/>
        <w:rPr>
          <w:color w:val="000000"/>
          <w:szCs w:val="24"/>
          <w:shd w:val="clear" w:color="auto" w:fill="FFFFFF"/>
        </w:rPr>
      </w:pPr>
      <w:r w:rsidRPr="00AD5411">
        <w:rPr>
          <w:color w:val="000000"/>
          <w:szCs w:val="24"/>
          <w:shd w:val="clear" w:color="auto" w:fill="FFFFFF"/>
        </w:rPr>
        <w:t> </w:t>
      </w:r>
    </w:p>
    <w:p w:rsidR="008C63D1" w:rsidRPr="00CE761B" w:rsidRDefault="008C63D1" w:rsidP="005F6198">
      <w:pPr>
        <w:jc w:val="both"/>
      </w:pPr>
    </w:p>
    <w:p w:rsidR="00D6070F" w:rsidRDefault="00D6070F" w:rsidP="005F6198">
      <w:pPr>
        <w:jc w:val="both"/>
      </w:pPr>
    </w:p>
    <w:p w:rsidR="002C2158" w:rsidRDefault="00D6070F" w:rsidP="005F6198">
      <w:pPr>
        <w:jc w:val="both"/>
      </w:pPr>
      <w:r>
        <w:t xml:space="preserve"> </w:t>
      </w:r>
    </w:p>
    <w:p w:rsidR="00A839EB" w:rsidRDefault="00A839EB" w:rsidP="005F6198">
      <w:pPr>
        <w:jc w:val="both"/>
      </w:pPr>
    </w:p>
    <w:p w:rsidR="00CC243A" w:rsidRDefault="00CC243A" w:rsidP="005F6198">
      <w:pPr>
        <w:jc w:val="both"/>
      </w:pPr>
    </w:p>
    <w:p w:rsidR="00CC243A" w:rsidRDefault="00CC243A" w:rsidP="005F6198">
      <w:pPr>
        <w:jc w:val="both"/>
      </w:pPr>
    </w:p>
    <w:p w:rsidR="00631F4E" w:rsidRDefault="00631F4E" w:rsidP="005F6198">
      <w:pPr>
        <w:jc w:val="both"/>
      </w:pPr>
    </w:p>
    <w:p w:rsidR="005F6198" w:rsidRDefault="005F6198" w:rsidP="005F6198">
      <w:pPr>
        <w:jc w:val="both"/>
      </w:pPr>
    </w:p>
    <w:sectPr w:rsidR="005F61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686E" w:rsidRDefault="0060686E" w:rsidP="007A3123">
      <w:r>
        <w:separator/>
      </w:r>
    </w:p>
  </w:endnote>
  <w:endnote w:type="continuationSeparator" w:id="0">
    <w:p w:rsidR="0060686E" w:rsidRDefault="0060686E" w:rsidP="007A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686E" w:rsidRDefault="0060686E" w:rsidP="007A3123">
      <w:r>
        <w:separator/>
      </w:r>
    </w:p>
  </w:footnote>
  <w:footnote w:type="continuationSeparator" w:id="0">
    <w:p w:rsidR="0060686E" w:rsidRDefault="0060686E" w:rsidP="007A3123">
      <w:r>
        <w:continuationSeparator/>
      </w:r>
    </w:p>
  </w:footnote>
  <w:footnote w:id="1">
    <w:p w:rsidR="00F57CC6" w:rsidRDefault="00F57CC6">
      <w:pPr>
        <w:pStyle w:val="FootnoteText"/>
      </w:pPr>
      <w:r>
        <w:rPr>
          <w:rStyle w:val="FootnoteReference"/>
        </w:rPr>
        <w:footnoteRef/>
      </w:r>
      <w:r>
        <w:t xml:space="preserve"> </w:t>
      </w:r>
      <w:r w:rsidR="004E1EF0" w:rsidRPr="004E1EF0">
        <w:rPr>
          <w:color w:val="000000"/>
          <w:shd w:val="clear" w:color="auto" w:fill="FFFFFF"/>
        </w:rPr>
        <w:t>Sophie Gilliat, </w:t>
      </w:r>
      <w:r w:rsidR="004E1EF0" w:rsidRPr="004E1EF0">
        <w:rPr>
          <w:i/>
          <w:iCs/>
          <w:color w:val="000000"/>
          <w:shd w:val="clear" w:color="auto" w:fill="FFFFFF"/>
        </w:rPr>
        <w:t xml:space="preserve">Religious Identity Issues </w:t>
      </w:r>
      <w:r w:rsidR="004E1EF0" w:rsidRPr="004E1EF0">
        <w:rPr>
          <w:i/>
          <w:iCs/>
          <w:color w:val="000000"/>
          <w:shd w:val="clear" w:color="auto" w:fill="FFFFFF"/>
        </w:rPr>
        <w:t>for</w:t>
      </w:r>
      <w:r w:rsidR="004E1EF0" w:rsidRPr="004E1EF0">
        <w:rPr>
          <w:i/>
          <w:iCs/>
          <w:color w:val="000000"/>
          <w:shd w:val="clear" w:color="auto" w:fill="FFFFFF"/>
        </w:rPr>
        <w:t xml:space="preserve"> Muslims In Britain </w:t>
      </w:r>
      <w:r w:rsidR="004E1EF0" w:rsidRPr="004E1EF0">
        <w:rPr>
          <w:color w:val="000000"/>
          <w:shd w:val="clear" w:color="auto" w:fill="FFFFFF"/>
        </w:rPr>
        <w:t>(Lampeter: University of Wales, St. David's University college, 1992)</w:t>
      </w:r>
      <w:r w:rsidR="004E1EF0">
        <w:rPr>
          <w:color w:val="000000"/>
          <w:shd w:val="clear" w:color="auto" w:fill="FFFFFF"/>
        </w:rPr>
        <w:t xml:space="preserve">., </w:t>
      </w:r>
      <w:r w:rsidR="004E1EF0" w:rsidRPr="004E1EF0">
        <w:rPr>
          <w:color w:val="000000"/>
          <w:shd w:val="clear" w:color="auto" w:fill="FFFFFF"/>
        </w:rPr>
        <w:t>p.</w:t>
      </w:r>
      <w:r w:rsidRPr="004E1EF0">
        <w:t xml:space="preserve"> 49</w:t>
      </w:r>
      <w:r w:rsidR="004E1EF0" w:rsidRPr="004E1EF0">
        <w:t>.</w:t>
      </w:r>
    </w:p>
  </w:footnote>
  <w:footnote w:id="2">
    <w:p w:rsidR="00E202B2" w:rsidRDefault="00E202B2">
      <w:pPr>
        <w:pStyle w:val="FootnoteText"/>
      </w:pPr>
      <w:r>
        <w:rPr>
          <w:rStyle w:val="FootnoteReference"/>
        </w:rPr>
        <w:footnoteRef/>
      </w:r>
      <w:r>
        <w:t xml:space="preserve"> Ibid </w:t>
      </w:r>
    </w:p>
  </w:footnote>
  <w:footnote w:id="3">
    <w:p w:rsidR="00DD79BE" w:rsidRDefault="00DD79BE">
      <w:pPr>
        <w:pStyle w:val="FootnoteText"/>
      </w:pPr>
      <w:r>
        <w:rPr>
          <w:rStyle w:val="FootnoteReference"/>
        </w:rPr>
        <w:footnoteRef/>
      </w:r>
      <w:r>
        <w:t xml:space="preserve"> Ibid </w:t>
      </w:r>
    </w:p>
  </w:footnote>
  <w:footnote w:id="4">
    <w:p w:rsidR="00DD79BE" w:rsidRDefault="00DD79BE">
      <w:pPr>
        <w:pStyle w:val="FootnoteText"/>
      </w:pPr>
      <w:r>
        <w:rPr>
          <w:rStyle w:val="FootnoteReference"/>
        </w:rPr>
        <w:footnoteRef/>
      </w:r>
      <w:r>
        <w:t xml:space="preserve"> Ibid </w:t>
      </w:r>
    </w:p>
  </w:footnote>
  <w:footnote w:id="5">
    <w:p w:rsidR="00FF4628" w:rsidRDefault="00FF4628">
      <w:pPr>
        <w:pStyle w:val="FootnoteText"/>
      </w:pPr>
      <w:r>
        <w:rPr>
          <w:rStyle w:val="FootnoteReference"/>
        </w:rPr>
        <w:footnoteRef/>
      </w:r>
      <w:r>
        <w:t xml:space="preserve"> Ibid</w:t>
      </w:r>
    </w:p>
  </w:footnote>
  <w:footnote w:id="6">
    <w:p w:rsidR="009C0743" w:rsidRDefault="009C0743">
      <w:pPr>
        <w:pStyle w:val="FootnoteText"/>
      </w:pPr>
      <w:r>
        <w:rPr>
          <w:rStyle w:val="FootnoteReference"/>
        </w:rPr>
        <w:footnoteRef/>
      </w:r>
      <w:r>
        <w:t xml:space="preserve"> Ibid</w:t>
      </w:r>
      <w:r w:rsidR="004E1EF0">
        <w:t xml:space="preserve">., p. </w:t>
      </w:r>
      <w:r>
        <w:t>45</w:t>
      </w:r>
      <w:r w:rsidR="004E1EF0">
        <w:t>.</w:t>
      </w:r>
      <w:r>
        <w:t xml:space="preserve"> </w:t>
      </w:r>
    </w:p>
  </w:footnote>
  <w:footnote w:id="7">
    <w:p w:rsidR="003B7A1C" w:rsidRDefault="003B7A1C">
      <w:pPr>
        <w:pStyle w:val="FootnoteText"/>
      </w:pPr>
      <w:r>
        <w:rPr>
          <w:rStyle w:val="FootnoteReference"/>
        </w:rPr>
        <w:footnoteRef/>
      </w:r>
      <w:r>
        <w:t xml:space="preserve"> Ibid</w:t>
      </w:r>
      <w:r w:rsidR="004E1EF0">
        <w:t>., p.</w:t>
      </w:r>
      <w:r>
        <w:t xml:space="preserve"> 60</w:t>
      </w:r>
      <w:r w:rsidR="004E1EF0">
        <w:t>.</w:t>
      </w:r>
      <w:r>
        <w:t xml:space="preserve"> </w:t>
      </w:r>
    </w:p>
  </w:footnote>
  <w:footnote w:id="8">
    <w:p w:rsidR="00CF4FFA" w:rsidRDefault="00CF4FFA">
      <w:pPr>
        <w:pStyle w:val="FootnoteText"/>
      </w:pPr>
      <w:r>
        <w:rPr>
          <w:rStyle w:val="FootnoteReference"/>
        </w:rPr>
        <w:footnoteRef/>
      </w:r>
      <w:r>
        <w:t xml:space="preserve"> Ibid</w:t>
      </w:r>
      <w:r w:rsidR="004E1EF0">
        <w:t>., p.</w:t>
      </w:r>
      <w:r>
        <w:t xml:space="preserve"> 61</w:t>
      </w:r>
      <w:r w:rsidR="004E1EF0">
        <w:t>.</w:t>
      </w:r>
      <w:r>
        <w:t xml:space="preserve"> </w:t>
      </w:r>
    </w:p>
  </w:footnote>
  <w:footnote w:id="9">
    <w:p w:rsidR="00294CE9" w:rsidRDefault="00294CE9">
      <w:pPr>
        <w:pStyle w:val="FootnoteText"/>
      </w:pPr>
      <w:r>
        <w:rPr>
          <w:rStyle w:val="FootnoteReference"/>
        </w:rPr>
        <w:footnoteRef/>
      </w:r>
      <w:r>
        <w:t xml:space="preserve"> </w:t>
      </w:r>
      <w:r w:rsidR="004E1EF0">
        <w:t xml:space="preserve"> </w:t>
      </w:r>
      <w:r>
        <w:t>Ibid</w:t>
      </w:r>
      <w:r w:rsidR="004E1EF0">
        <w:t>., p.</w:t>
      </w:r>
      <w:r>
        <w:t xml:space="preserve"> 60-61</w:t>
      </w:r>
      <w:r w:rsidR="004E1EF0">
        <w:t>.</w:t>
      </w:r>
    </w:p>
  </w:footnote>
  <w:footnote w:id="10">
    <w:p w:rsidR="00294CE9" w:rsidRDefault="00294CE9">
      <w:pPr>
        <w:pStyle w:val="FootnoteText"/>
      </w:pPr>
      <w:r>
        <w:rPr>
          <w:rStyle w:val="FootnoteReference"/>
        </w:rPr>
        <w:footnoteRef/>
      </w:r>
      <w:r>
        <w:t xml:space="preserve"> Ibid</w:t>
      </w:r>
      <w:r w:rsidR="004E1EF0">
        <w:t>., p.</w:t>
      </w:r>
      <w:r>
        <w:t xml:space="preserve"> 60</w:t>
      </w:r>
      <w:r w:rsidR="004E1EF0">
        <w:t>.</w:t>
      </w:r>
      <w:r>
        <w:t xml:space="preserve"> </w:t>
      </w:r>
    </w:p>
  </w:footnote>
  <w:footnote w:id="11">
    <w:p w:rsidR="002C2158" w:rsidRDefault="002C2158">
      <w:pPr>
        <w:pStyle w:val="FootnoteText"/>
      </w:pPr>
      <w:r>
        <w:rPr>
          <w:rStyle w:val="FootnoteReference"/>
        </w:rPr>
        <w:footnoteRef/>
      </w:r>
      <w:r>
        <w:t xml:space="preserve"> Ibid</w:t>
      </w:r>
      <w:r w:rsidR="004E1EF0">
        <w:t>.</w:t>
      </w:r>
      <w:r>
        <w:t xml:space="preserve"> </w:t>
      </w:r>
    </w:p>
  </w:footnote>
  <w:footnote w:id="12">
    <w:p w:rsidR="002C2158" w:rsidRDefault="002C2158">
      <w:pPr>
        <w:pStyle w:val="FootnoteText"/>
      </w:pPr>
      <w:r>
        <w:rPr>
          <w:rStyle w:val="FootnoteReference"/>
        </w:rPr>
        <w:footnoteRef/>
      </w:r>
      <w:r>
        <w:t xml:space="preserve"> Ibid</w:t>
      </w:r>
      <w:r w:rsidR="004E1EF0">
        <w:t>., p.</w:t>
      </w:r>
      <w:r>
        <w:t xml:space="preserve"> 61</w:t>
      </w:r>
      <w:r w:rsidR="004E1EF0">
        <w:t>.</w:t>
      </w:r>
      <w:r>
        <w:t xml:space="preserve"> </w:t>
      </w:r>
    </w:p>
  </w:footnote>
  <w:footnote w:id="13">
    <w:p w:rsidR="00D6070F" w:rsidRDefault="00D6070F">
      <w:pPr>
        <w:pStyle w:val="FootnoteText"/>
      </w:pPr>
      <w:r>
        <w:rPr>
          <w:rStyle w:val="FootnoteReference"/>
        </w:rPr>
        <w:footnoteRef/>
      </w:r>
      <w:r>
        <w:t xml:space="preserve"> Ibid </w:t>
      </w:r>
    </w:p>
  </w:footnote>
  <w:footnote w:id="14">
    <w:p w:rsidR="002741CB" w:rsidRDefault="002741CB">
      <w:pPr>
        <w:pStyle w:val="FootnoteText"/>
      </w:pPr>
      <w:r>
        <w:rPr>
          <w:rStyle w:val="FootnoteReference"/>
        </w:rPr>
        <w:footnoteRef/>
      </w:r>
      <w:r>
        <w:t xml:space="preserve"> Ibid</w:t>
      </w:r>
      <w:r w:rsidR="004E1EF0">
        <w:t>., p.</w:t>
      </w:r>
      <w:r>
        <w:t xml:space="preserve"> 62</w:t>
      </w:r>
      <w:r w:rsidR="004E1EF0">
        <w:t>.</w:t>
      </w:r>
      <w:r>
        <w:t xml:space="preserve"> </w:t>
      </w:r>
    </w:p>
  </w:footnote>
  <w:footnote w:id="15">
    <w:p w:rsidR="008978E6" w:rsidRPr="004E1EF0" w:rsidRDefault="008978E6">
      <w:pPr>
        <w:pStyle w:val="FootnoteText"/>
      </w:pPr>
      <w:r w:rsidRPr="004E1EF0">
        <w:rPr>
          <w:rStyle w:val="FootnoteReference"/>
        </w:rPr>
        <w:footnoteRef/>
      </w:r>
      <w:r w:rsidRPr="004E1EF0">
        <w:t xml:space="preserve"> </w:t>
      </w:r>
      <w:r w:rsidR="004E1EF0" w:rsidRPr="004E1EF0">
        <w:rPr>
          <w:color w:val="000000"/>
          <w:shd w:val="clear" w:color="auto" w:fill="FFFFFF"/>
        </w:rPr>
        <w:t>Members of the Commission, </w:t>
      </w:r>
      <w:r w:rsidR="004E1EF0" w:rsidRPr="004E1EF0">
        <w:rPr>
          <w:i/>
          <w:iCs/>
          <w:color w:val="000000"/>
          <w:shd w:val="clear" w:color="auto" w:fill="FFFFFF"/>
        </w:rPr>
        <w:t xml:space="preserve">Islamophobia: A Challenge </w:t>
      </w:r>
      <w:r w:rsidR="004E1EF0" w:rsidRPr="004E1EF0">
        <w:rPr>
          <w:i/>
          <w:iCs/>
          <w:color w:val="000000"/>
          <w:shd w:val="clear" w:color="auto" w:fill="FFFFFF"/>
        </w:rPr>
        <w:t>for</w:t>
      </w:r>
      <w:r w:rsidR="004E1EF0" w:rsidRPr="004E1EF0">
        <w:rPr>
          <w:i/>
          <w:iCs/>
          <w:color w:val="000000"/>
          <w:shd w:val="clear" w:color="auto" w:fill="FFFFFF"/>
        </w:rPr>
        <w:t xml:space="preserve"> U</w:t>
      </w:r>
      <w:r w:rsidR="004E1EF0">
        <w:rPr>
          <w:i/>
          <w:iCs/>
          <w:color w:val="000000"/>
          <w:shd w:val="clear" w:color="auto" w:fill="FFFFFF"/>
        </w:rPr>
        <w:t>s</w:t>
      </w:r>
      <w:r w:rsidR="004E1EF0" w:rsidRPr="004E1EF0">
        <w:rPr>
          <w:i/>
          <w:iCs/>
          <w:color w:val="000000"/>
          <w:shd w:val="clear" w:color="auto" w:fill="FFFFFF"/>
        </w:rPr>
        <w:t xml:space="preserve"> All</w:t>
      </w:r>
      <w:r w:rsidR="004E1EF0" w:rsidRPr="004E1EF0">
        <w:rPr>
          <w:color w:val="000000"/>
          <w:shd w:val="clear" w:color="auto" w:fill="FFFFFF"/>
        </w:rPr>
        <w:t>, ed. by Robin Richardson (London: The Runnymede Trust, 1997).</w:t>
      </w:r>
    </w:p>
  </w:footnote>
  <w:footnote w:id="16">
    <w:p w:rsidR="00CE761B" w:rsidRPr="00DE4FB2" w:rsidRDefault="00CE761B">
      <w:pPr>
        <w:pStyle w:val="FootnoteText"/>
      </w:pPr>
      <w:r>
        <w:rPr>
          <w:rStyle w:val="FootnoteReference"/>
        </w:rPr>
        <w:footnoteRef/>
      </w:r>
      <w:r w:rsidR="00DE4FB2">
        <w:t xml:space="preserve"> </w:t>
      </w:r>
      <w:r w:rsidR="00DE4FB2" w:rsidRPr="00DE4FB2">
        <w:rPr>
          <w:color w:val="000000"/>
          <w:shd w:val="clear" w:color="auto" w:fill="FFFFFF"/>
        </w:rPr>
        <w:t>Sir Roger Jenkins, Trevor Phillips, 'Islamophobia Defined ', </w:t>
      </w:r>
      <w:r w:rsidR="00DE4FB2" w:rsidRPr="00DE4FB2">
        <w:rPr>
          <w:i/>
          <w:iCs/>
          <w:color w:val="000000"/>
          <w:shd w:val="clear" w:color="auto" w:fill="FFFFFF"/>
        </w:rPr>
        <w:t>Policy Exchange</w:t>
      </w:r>
      <w:r w:rsidR="00DE4FB2" w:rsidRPr="00DE4FB2">
        <w:rPr>
          <w:color w:val="000000"/>
          <w:shd w:val="clear" w:color="auto" w:fill="FFFFFF"/>
        </w:rPr>
        <w:t>, (2018)</w:t>
      </w:r>
      <w:proofErr w:type="gramStart"/>
      <w:r w:rsidR="00DE4FB2" w:rsidRPr="00DE4FB2">
        <w:rPr>
          <w:color w:val="000000"/>
          <w:shd w:val="clear" w:color="auto" w:fill="FFFFFF"/>
        </w:rPr>
        <w:t>, ,in</w:t>
      </w:r>
      <w:proofErr w:type="gramEnd"/>
      <w:r w:rsidR="00DE4FB2" w:rsidRPr="00DE4FB2">
        <w:rPr>
          <w:color w:val="000000"/>
          <w:shd w:val="clear" w:color="auto" w:fill="FFFFFF"/>
        </w:rPr>
        <w:t> </w:t>
      </w:r>
      <w:r w:rsidR="00DE4FB2" w:rsidRPr="00DE4FB2">
        <w:rPr>
          <w:i/>
          <w:iCs/>
          <w:color w:val="000000"/>
          <w:shd w:val="clear" w:color="auto" w:fill="FFFFFF"/>
        </w:rPr>
        <w:t xml:space="preserve">&lt;https://policyexchange.org.uk/wp-content/uploads/2018/12/Defining-Islamophobia.pdf&gt; </w:t>
      </w:r>
      <w:r w:rsidR="00DE4FB2" w:rsidRPr="00DE4FB2">
        <w:rPr>
          <w:iCs/>
          <w:color w:val="000000"/>
          <w:shd w:val="clear" w:color="auto" w:fill="FFFFFF"/>
        </w:rPr>
        <w:t>[accessed 17 December 2019].</w:t>
      </w:r>
      <w:r w:rsidRPr="00DE4FB2">
        <w:t xml:space="preserve"> p 5. </w:t>
      </w:r>
    </w:p>
  </w:footnote>
  <w:footnote w:id="17">
    <w:p w:rsidR="00CE761B" w:rsidRDefault="00CE761B">
      <w:pPr>
        <w:pStyle w:val="FootnoteText"/>
      </w:pPr>
      <w:r>
        <w:rPr>
          <w:rStyle w:val="FootnoteReference"/>
        </w:rPr>
        <w:footnoteRef/>
      </w:r>
      <w:r>
        <w:t xml:space="preserve"> Ibid 7. </w:t>
      </w:r>
    </w:p>
  </w:footnote>
  <w:footnote w:id="18">
    <w:p w:rsidR="0060338F" w:rsidRDefault="0060338F">
      <w:pPr>
        <w:pStyle w:val="FootnoteText"/>
      </w:pPr>
      <w:r>
        <w:rPr>
          <w:rStyle w:val="FootnoteReference"/>
        </w:rPr>
        <w:footnoteRef/>
      </w:r>
      <w:r>
        <w:t xml:space="preserve"> </w:t>
      </w:r>
      <w:r w:rsidR="004E1EF0" w:rsidRPr="004E1EF0">
        <w:rPr>
          <w:color w:val="000000"/>
          <w:shd w:val="clear" w:color="auto" w:fill="FFFFFF"/>
        </w:rPr>
        <w:t>All Party Parliamentary Group on British Muslims, </w:t>
      </w:r>
      <w:r w:rsidR="004E1EF0" w:rsidRPr="004E1EF0">
        <w:rPr>
          <w:i/>
          <w:iCs/>
          <w:color w:val="000000"/>
          <w:shd w:val="clear" w:color="auto" w:fill="FFFFFF"/>
        </w:rPr>
        <w:t>Islamophobia Defined </w:t>
      </w:r>
      <w:r w:rsidR="004E1EF0" w:rsidRPr="004E1EF0">
        <w:rPr>
          <w:color w:val="000000"/>
          <w:shd w:val="clear" w:color="auto" w:fill="FFFFFF"/>
        </w:rPr>
        <w:t>(2018), in, &lt;https://appgbritishmuslims.org/publications &gt; [accessed 17 December 2019].</w:t>
      </w:r>
      <w:r w:rsidR="004E1EF0">
        <w:rPr>
          <w:color w:val="000000"/>
          <w:shd w:val="clear" w:color="auto" w:fill="FFFFFF"/>
        </w:rPr>
        <w:t>, p.</w:t>
      </w:r>
      <w:r w:rsidRPr="004E1EF0">
        <w:t xml:space="preserve"> 56</w:t>
      </w:r>
      <w:r w:rsidR="004E1EF0">
        <w:t>.</w:t>
      </w:r>
      <w:r>
        <w:t xml:space="preserve"> </w:t>
      </w:r>
    </w:p>
  </w:footnote>
  <w:footnote w:id="19">
    <w:p w:rsidR="00BA2CC4" w:rsidRPr="00DE4FB2" w:rsidRDefault="00BA2CC4">
      <w:pPr>
        <w:pStyle w:val="FootnoteText"/>
      </w:pPr>
      <w:r>
        <w:rPr>
          <w:rStyle w:val="FootnoteReference"/>
        </w:rPr>
        <w:footnoteRef/>
      </w:r>
      <w:r>
        <w:t xml:space="preserve"> </w:t>
      </w:r>
      <w:r w:rsidR="00DE4FB2" w:rsidRPr="00DE4FB2">
        <w:rPr>
          <w:i/>
          <w:iCs/>
          <w:color w:val="000000"/>
          <w:shd w:val="clear" w:color="auto" w:fill="FFFFFF"/>
        </w:rPr>
        <w:t>Government rejects controversial definition of Islamophobia after warning from terror police</w:t>
      </w:r>
      <w:r w:rsidR="00DE4FB2" w:rsidRPr="00DE4FB2">
        <w:rPr>
          <w:color w:val="000000"/>
          <w:shd w:val="clear" w:color="auto" w:fill="FFFFFF"/>
        </w:rPr>
        <w:t> (2019) &lt;https://www.itv.com/news/2019-05-15/police-counter-terror-chief-joins-row-over-islamophobia-definition/&gt; [accessed 17 December 2019].</w:t>
      </w:r>
    </w:p>
  </w:footnote>
  <w:footnote w:id="20">
    <w:p w:rsidR="00A140E8" w:rsidRPr="00DE4FB2" w:rsidRDefault="00A140E8" w:rsidP="00DE4FB2">
      <w:pPr>
        <w:jc w:val="both"/>
        <w:rPr>
          <w:sz w:val="20"/>
        </w:rPr>
      </w:pPr>
      <w:r>
        <w:rPr>
          <w:rStyle w:val="FootnoteReference"/>
        </w:rPr>
        <w:footnoteRef/>
      </w:r>
      <w:r>
        <w:t xml:space="preserve"> </w:t>
      </w:r>
      <w:r w:rsidR="00DE4FB2">
        <w:t xml:space="preserve">Jeremy </w:t>
      </w:r>
      <w:proofErr w:type="spellStart"/>
      <w:r w:rsidR="00DE4FB2" w:rsidRPr="00DE4FB2">
        <w:rPr>
          <w:sz w:val="20"/>
        </w:rPr>
        <w:t>Coid</w:t>
      </w:r>
      <w:proofErr w:type="spellEnd"/>
      <w:r w:rsidR="00DE4FB2" w:rsidRPr="00DE4FB2">
        <w:rPr>
          <w:sz w:val="20"/>
        </w:rPr>
        <w:t xml:space="preserve">, </w:t>
      </w:r>
      <w:proofErr w:type="spellStart"/>
      <w:r w:rsidR="00DE4FB2" w:rsidRPr="00DE4FB2">
        <w:rPr>
          <w:sz w:val="20"/>
        </w:rPr>
        <w:t>Bhui</w:t>
      </w:r>
      <w:proofErr w:type="spellEnd"/>
      <w:r w:rsidR="00DE4FB2" w:rsidRPr="00DE4FB2">
        <w:rPr>
          <w:sz w:val="20"/>
        </w:rPr>
        <w:t xml:space="preserve">, K., MacManus, D., </w:t>
      </w:r>
      <w:proofErr w:type="spellStart"/>
      <w:r w:rsidR="00DE4FB2" w:rsidRPr="00DE4FB2">
        <w:rPr>
          <w:sz w:val="20"/>
        </w:rPr>
        <w:t>Kallis</w:t>
      </w:r>
      <w:proofErr w:type="spellEnd"/>
      <w:r w:rsidR="00DE4FB2" w:rsidRPr="00DE4FB2">
        <w:rPr>
          <w:sz w:val="20"/>
        </w:rPr>
        <w:t>, C., Bebbington, P., &amp; Ullrich, S. (2016). Extremism, religion and psychiatric morbidity in a population-based sample of young men. British Journal of Psychiatry, 209(6), 491-497. doi:10.1192/bjp.bp.116.186510 [accessed 17 December 2019].</w:t>
      </w:r>
      <w:r w:rsidR="00DE4FB2" w:rsidRPr="00DE4FB2">
        <w:rPr>
          <w:sz w:val="20"/>
        </w:rPr>
        <w:t>, p. 496.</w:t>
      </w:r>
    </w:p>
  </w:footnote>
  <w:footnote w:id="21">
    <w:p w:rsidR="006C37AC" w:rsidRDefault="006C37AC">
      <w:pPr>
        <w:pStyle w:val="FootnoteText"/>
      </w:pPr>
      <w:r>
        <w:rPr>
          <w:rStyle w:val="FootnoteReference"/>
        </w:rPr>
        <w:footnoteRef/>
      </w:r>
      <w:r>
        <w:t xml:space="preserve"> Ibid</w:t>
      </w:r>
      <w:r w:rsidR="00DE4FB2">
        <w:t>.</w:t>
      </w:r>
    </w:p>
  </w:footnote>
  <w:footnote w:id="22">
    <w:p w:rsidR="003A0120" w:rsidRDefault="003A0120">
      <w:pPr>
        <w:pStyle w:val="FootnoteText"/>
      </w:pPr>
      <w:r>
        <w:rPr>
          <w:rStyle w:val="FootnoteReference"/>
        </w:rPr>
        <w:footnoteRef/>
      </w:r>
      <w:r>
        <w:t xml:space="preserve"> </w:t>
      </w:r>
      <w:r w:rsidR="00DE4FB2" w:rsidRPr="004E1EF0">
        <w:rPr>
          <w:color w:val="000000"/>
          <w:shd w:val="clear" w:color="auto" w:fill="FFFFFF"/>
        </w:rPr>
        <w:t>Sophie Gilliat, </w:t>
      </w:r>
      <w:r w:rsidR="00DE4FB2" w:rsidRPr="004E1EF0">
        <w:rPr>
          <w:i/>
          <w:iCs/>
          <w:color w:val="000000"/>
          <w:shd w:val="clear" w:color="auto" w:fill="FFFFFF"/>
        </w:rPr>
        <w:t>Religious Identity Issues for Muslims In Britain</w:t>
      </w:r>
      <w:r w:rsidR="00DE4FB2">
        <w:rPr>
          <w:i/>
          <w:iCs/>
          <w:color w:val="000000"/>
          <w:shd w:val="clear" w:color="auto" w:fill="FFFFFF"/>
        </w:rPr>
        <w:t>.</w:t>
      </w:r>
      <w:r w:rsidR="00DE4FB2">
        <w:rPr>
          <w:iCs/>
          <w:color w:val="000000"/>
          <w:shd w:val="clear" w:color="auto" w:fill="FFFFFF"/>
        </w:rPr>
        <w:t xml:space="preserve">, p. 62. </w:t>
      </w:r>
      <w:r w:rsidR="00DE4FB2" w:rsidRPr="004E1EF0">
        <w:rPr>
          <w:i/>
          <w:iCs/>
          <w:color w:val="000000"/>
          <w:shd w:val="clear" w:color="auto" w:fill="FFFFFF"/>
        </w:rPr>
        <w:t> </w:t>
      </w:r>
    </w:p>
  </w:footnote>
  <w:footnote w:id="23">
    <w:p w:rsidR="00B46F0F" w:rsidRDefault="00B46F0F">
      <w:pPr>
        <w:pStyle w:val="FootnoteText"/>
      </w:pPr>
      <w:r>
        <w:rPr>
          <w:rStyle w:val="FootnoteReference"/>
        </w:rPr>
        <w:footnoteRef/>
      </w:r>
      <w:r>
        <w:t xml:space="preserve"> Ibid</w:t>
      </w:r>
      <w:r w:rsidR="00DE4FB2">
        <w:t>., p.</w:t>
      </w:r>
      <w:r>
        <w:t xml:space="preserve"> 63</w:t>
      </w:r>
      <w:r w:rsidR="00DE4FB2">
        <w:t>.</w:t>
      </w:r>
      <w:r>
        <w:t xml:space="preserve"> </w:t>
      </w:r>
    </w:p>
  </w:footnote>
  <w:footnote w:id="24">
    <w:p w:rsidR="00B46F0F" w:rsidRDefault="00B46F0F">
      <w:pPr>
        <w:pStyle w:val="FootnoteText"/>
      </w:pPr>
      <w:r>
        <w:rPr>
          <w:rStyle w:val="FootnoteReference"/>
        </w:rPr>
        <w:footnoteRef/>
      </w:r>
      <w:r>
        <w:t xml:space="preserve"> Ibid</w:t>
      </w:r>
      <w:r w:rsidR="00DE4FB2">
        <w:t>.</w:t>
      </w:r>
      <w:r>
        <w:t xml:space="preserve"> </w:t>
      </w:r>
    </w:p>
  </w:footnote>
  <w:footnote w:id="25">
    <w:p w:rsidR="00B46F0F" w:rsidRDefault="00B46F0F">
      <w:pPr>
        <w:pStyle w:val="FootnoteText"/>
      </w:pPr>
      <w:r>
        <w:rPr>
          <w:rStyle w:val="FootnoteReference"/>
        </w:rPr>
        <w:footnoteRef/>
      </w:r>
      <w:r>
        <w:t xml:space="preserve"> Ibid</w:t>
      </w:r>
      <w:r w:rsidR="00DE4FB2">
        <w:t>.</w:t>
      </w:r>
      <w:r>
        <w:t xml:space="preserve"> </w:t>
      </w:r>
    </w:p>
  </w:footnote>
  <w:footnote w:id="26">
    <w:p w:rsidR="00601882" w:rsidRDefault="00601882">
      <w:pPr>
        <w:pStyle w:val="FootnoteText"/>
      </w:pPr>
      <w:r>
        <w:rPr>
          <w:rStyle w:val="FootnoteReference"/>
        </w:rPr>
        <w:footnoteRef/>
      </w:r>
      <w:r>
        <w:t xml:space="preserve"> Ibid</w:t>
      </w:r>
      <w:r w:rsidR="00DE4FB2">
        <w:t>., p.</w:t>
      </w:r>
      <w:r>
        <w:t xml:space="preserve"> 65</w:t>
      </w:r>
      <w:r w:rsidR="00DE4FB2">
        <w:t>.</w:t>
      </w:r>
    </w:p>
  </w:footnote>
  <w:footnote w:id="27">
    <w:p w:rsidR="009F40FB" w:rsidRDefault="009F40FB">
      <w:pPr>
        <w:pStyle w:val="FootnoteText"/>
      </w:pPr>
      <w:r>
        <w:rPr>
          <w:rStyle w:val="FootnoteReference"/>
        </w:rPr>
        <w:footnoteRef/>
      </w:r>
      <w:r>
        <w:t xml:space="preserve"> Ibid</w:t>
      </w:r>
      <w:r w:rsidR="00DE4FB2">
        <w:t>., p.</w:t>
      </w:r>
      <w:r>
        <w:t xml:space="preserve"> 66</w:t>
      </w:r>
      <w:r w:rsidR="00DE4FB2">
        <w:t xml:space="preserve">. </w:t>
      </w:r>
      <w:r>
        <w:t xml:space="preserve"> </w:t>
      </w:r>
    </w:p>
  </w:footnote>
  <w:footnote w:id="28">
    <w:p w:rsidR="000F209C" w:rsidRDefault="000F209C">
      <w:pPr>
        <w:pStyle w:val="FootnoteText"/>
      </w:pPr>
      <w:r>
        <w:rPr>
          <w:rStyle w:val="FootnoteReference"/>
        </w:rPr>
        <w:footnoteRef/>
      </w:r>
      <w:r>
        <w:t xml:space="preserve"> </w:t>
      </w:r>
      <w:r w:rsidR="00DE4FB2" w:rsidRPr="00DE4FB2">
        <w:rPr>
          <w:i/>
          <w:iCs/>
          <w:color w:val="000000"/>
          <w:shd w:val="clear" w:color="auto" w:fill="FFFFFF"/>
        </w:rPr>
        <w:t>Overview of Muslim schools in the UK (2013) </w:t>
      </w:r>
      <w:r w:rsidR="00DE4FB2" w:rsidRPr="00DE4FB2">
        <w:rPr>
          <w:color w:val="000000"/>
          <w:shd w:val="clear" w:color="auto" w:fill="FFFFFF"/>
        </w:rPr>
        <w:t>() &lt;https://ams-uk.org/muslim-schools-in-uk/&gt; [accessed 17 December 2019].</w:t>
      </w:r>
    </w:p>
  </w:footnote>
  <w:footnote w:id="29">
    <w:p w:rsidR="0070385B" w:rsidRDefault="0070385B">
      <w:pPr>
        <w:pStyle w:val="FootnoteText"/>
      </w:pPr>
      <w:r>
        <w:rPr>
          <w:rStyle w:val="FootnoteReference"/>
        </w:rPr>
        <w:footnoteRef/>
      </w:r>
      <w:r>
        <w:t xml:space="preserve"> </w:t>
      </w:r>
      <w:r w:rsidR="00DE4FB2" w:rsidRPr="004E1EF0">
        <w:rPr>
          <w:color w:val="000000"/>
          <w:shd w:val="clear" w:color="auto" w:fill="FFFFFF"/>
        </w:rPr>
        <w:t>Sophie Gilliat, </w:t>
      </w:r>
      <w:r w:rsidR="00DE4FB2" w:rsidRPr="004E1EF0">
        <w:rPr>
          <w:i/>
          <w:iCs/>
          <w:color w:val="000000"/>
          <w:shd w:val="clear" w:color="auto" w:fill="FFFFFF"/>
        </w:rPr>
        <w:t>Religious Identity Issues for Muslims In Britain</w:t>
      </w:r>
      <w:r w:rsidR="00DE4FB2">
        <w:rPr>
          <w:i/>
          <w:iCs/>
          <w:color w:val="000000"/>
          <w:shd w:val="clear" w:color="auto" w:fill="FFFFFF"/>
        </w:rPr>
        <w:t>.</w:t>
      </w:r>
      <w:r w:rsidR="00DE4FB2">
        <w:rPr>
          <w:iCs/>
          <w:color w:val="000000"/>
          <w:shd w:val="clear" w:color="auto" w:fill="FFFFFF"/>
        </w:rPr>
        <w:t>, p</w:t>
      </w:r>
      <w:r w:rsidR="00DE4FB2">
        <w:rPr>
          <w:iCs/>
          <w:color w:val="000000"/>
          <w:shd w:val="clear" w:color="auto" w:fill="FFFFFF"/>
        </w:rPr>
        <w:t>.</w:t>
      </w:r>
      <w:r>
        <w:t xml:space="preserve"> 66</w:t>
      </w:r>
      <w:r w:rsidR="00DE4FB2">
        <w:t>.</w:t>
      </w:r>
      <w:r>
        <w:t xml:space="preserve"> </w:t>
      </w:r>
    </w:p>
  </w:footnote>
  <w:footnote w:id="30">
    <w:p w:rsidR="006C7E32" w:rsidRDefault="006C7E32">
      <w:pPr>
        <w:pStyle w:val="FootnoteText"/>
      </w:pPr>
      <w:r>
        <w:rPr>
          <w:rStyle w:val="FootnoteReference"/>
        </w:rPr>
        <w:footnoteRef/>
      </w:r>
      <w:r>
        <w:t xml:space="preserve"> Ibid</w:t>
      </w:r>
      <w:r w:rsidR="00DE4FB2">
        <w:t>., p.</w:t>
      </w:r>
      <w:r>
        <w:t xml:space="preserve"> 67</w:t>
      </w:r>
      <w:r w:rsidR="00DE4FB2">
        <w:t>.</w:t>
      </w:r>
      <w:r>
        <w:t xml:space="preserve"> </w:t>
      </w:r>
    </w:p>
  </w:footnote>
  <w:footnote w:id="31">
    <w:p w:rsidR="00C01801" w:rsidRDefault="00C01801">
      <w:pPr>
        <w:pStyle w:val="FootnoteText"/>
      </w:pPr>
      <w:r>
        <w:rPr>
          <w:rStyle w:val="FootnoteReference"/>
        </w:rPr>
        <w:footnoteRef/>
      </w:r>
      <w:r w:rsidR="00DE4FB2">
        <w:rPr>
          <w:color w:val="000000"/>
        </w:rPr>
        <w:t xml:space="preserve"> </w:t>
      </w:r>
      <w:r w:rsidR="00DE4FB2" w:rsidRPr="00DE4FB2">
        <w:rPr>
          <w:i/>
          <w:iCs/>
          <w:color w:val="000000"/>
          <w:shd w:val="clear" w:color="auto" w:fill="FFFFFF"/>
        </w:rPr>
        <w:t>The Organisation </w:t>
      </w:r>
      <w:r w:rsidR="00DE4FB2" w:rsidRPr="00DE4FB2">
        <w:rPr>
          <w:color w:val="000000"/>
          <w:shd w:val="clear" w:color="auto" w:fill="FFFFFF"/>
        </w:rPr>
        <w:t>() &lt;https://www.isb.org.uk/the-organisation/&gt; [accessed 17 December 2019].</w:t>
      </w:r>
    </w:p>
  </w:footnote>
  <w:footnote w:id="32">
    <w:p w:rsidR="002D5C8E" w:rsidRDefault="002D5C8E">
      <w:pPr>
        <w:pStyle w:val="FootnoteText"/>
      </w:pPr>
      <w:r>
        <w:rPr>
          <w:rStyle w:val="FootnoteReference"/>
        </w:rPr>
        <w:footnoteRef/>
      </w:r>
      <w:r>
        <w:t xml:space="preserve"> Ibid.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98"/>
    <w:rsid w:val="0003655F"/>
    <w:rsid w:val="00097096"/>
    <w:rsid w:val="000E4463"/>
    <w:rsid w:val="000F209C"/>
    <w:rsid w:val="00122D93"/>
    <w:rsid w:val="001972F3"/>
    <w:rsid w:val="001E4540"/>
    <w:rsid w:val="002741CB"/>
    <w:rsid w:val="00294CE9"/>
    <w:rsid w:val="002C2158"/>
    <w:rsid w:val="002D5C8E"/>
    <w:rsid w:val="00354BB7"/>
    <w:rsid w:val="00364089"/>
    <w:rsid w:val="00373A8A"/>
    <w:rsid w:val="003A0120"/>
    <w:rsid w:val="003B7A1C"/>
    <w:rsid w:val="00427CAB"/>
    <w:rsid w:val="00482489"/>
    <w:rsid w:val="004A6464"/>
    <w:rsid w:val="004E1EF0"/>
    <w:rsid w:val="004E35E9"/>
    <w:rsid w:val="004E6E32"/>
    <w:rsid w:val="005748FC"/>
    <w:rsid w:val="005929FD"/>
    <w:rsid w:val="005C7C0C"/>
    <w:rsid w:val="005E0E0E"/>
    <w:rsid w:val="005E4AF1"/>
    <w:rsid w:val="005F6198"/>
    <w:rsid w:val="0060128C"/>
    <w:rsid w:val="00601882"/>
    <w:rsid w:val="0060338F"/>
    <w:rsid w:val="0060686E"/>
    <w:rsid w:val="00610F8B"/>
    <w:rsid w:val="00631F4E"/>
    <w:rsid w:val="006B2C68"/>
    <w:rsid w:val="006C37AC"/>
    <w:rsid w:val="006C6681"/>
    <w:rsid w:val="006C7E32"/>
    <w:rsid w:val="0070385B"/>
    <w:rsid w:val="007045DC"/>
    <w:rsid w:val="00757F7C"/>
    <w:rsid w:val="0079102E"/>
    <w:rsid w:val="007A3123"/>
    <w:rsid w:val="007B7EEB"/>
    <w:rsid w:val="0082274F"/>
    <w:rsid w:val="008978E6"/>
    <w:rsid w:val="008C54CC"/>
    <w:rsid w:val="008C63D1"/>
    <w:rsid w:val="009A22F3"/>
    <w:rsid w:val="009A7BC5"/>
    <w:rsid w:val="009B7A54"/>
    <w:rsid w:val="009C0743"/>
    <w:rsid w:val="009E291F"/>
    <w:rsid w:val="009F40FB"/>
    <w:rsid w:val="00A00619"/>
    <w:rsid w:val="00A036AA"/>
    <w:rsid w:val="00A04807"/>
    <w:rsid w:val="00A140E8"/>
    <w:rsid w:val="00A64499"/>
    <w:rsid w:val="00A839EB"/>
    <w:rsid w:val="00AD5411"/>
    <w:rsid w:val="00B46F0F"/>
    <w:rsid w:val="00B9221C"/>
    <w:rsid w:val="00BA2CC4"/>
    <w:rsid w:val="00BB0935"/>
    <w:rsid w:val="00C01801"/>
    <w:rsid w:val="00CC243A"/>
    <w:rsid w:val="00CE761B"/>
    <w:rsid w:val="00CF4FFA"/>
    <w:rsid w:val="00D25918"/>
    <w:rsid w:val="00D6070F"/>
    <w:rsid w:val="00DD79BE"/>
    <w:rsid w:val="00DE4FB2"/>
    <w:rsid w:val="00E102ED"/>
    <w:rsid w:val="00E202B2"/>
    <w:rsid w:val="00EE79BE"/>
    <w:rsid w:val="00F20D69"/>
    <w:rsid w:val="00F57CC6"/>
    <w:rsid w:val="00F86867"/>
    <w:rsid w:val="00FC441B"/>
    <w:rsid w:val="00FF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5DAB"/>
  <w15:chartTrackingRefBased/>
  <w15:docId w15:val="{C44B16EB-3D6D-4D2B-AB8D-5C0AC2F41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619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3123"/>
    <w:rPr>
      <w:sz w:val="20"/>
    </w:rPr>
  </w:style>
  <w:style w:type="character" w:customStyle="1" w:styleId="FootnoteTextChar">
    <w:name w:val="Footnote Text Char"/>
    <w:basedOn w:val="DefaultParagraphFont"/>
    <w:link w:val="FootnoteText"/>
    <w:uiPriority w:val="99"/>
    <w:semiHidden/>
    <w:rsid w:val="007A312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A3123"/>
    <w:rPr>
      <w:vertAlign w:val="superscript"/>
    </w:rPr>
  </w:style>
  <w:style w:type="character" w:styleId="Hyperlink">
    <w:name w:val="Hyperlink"/>
    <w:basedOn w:val="DefaultParagraphFont"/>
    <w:uiPriority w:val="99"/>
    <w:semiHidden/>
    <w:unhideWhenUsed/>
    <w:rsid w:val="000F209C"/>
    <w:rPr>
      <w:color w:val="0000FF"/>
      <w:u w:val="single"/>
    </w:rPr>
  </w:style>
  <w:style w:type="character" w:styleId="FollowedHyperlink">
    <w:name w:val="FollowedHyperlink"/>
    <w:basedOn w:val="DefaultParagraphFont"/>
    <w:uiPriority w:val="99"/>
    <w:semiHidden/>
    <w:unhideWhenUsed/>
    <w:rsid w:val="004E1E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E2907-0C40-4183-ABB4-C69459253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2145</Words>
  <Characters>12228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 (1704494)</cp:lastModifiedBy>
  <cp:revision>2</cp:revision>
  <dcterms:created xsi:type="dcterms:W3CDTF">2019-12-17T20:45:00Z</dcterms:created>
  <dcterms:modified xsi:type="dcterms:W3CDTF">2019-12-17T20:45:00Z</dcterms:modified>
</cp:coreProperties>
</file>