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46A83A" w14:textId="65E41AEB" w:rsidR="00C34976" w:rsidRDefault="005878DF" w:rsidP="00C34976">
      <w:pPr>
        <w:pStyle w:val="Title"/>
      </w:pPr>
      <w:r>
        <w:t xml:space="preserve">Ancient Egyptian Women in Modern </w:t>
      </w:r>
      <w:r w:rsidR="005A2E4C">
        <w:t>Film</w:t>
      </w:r>
      <w:r>
        <w:t xml:space="preserve">- Seductress, Sadist or Shallow? </w:t>
      </w:r>
    </w:p>
    <w:p w14:paraId="76EB4DD9" w14:textId="58973F64" w:rsidR="005878DF" w:rsidRDefault="005878DF" w:rsidP="00C34976">
      <w:pPr>
        <w:pStyle w:val="Heading2"/>
      </w:pPr>
      <w:r>
        <w:t>An investigation into how the modern media sexualises/de-humanises Ancient Egyptian women</w:t>
      </w:r>
      <w:r w:rsidR="00442F41">
        <w:t>, the exceptions</w:t>
      </w:r>
      <w:r w:rsidR="00F83318">
        <w:t xml:space="preserve"> and the possible causes behind this phenomenon</w:t>
      </w:r>
      <w:r w:rsidR="00271CAB">
        <w:t xml:space="preserve">. </w:t>
      </w:r>
    </w:p>
    <w:p w14:paraId="3D67CB3A" w14:textId="51EC3920" w:rsidR="00C34976" w:rsidRDefault="00C34976" w:rsidP="00C34976"/>
    <w:p w14:paraId="5D7E1ECC" w14:textId="77777777" w:rsidR="00EB378F" w:rsidRDefault="00D51105">
      <w:r>
        <w:t>I chose this topic as it is a nice blend between my three passions; Egyptology, Media Studies and Feminism. I</w:t>
      </w:r>
      <w:r w:rsidR="00292CFF">
        <w:t xml:space="preserve"> intend to look at both the causes of this phenomenon, and the results of it. There is a lot of literature out there about women in the media and how their influences or lack thereof affect it, however I’m yet to come across much that discusses the portrayal of Ancient women in film and TV so in that I’m taking advantage of the gap in the market to apply feminist theories in the media to the Ancient World. </w:t>
      </w:r>
    </w:p>
    <w:p w14:paraId="55FC4C19" w14:textId="5DC49F71" w:rsidR="00EB378F" w:rsidRDefault="00EB378F">
      <w:r>
        <w:t xml:space="preserve">The first problem I have encountered is the sheer </w:t>
      </w:r>
      <w:proofErr w:type="gramStart"/>
      <w:r>
        <w:t>amount</w:t>
      </w:r>
      <w:proofErr w:type="gramEnd"/>
      <w:r>
        <w:t xml:space="preserve"> of sources and direction I could take this in. I narrowed my field down just to film instead of all mainstream media that could include </w:t>
      </w:r>
      <w:r w:rsidR="000B0E05">
        <w:t xml:space="preserve">TV, video games, newspapers, websites etc. as although it would be incredible interesting and there’s a lot to say in these fields, I just couldn’t make it work given the wordcount of 10000 words. As I continue writing I am expecting </w:t>
      </w:r>
      <w:proofErr w:type="gramStart"/>
      <w:r w:rsidR="000B0E05">
        <w:t>there</w:t>
      </w:r>
      <w:proofErr w:type="gramEnd"/>
      <w:r w:rsidR="000B0E05">
        <w:t xml:space="preserve"> o be issues in my sources chosen and I might find my analysis easier by only focussing on highest grossing films- the ones that are at the particular forefront of </w:t>
      </w:r>
      <w:proofErr w:type="spellStart"/>
      <w:r w:rsidR="000B0E05">
        <w:t>peoples</w:t>
      </w:r>
      <w:proofErr w:type="spellEnd"/>
      <w:r w:rsidR="000B0E05">
        <w:t xml:space="preserve"> minds and reach a wider audience. </w:t>
      </w:r>
    </w:p>
    <w:p w14:paraId="7F6320EB" w14:textId="0D717E05" w:rsidR="00271CAB" w:rsidRDefault="00260F64">
      <w:r>
        <w:t>The methodology I will be establishing is one from t</w:t>
      </w:r>
      <w:r w:rsidR="00B26822">
        <w:t>h</w:t>
      </w:r>
      <w:r>
        <w:t xml:space="preserve">e discipline of media studies. I have separated the topic into the different aspects of Media relevant to the portrayal of women. Chapter 1 will be dedicated to the study of costume, hair and makeup, looking at where costume designers got clear inspiration from the ancient world, pinpointing time periods </w:t>
      </w:r>
      <w:r w:rsidR="00B26822">
        <w:t>and</w:t>
      </w:r>
      <w:r w:rsidR="006D1FDD">
        <w:t xml:space="preserve"> pinpointing complete fiction. This section will be key in highlighting </w:t>
      </w:r>
      <w:r w:rsidR="00B25DDF">
        <w:t>blatant</w:t>
      </w:r>
      <w:r w:rsidR="006D1FDD">
        <w:t xml:space="preserve"> sexualisation, for example the character of ‘</w:t>
      </w:r>
      <w:r w:rsidR="00B25DDF">
        <w:t>Potiphar’s</w:t>
      </w:r>
      <w:r w:rsidR="006D1FDD">
        <w:t xml:space="preserve"> Wife’ in Joseph an</w:t>
      </w:r>
      <w:r w:rsidR="00B25DDF">
        <w:t>d</w:t>
      </w:r>
      <w:r w:rsidR="006D1FDD">
        <w:t xml:space="preserve"> his Technicolour Dreamcoat </w:t>
      </w:r>
      <w:r w:rsidR="00B25DDF">
        <w:t>(2003?)</w:t>
      </w:r>
    </w:p>
    <w:p w14:paraId="42CE3DCB" w14:textId="1B988DE4" w:rsidR="00BB20AE" w:rsidRDefault="00BB20AE">
      <w:r>
        <w:t xml:space="preserve">I have already noticed a need to cut down in my objectives, for example, I started out critiquing the film ‘Joseph and </w:t>
      </w:r>
      <w:r w:rsidR="00E608E2">
        <w:t>the Amazing</w:t>
      </w:r>
      <w:r>
        <w:t xml:space="preserve"> Technicolour Dreamcoat </w:t>
      </w:r>
      <w:r w:rsidR="00E608E2">
        <w:t xml:space="preserve">(1999)’ too analytically – in the style of a film reviewer. However, this took up too much wordcount and not all of it was relevant to my topic. In order to cut down, I focussed only on the character of Potiphar’s wife, and made notes on the costumes of the female ensemble members during the Pharaohs songs. This is still too bulky however, so I will divide my work up into chapters in order to create an engaging narrative. </w:t>
      </w:r>
    </w:p>
    <w:p w14:paraId="46882BE9" w14:textId="01F380A2" w:rsidR="00C36DEE" w:rsidRDefault="00C36DEE">
      <w:r>
        <w:t xml:space="preserve">The first chapter is about costume, hair and makeup. </w:t>
      </w:r>
      <w:r w:rsidR="005661CB">
        <w:t xml:space="preserve">I start with commenting on clear accuracies within films, such as in ‘Night at the Museum: Secret of the Tomb’ (2014) where </w:t>
      </w:r>
      <w:proofErr w:type="spellStart"/>
      <w:r w:rsidR="005661CB">
        <w:t>Shepseheret</w:t>
      </w:r>
      <w:proofErr w:type="spellEnd"/>
      <w:r w:rsidR="005661CB">
        <w:t xml:space="preserve"> is shown wearing the vulture headdress</w:t>
      </w:r>
      <w:r w:rsidR="00BE6681">
        <w:t xml:space="preserve"> which is originally seen in the</w:t>
      </w:r>
      <w:r w:rsidR="005661CB">
        <w:t xml:space="preserve"> Old Kingdom</w:t>
      </w:r>
      <w:r w:rsidR="00BE6681">
        <w:t xml:space="preserve"> but made appearances throughout the pharaonic histories as a sign of queenship, noticeably having the vulture head replacing the </w:t>
      </w:r>
      <w:proofErr w:type="spellStart"/>
      <w:r w:rsidR="00BE6681">
        <w:t>uraeus</w:t>
      </w:r>
      <w:proofErr w:type="spellEnd"/>
      <w:r w:rsidR="005661CB">
        <w:t>.</w:t>
      </w:r>
      <w:r w:rsidR="005661CB">
        <w:rPr>
          <w:rStyle w:val="FootnoteReference"/>
        </w:rPr>
        <w:footnoteReference w:id="1"/>
      </w:r>
      <w:r w:rsidR="003D0ED5">
        <w:t xml:space="preserve"> </w:t>
      </w:r>
      <w:r w:rsidR="00E25236">
        <w:t xml:space="preserve">It is especially </w:t>
      </w:r>
      <w:r w:rsidR="001E33EF">
        <w:t>pleasing that this is one of the most accurate costumes due to the film being called ‘Night at the Museum’ museum being the key word</w:t>
      </w:r>
      <w:r w:rsidR="00832671">
        <w:t>, also</w:t>
      </w:r>
      <w:r w:rsidR="001E33EF">
        <w:t xml:space="preserve"> the context of this being a family film with children in particular being the intended audience, </w:t>
      </w:r>
      <w:r w:rsidR="00832671">
        <w:t xml:space="preserve">I am glad that it doesn’t create false images of ancient Egypt for the later generation as past films have (for example, The Mummy series perpetuating the image of a mummy being nothing more than a </w:t>
      </w:r>
      <w:r w:rsidR="00832671">
        <w:lastRenderedPageBreak/>
        <w:t xml:space="preserve">costume villain, a stereotype that spread and appears everywhere, from the scooby doo intro to </w:t>
      </w:r>
      <w:r w:rsidR="00BC2C51">
        <w:t xml:space="preserve">Halloween costumes). </w:t>
      </w:r>
    </w:p>
    <w:p w14:paraId="759A8929" w14:textId="74A84FA8" w:rsidR="00504672" w:rsidRDefault="00504672">
      <w:r>
        <w:t xml:space="preserve">The second chapter </w:t>
      </w:r>
      <w:r w:rsidR="00CD0F0D">
        <w:t xml:space="preserve">concerns the way in which female characters are written, for this I will be looking into both film scripts and the books/plays they are based on to see if there is a difference in representation. A key example of this is the representation of ‘Cleopatra’ from the William Shakespeare play ‘Antony and Cleopatra’. This has been made into film format numerous times, the ones I focus on mainly concerns the first adaptation in 1908, the silent film version from 1913 and possibly the most famous 1972 version. I will </w:t>
      </w:r>
      <w:proofErr w:type="gramStart"/>
      <w:r w:rsidR="00CD0F0D">
        <w:t>look into</w:t>
      </w:r>
      <w:proofErr w:type="gramEnd"/>
      <w:r w:rsidR="00CD0F0D">
        <w:t xml:space="preserve"> the contributions </w:t>
      </w:r>
      <w:r w:rsidR="00A658D7">
        <w:t>m</w:t>
      </w:r>
      <w:r w:rsidR="00CD0F0D">
        <w:t>ade by female characters to the storyline, are the leading conversations or simply supporting? Is there a noticeable difference to a women</w:t>
      </w:r>
      <w:r w:rsidR="00452F19">
        <w:t>’</w:t>
      </w:r>
      <w:r w:rsidR="00CD0F0D">
        <w:t>s contribution if it is written by a female? Another key point addressed in this chapter will be the amount of screen time dedicated to women vs men, is there a noticeable difference? If in something named ‘Antony and Cleopatra’, ‘Cleopatra</w:t>
      </w:r>
      <w:r w:rsidR="00497403">
        <w:t>’</w:t>
      </w:r>
      <w:r w:rsidR="00CD0F0D">
        <w:t xml:space="preserve"> is given less screen time than </w:t>
      </w:r>
      <w:r w:rsidR="00497403">
        <w:t>‘</w:t>
      </w:r>
      <w:r w:rsidR="00CD0F0D">
        <w:t>Antony</w:t>
      </w:r>
      <w:r w:rsidR="00497403">
        <w:t>’</w:t>
      </w:r>
      <w:r w:rsidR="00CD0F0D">
        <w:t xml:space="preserve">, </w:t>
      </w:r>
      <w:r w:rsidR="00497403">
        <w:t>what are the implications in feminist theory?</w:t>
      </w:r>
    </w:p>
    <w:p w14:paraId="28A055A0" w14:textId="417E42DB" w:rsidR="00CC10E2" w:rsidRDefault="00CC10E2">
      <w:r>
        <w:t>My third chapter will consider the act</w:t>
      </w:r>
      <w:r w:rsidR="00051B99">
        <w:t>resses</w:t>
      </w:r>
      <w:r>
        <w:t xml:space="preserve"> portraying these characters</w:t>
      </w:r>
      <w:r w:rsidR="00051B99">
        <w:t xml:space="preserve">. </w:t>
      </w:r>
      <w:proofErr w:type="gramStart"/>
      <w:r w:rsidR="00FD58C5">
        <w:t>Firstly</w:t>
      </w:r>
      <w:proofErr w:type="gramEnd"/>
      <w:r w:rsidR="00FD58C5">
        <w:t xml:space="preserve"> we have </w:t>
      </w:r>
      <w:r w:rsidR="00597D15">
        <w:t xml:space="preserve">to address the question, were Egyptian actresses cast? This is something I have been very disappointed in the lack </w:t>
      </w:r>
      <w:r w:rsidR="00AC2527">
        <w:t>of during my research</w:t>
      </w:r>
      <w:r w:rsidR="000F1978">
        <w:t>, although in some cases there are reasonable excuses. F</w:t>
      </w:r>
      <w:r w:rsidR="00AC2527">
        <w:t xml:space="preserve">or </w:t>
      </w:r>
      <w:proofErr w:type="gramStart"/>
      <w:r w:rsidR="00AC2527">
        <w:t>example</w:t>
      </w:r>
      <w:proofErr w:type="gramEnd"/>
      <w:r w:rsidR="00AC2527">
        <w:t xml:space="preserve"> Amanda Barrie</w:t>
      </w:r>
      <w:r w:rsidR="000F1978">
        <w:t>’s portrayal of ‘Cleopatra’</w:t>
      </w:r>
      <w:r w:rsidR="00AC2527">
        <w:t xml:space="preserve"> in Carry on Cleo</w:t>
      </w:r>
      <w:r w:rsidR="000F1978">
        <w:t xml:space="preserve">. As this is part of a series (Carry On…) it is understandable that they use their own cast. This was a piece never intended to be truthful, only comedic. However, Hollywood’s whitewashing of Egyptian Women remains a real problem in cinematic history. </w:t>
      </w:r>
      <w:r w:rsidR="0055564A">
        <w:t xml:space="preserve">This chapter will also </w:t>
      </w:r>
      <w:proofErr w:type="gramStart"/>
      <w:r w:rsidR="0055564A">
        <w:t>look into</w:t>
      </w:r>
      <w:proofErr w:type="gramEnd"/>
      <w:r w:rsidR="0055564A">
        <w:t xml:space="preserve"> the way in which these actresses portray Ancient Egyptian Women, are they strong or submissive in their body language. When in crowds, do they stand behind men or equal to them? </w:t>
      </w:r>
      <w:r w:rsidR="00CE75AE">
        <w:t>This is so</w:t>
      </w:r>
      <w:r w:rsidR="00A600B7">
        <w:t>m</w:t>
      </w:r>
      <w:r w:rsidR="00CE75AE">
        <w:t xml:space="preserve">ething I will research into more. </w:t>
      </w:r>
    </w:p>
    <w:p w14:paraId="2667473B" w14:textId="5659F8E9" w:rsidR="00CE75AE" w:rsidRDefault="00CE75AE">
      <w:r>
        <w:t xml:space="preserve">My final chapter concerns the lack of women in Ancient Egyptian films. Why are male characters chosen over female- for example, why do people think of ‘mummies’ in the horror genre sense as being male. I will also </w:t>
      </w:r>
      <w:proofErr w:type="gramStart"/>
      <w:r>
        <w:t>look into</w:t>
      </w:r>
      <w:proofErr w:type="gramEnd"/>
      <w:r>
        <w:t xml:space="preserve"> discovering if males also have the same over sexualisation pro</w:t>
      </w:r>
      <w:r w:rsidR="00A600B7">
        <w:t>ba</w:t>
      </w:r>
      <w:r>
        <w:t xml:space="preserve">ble, for example, in ‘Joseph and the Amazing Technicolour Dreamcoat’ Although the Egyptian women are shown with their nipples </w:t>
      </w:r>
      <w:r w:rsidR="00A679F8">
        <w:t>b</w:t>
      </w:r>
      <w:r>
        <w:t>arely covered- Donn</w:t>
      </w:r>
      <w:r w:rsidR="00A679F8">
        <w:t xml:space="preserve">y </w:t>
      </w:r>
      <w:r>
        <w:t>Osm</w:t>
      </w:r>
      <w:r w:rsidR="00A679F8">
        <w:t>o</w:t>
      </w:r>
      <w:r>
        <w:t>nd as ‘Joseph’ is also topless for almost the entire film.</w:t>
      </w:r>
      <w:r w:rsidR="00E11D52">
        <w:t xml:space="preserve"> I will also look into seeing if there is a clear distinction, like I suspect in males being portrayed more accurately than females, or if there is just a </w:t>
      </w:r>
      <w:proofErr w:type="gramStart"/>
      <w:r w:rsidR="00E11D52">
        <w:t>many inaccuracies</w:t>
      </w:r>
      <w:proofErr w:type="gramEnd"/>
      <w:r w:rsidR="00E11D52">
        <w:t xml:space="preserve"> but they are shown through different formats. I realise that </w:t>
      </w:r>
      <w:r w:rsidR="003A0657">
        <w:t xml:space="preserve">by this point I will probably be struggling with my word </w:t>
      </w:r>
      <w:proofErr w:type="gramStart"/>
      <w:r w:rsidR="003A0657">
        <w:t>count,</w:t>
      </w:r>
      <w:proofErr w:type="gramEnd"/>
      <w:r w:rsidR="003A0657">
        <w:t xml:space="preserve"> therefore I can see myself getting rid of this chapter and instead inserting some of these points into alternative paragraphs. </w:t>
      </w:r>
    </w:p>
    <w:p w14:paraId="54AEEFAA" w14:textId="562D319C" w:rsidR="00651C3F" w:rsidRDefault="00651C3F"/>
    <w:p w14:paraId="1ED51A3F" w14:textId="705C9DED" w:rsidR="00651C3F" w:rsidRDefault="00651C3F"/>
    <w:p w14:paraId="2C239266" w14:textId="6BB40BEC" w:rsidR="00651C3F" w:rsidRDefault="00651C3F"/>
    <w:p w14:paraId="753A57C4" w14:textId="5A45DDEE" w:rsidR="00651C3F" w:rsidRDefault="00651C3F"/>
    <w:p w14:paraId="455FEAAC" w14:textId="0BBAA1F4" w:rsidR="00651C3F" w:rsidRDefault="00651C3F"/>
    <w:p w14:paraId="11E3BC79" w14:textId="68C23596" w:rsidR="00651C3F" w:rsidRDefault="00651C3F"/>
    <w:p w14:paraId="7D8EAE34" w14:textId="65BE049D" w:rsidR="00651C3F" w:rsidRDefault="00651C3F"/>
    <w:p w14:paraId="45C3E176" w14:textId="06AD5153" w:rsidR="00651C3F" w:rsidRDefault="00651C3F"/>
    <w:p w14:paraId="42158E61" w14:textId="5004060A" w:rsidR="00651C3F" w:rsidRDefault="00651C3F"/>
    <w:p w14:paraId="2C3FBF0A" w14:textId="77777777" w:rsidR="00651C3F" w:rsidRDefault="00651C3F" w:rsidP="00651C3F">
      <w:r>
        <w:lastRenderedPageBreak/>
        <w:t xml:space="preserve">Bibliography (so far) </w:t>
      </w:r>
    </w:p>
    <w:p w14:paraId="24909C08" w14:textId="77777777" w:rsidR="00651C3F" w:rsidRDefault="00651C3F" w:rsidP="00651C3F">
      <w:r>
        <w:t xml:space="preserve">Books/Articles  </w:t>
      </w:r>
    </w:p>
    <w:p w14:paraId="5CCBC238" w14:textId="6ECF474F" w:rsidR="00651C3F" w:rsidRPr="00E34047" w:rsidRDefault="00651C3F" w:rsidP="00E62DF9">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ALLAN, M., 2008. Deserted histories: The Lumiere Brothers, the pyramids and early film form. </w:t>
      </w:r>
      <w:r w:rsidRPr="00E34047">
        <w:rPr>
          <w:rFonts w:asciiTheme="minorHAnsi" w:hAnsiTheme="minorHAnsi" w:cstheme="minorHAnsi"/>
          <w:i/>
          <w:iCs/>
          <w:sz w:val="20"/>
          <w:szCs w:val="20"/>
        </w:rPr>
        <w:t>Early Popular Visual Culture, </w:t>
      </w:r>
      <w:r w:rsidRPr="00E34047">
        <w:rPr>
          <w:rFonts w:asciiTheme="minorHAnsi" w:hAnsiTheme="minorHAnsi" w:cstheme="minorHAnsi"/>
          <w:b/>
          <w:bCs/>
          <w:sz w:val="20"/>
          <w:szCs w:val="20"/>
        </w:rPr>
        <w:t>6</w:t>
      </w:r>
      <w:r w:rsidRPr="00E34047">
        <w:rPr>
          <w:rFonts w:asciiTheme="minorHAnsi" w:hAnsiTheme="minorHAnsi" w:cstheme="minorHAnsi"/>
          <w:sz w:val="20"/>
          <w:szCs w:val="20"/>
        </w:rPr>
        <w:t>(2), pp. 159-171.CREED, B., 1993. </w:t>
      </w:r>
      <w:r w:rsidRPr="00E34047">
        <w:rPr>
          <w:rFonts w:asciiTheme="minorHAnsi" w:hAnsiTheme="minorHAnsi" w:cstheme="minorHAnsi"/>
          <w:i/>
          <w:iCs/>
          <w:sz w:val="20"/>
          <w:szCs w:val="20"/>
        </w:rPr>
        <w:t>The monstrous-</w:t>
      </w:r>
      <w:proofErr w:type="gramStart"/>
      <w:r w:rsidRPr="00E34047">
        <w:rPr>
          <w:rFonts w:asciiTheme="minorHAnsi" w:hAnsiTheme="minorHAnsi" w:cstheme="minorHAnsi"/>
          <w:i/>
          <w:iCs/>
          <w:sz w:val="20"/>
          <w:szCs w:val="20"/>
        </w:rPr>
        <w:t>feminine :</w:t>
      </w:r>
      <w:proofErr w:type="gramEnd"/>
      <w:r w:rsidRPr="00E34047">
        <w:rPr>
          <w:rFonts w:asciiTheme="minorHAnsi" w:hAnsiTheme="minorHAnsi" w:cstheme="minorHAnsi"/>
          <w:i/>
          <w:iCs/>
          <w:sz w:val="20"/>
          <w:szCs w:val="20"/>
        </w:rPr>
        <w:t xml:space="preserve"> film, feminism, psychoanalysis. </w:t>
      </w:r>
      <w:r w:rsidRPr="00E34047">
        <w:rPr>
          <w:rFonts w:asciiTheme="minorHAnsi" w:hAnsiTheme="minorHAnsi" w:cstheme="minorHAnsi"/>
          <w:sz w:val="20"/>
          <w:szCs w:val="20"/>
        </w:rPr>
        <w:t xml:space="preserve">London: </w:t>
      </w:r>
      <w:proofErr w:type="gramStart"/>
      <w:r w:rsidRPr="00E34047">
        <w:rPr>
          <w:rFonts w:asciiTheme="minorHAnsi" w:hAnsiTheme="minorHAnsi" w:cstheme="minorHAnsi"/>
          <w:sz w:val="20"/>
          <w:szCs w:val="20"/>
        </w:rPr>
        <w:t>London :</w:t>
      </w:r>
      <w:proofErr w:type="gramEnd"/>
      <w:r w:rsidRPr="00E34047">
        <w:rPr>
          <w:rFonts w:asciiTheme="minorHAnsi" w:hAnsiTheme="minorHAnsi" w:cstheme="minorHAnsi"/>
          <w:sz w:val="20"/>
          <w:szCs w:val="20"/>
        </w:rPr>
        <w:t xml:space="preserve"> Routledge.</w:t>
      </w:r>
    </w:p>
    <w:p w14:paraId="0FE6CA2B"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DILLON, S. and JAMES, S.L., 2015. </w:t>
      </w:r>
      <w:r w:rsidRPr="00E34047">
        <w:rPr>
          <w:rFonts w:asciiTheme="minorHAnsi" w:hAnsiTheme="minorHAnsi" w:cstheme="minorHAnsi"/>
          <w:i/>
          <w:iCs/>
          <w:sz w:val="20"/>
          <w:szCs w:val="20"/>
        </w:rPr>
        <w:t>A Companion to women in the Ancient World. </w:t>
      </w:r>
      <w:r w:rsidRPr="00E34047">
        <w:rPr>
          <w:rFonts w:asciiTheme="minorHAnsi" w:hAnsiTheme="minorHAnsi" w:cstheme="minorHAnsi"/>
          <w:sz w:val="20"/>
          <w:szCs w:val="20"/>
        </w:rPr>
        <w:t xml:space="preserve">1. </w:t>
      </w:r>
      <w:proofErr w:type="spellStart"/>
      <w:r w:rsidRPr="00E34047">
        <w:rPr>
          <w:rFonts w:asciiTheme="minorHAnsi" w:hAnsiTheme="minorHAnsi" w:cstheme="minorHAnsi"/>
          <w:sz w:val="20"/>
          <w:szCs w:val="20"/>
        </w:rPr>
        <w:t>pbk</w:t>
      </w:r>
      <w:proofErr w:type="spellEnd"/>
      <w:r w:rsidRPr="00E34047">
        <w:rPr>
          <w:rFonts w:asciiTheme="minorHAnsi" w:hAnsiTheme="minorHAnsi" w:cstheme="minorHAnsi"/>
          <w:sz w:val="20"/>
          <w:szCs w:val="20"/>
        </w:rPr>
        <w:t xml:space="preserve">. ed. </w:t>
      </w:r>
      <w:proofErr w:type="spellStart"/>
      <w:r w:rsidRPr="00E34047">
        <w:rPr>
          <w:rFonts w:asciiTheme="minorHAnsi" w:hAnsiTheme="minorHAnsi" w:cstheme="minorHAnsi"/>
          <w:sz w:val="20"/>
          <w:szCs w:val="20"/>
        </w:rPr>
        <w:t>edn</w:t>
      </w:r>
      <w:proofErr w:type="spellEnd"/>
      <w:r w:rsidRPr="00E34047">
        <w:rPr>
          <w:rFonts w:asciiTheme="minorHAnsi" w:hAnsiTheme="minorHAnsi" w:cstheme="minorHAnsi"/>
          <w:sz w:val="20"/>
          <w:szCs w:val="20"/>
        </w:rPr>
        <w:t xml:space="preserve">. West Sussex: West </w:t>
      </w:r>
      <w:proofErr w:type="gramStart"/>
      <w:r w:rsidRPr="00E34047">
        <w:rPr>
          <w:rFonts w:asciiTheme="minorHAnsi" w:hAnsiTheme="minorHAnsi" w:cstheme="minorHAnsi"/>
          <w:sz w:val="20"/>
          <w:szCs w:val="20"/>
        </w:rPr>
        <w:t>Sussex :</w:t>
      </w:r>
      <w:proofErr w:type="gramEnd"/>
      <w:r w:rsidRPr="00E34047">
        <w:rPr>
          <w:rFonts w:asciiTheme="minorHAnsi" w:hAnsiTheme="minorHAnsi" w:cstheme="minorHAnsi"/>
          <w:sz w:val="20"/>
          <w:szCs w:val="20"/>
        </w:rPr>
        <w:t xml:space="preserve"> Blackwell Pub.</w:t>
      </w:r>
    </w:p>
    <w:p w14:paraId="23E695B6"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DOW, B.J., 1996. </w:t>
      </w:r>
      <w:r w:rsidRPr="00E34047">
        <w:rPr>
          <w:rFonts w:asciiTheme="minorHAnsi" w:hAnsiTheme="minorHAnsi" w:cstheme="minorHAnsi"/>
          <w:i/>
          <w:iCs/>
          <w:sz w:val="20"/>
          <w:szCs w:val="20"/>
        </w:rPr>
        <w:t xml:space="preserve">Prime-time </w:t>
      </w:r>
      <w:proofErr w:type="gramStart"/>
      <w:r w:rsidRPr="00E34047">
        <w:rPr>
          <w:rFonts w:asciiTheme="minorHAnsi" w:hAnsiTheme="minorHAnsi" w:cstheme="minorHAnsi"/>
          <w:i/>
          <w:iCs/>
          <w:sz w:val="20"/>
          <w:szCs w:val="20"/>
        </w:rPr>
        <w:t>feminism :</w:t>
      </w:r>
      <w:proofErr w:type="gramEnd"/>
      <w:r w:rsidRPr="00E34047">
        <w:rPr>
          <w:rFonts w:asciiTheme="minorHAnsi" w:hAnsiTheme="minorHAnsi" w:cstheme="minorHAnsi"/>
          <w:i/>
          <w:iCs/>
          <w:sz w:val="20"/>
          <w:szCs w:val="20"/>
        </w:rPr>
        <w:t xml:space="preserve"> television, media culture, and the women's movement since 1970. </w:t>
      </w:r>
      <w:r w:rsidRPr="00E34047">
        <w:rPr>
          <w:rFonts w:asciiTheme="minorHAnsi" w:hAnsiTheme="minorHAnsi" w:cstheme="minorHAnsi"/>
          <w:sz w:val="20"/>
          <w:szCs w:val="20"/>
        </w:rPr>
        <w:t xml:space="preserve">Philadelphia, Pa.: Philadelphia, </w:t>
      </w:r>
      <w:proofErr w:type="gramStart"/>
      <w:r w:rsidRPr="00E34047">
        <w:rPr>
          <w:rFonts w:asciiTheme="minorHAnsi" w:hAnsiTheme="minorHAnsi" w:cstheme="minorHAnsi"/>
          <w:sz w:val="20"/>
          <w:szCs w:val="20"/>
        </w:rPr>
        <w:t>Pa. :</w:t>
      </w:r>
      <w:proofErr w:type="gramEnd"/>
      <w:r w:rsidRPr="00E34047">
        <w:rPr>
          <w:rFonts w:asciiTheme="minorHAnsi" w:hAnsiTheme="minorHAnsi" w:cstheme="minorHAnsi"/>
          <w:sz w:val="20"/>
          <w:szCs w:val="20"/>
        </w:rPr>
        <w:t xml:space="preserve"> University of Pennsylvania Press.</w:t>
      </w:r>
    </w:p>
    <w:p w14:paraId="600A2289"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GRAVES-BROWN, C. and COONEY, K., 2008. </w:t>
      </w:r>
      <w:r w:rsidRPr="00E34047">
        <w:rPr>
          <w:rFonts w:asciiTheme="minorHAnsi" w:hAnsiTheme="minorHAnsi" w:cstheme="minorHAnsi"/>
          <w:i/>
          <w:iCs/>
          <w:sz w:val="20"/>
          <w:szCs w:val="20"/>
        </w:rPr>
        <w:t xml:space="preserve">Sex and gender in ancient </w:t>
      </w:r>
      <w:proofErr w:type="gramStart"/>
      <w:r w:rsidRPr="00E34047">
        <w:rPr>
          <w:rFonts w:asciiTheme="minorHAnsi" w:hAnsiTheme="minorHAnsi" w:cstheme="minorHAnsi"/>
          <w:i/>
          <w:iCs/>
          <w:sz w:val="20"/>
          <w:szCs w:val="20"/>
        </w:rPr>
        <w:t>Egypt :</w:t>
      </w:r>
      <w:proofErr w:type="gramEnd"/>
      <w:r w:rsidRPr="00E34047">
        <w:rPr>
          <w:rFonts w:asciiTheme="minorHAnsi" w:hAnsiTheme="minorHAnsi" w:cstheme="minorHAnsi"/>
          <w:i/>
          <w:iCs/>
          <w:sz w:val="20"/>
          <w:szCs w:val="20"/>
        </w:rPr>
        <w:t xml:space="preserve"> 'don your wig for a joyful hour'. </w:t>
      </w:r>
      <w:proofErr w:type="gramStart"/>
      <w:r w:rsidRPr="00E34047">
        <w:rPr>
          <w:rFonts w:asciiTheme="minorHAnsi" w:hAnsiTheme="minorHAnsi" w:cstheme="minorHAnsi"/>
          <w:sz w:val="20"/>
          <w:szCs w:val="20"/>
        </w:rPr>
        <w:t>Swansea :</w:t>
      </w:r>
      <w:proofErr w:type="gramEnd"/>
      <w:r w:rsidRPr="00E34047">
        <w:rPr>
          <w:rFonts w:asciiTheme="minorHAnsi" w:hAnsiTheme="minorHAnsi" w:cstheme="minorHAnsi"/>
          <w:sz w:val="20"/>
          <w:szCs w:val="20"/>
        </w:rPr>
        <w:t xml:space="preserve"> Oakville, CT: Swansea : Classical Press of Wales; Oakville, CT : Distributor in the United States of America, The David Brown Book Co.</w:t>
      </w:r>
    </w:p>
    <w:p w14:paraId="7FDBBD2E"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HUCKVALE, D., 2012. </w:t>
      </w:r>
      <w:r w:rsidRPr="00E34047">
        <w:rPr>
          <w:rFonts w:asciiTheme="minorHAnsi" w:hAnsiTheme="minorHAnsi" w:cstheme="minorHAnsi"/>
          <w:i/>
          <w:iCs/>
          <w:sz w:val="20"/>
          <w:szCs w:val="20"/>
        </w:rPr>
        <w:t>Ancient Egypt in the popular imagination building a fantasy in film, literature, music and art. </w:t>
      </w:r>
      <w:r w:rsidRPr="00E34047">
        <w:rPr>
          <w:rFonts w:asciiTheme="minorHAnsi" w:hAnsiTheme="minorHAnsi" w:cstheme="minorHAnsi"/>
          <w:sz w:val="20"/>
          <w:szCs w:val="20"/>
        </w:rPr>
        <w:t xml:space="preserve">Jefferson, N.C.: Jefferson, </w:t>
      </w:r>
      <w:proofErr w:type="gramStart"/>
      <w:r w:rsidRPr="00E34047">
        <w:rPr>
          <w:rFonts w:asciiTheme="minorHAnsi" w:hAnsiTheme="minorHAnsi" w:cstheme="minorHAnsi"/>
          <w:sz w:val="20"/>
          <w:szCs w:val="20"/>
        </w:rPr>
        <w:t>N.C. :</w:t>
      </w:r>
      <w:proofErr w:type="gramEnd"/>
      <w:r w:rsidRPr="00E34047">
        <w:rPr>
          <w:rFonts w:asciiTheme="minorHAnsi" w:hAnsiTheme="minorHAnsi" w:cstheme="minorHAnsi"/>
          <w:sz w:val="20"/>
          <w:szCs w:val="20"/>
        </w:rPr>
        <w:t xml:space="preserve"> McFarland &amp; Co., Inc., Publishers.</w:t>
      </w:r>
    </w:p>
    <w:p w14:paraId="2BF57EA1"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HUMM, M., 2008. </w:t>
      </w:r>
      <w:r w:rsidRPr="00E34047">
        <w:rPr>
          <w:rFonts w:asciiTheme="minorHAnsi" w:hAnsiTheme="minorHAnsi" w:cstheme="minorHAnsi"/>
          <w:i/>
          <w:iCs/>
          <w:sz w:val="20"/>
          <w:szCs w:val="20"/>
        </w:rPr>
        <w:t>Feminism and film. </w:t>
      </w:r>
      <w:r w:rsidRPr="00E34047">
        <w:rPr>
          <w:rFonts w:asciiTheme="minorHAnsi" w:hAnsiTheme="minorHAnsi" w:cstheme="minorHAnsi"/>
          <w:sz w:val="20"/>
          <w:szCs w:val="20"/>
        </w:rPr>
        <w:t xml:space="preserve">Edinburgh </w:t>
      </w:r>
      <w:proofErr w:type="spellStart"/>
      <w:r w:rsidRPr="00E34047">
        <w:rPr>
          <w:rFonts w:asciiTheme="minorHAnsi" w:hAnsiTheme="minorHAnsi" w:cstheme="minorHAnsi"/>
          <w:sz w:val="20"/>
          <w:szCs w:val="20"/>
        </w:rPr>
        <w:t>u.a.</w:t>
      </w:r>
      <w:proofErr w:type="spellEnd"/>
      <w:r w:rsidRPr="00E34047">
        <w:rPr>
          <w:rFonts w:asciiTheme="minorHAnsi" w:hAnsiTheme="minorHAnsi" w:cstheme="minorHAnsi"/>
          <w:sz w:val="20"/>
          <w:szCs w:val="20"/>
        </w:rPr>
        <w:t xml:space="preserve">]: Edinburgh </w:t>
      </w:r>
      <w:proofErr w:type="spellStart"/>
      <w:proofErr w:type="gramStart"/>
      <w:r w:rsidRPr="00E34047">
        <w:rPr>
          <w:rFonts w:asciiTheme="minorHAnsi" w:hAnsiTheme="minorHAnsi" w:cstheme="minorHAnsi"/>
          <w:sz w:val="20"/>
          <w:szCs w:val="20"/>
        </w:rPr>
        <w:t>u.a.</w:t>
      </w:r>
      <w:proofErr w:type="spellEnd"/>
      <w:r w:rsidRPr="00E34047">
        <w:rPr>
          <w:rFonts w:asciiTheme="minorHAnsi" w:hAnsiTheme="minorHAnsi" w:cstheme="minorHAnsi"/>
          <w:sz w:val="20"/>
          <w:szCs w:val="20"/>
        </w:rPr>
        <w:t xml:space="preserve"> :</w:t>
      </w:r>
      <w:proofErr w:type="gramEnd"/>
      <w:r w:rsidRPr="00E34047">
        <w:rPr>
          <w:rFonts w:asciiTheme="minorHAnsi" w:hAnsiTheme="minorHAnsi" w:cstheme="minorHAnsi"/>
          <w:sz w:val="20"/>
          <w:szCs w:val="20"/>
        </w:rPr>
        <w:t xml:space="preserve"> Edinburgh Univ. Press </w:t>
      </w:r>
      <w:proofErr w:type="spellStart"/>
      <w:r w:rsidRPr="00E34047">
        <w:rPr>
          <w:rFonts w:asciiTheme="minorHAnsi" w:hAnsiTheme="minorHAnsi" w:cstheme="minorHAnsi"/>
          <w:sz w:val="20"/>
          <w:szCs w:val="20"/>
        </w:rPr>
        <w:t>u.a.</w:t>
      </w:r>
      <w:proofErr w:type="spellEnd"/>
    </w:p>
    <w:p w14:paraId="0407B624"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JACKSON, S. and SCOTT, S., 1996. </w:t>
      </w:r>
      <w:r w:rsidRPr="00E34047">
        <w:rPr>
          <w:rFonts w:asciiTheme="minorHAnsi" w:hAnsiTheme="minorHAnsi" w:cstheme="minorHAnsi"/>
          <w:i/>
          <w:iCs/>
          <w:sz w:val="20"/>
          <w:szCs w:val="20"/>
        </w:rPr>
        <w:t>Feminism and sexuality. </w:t>
      </w:r>
      <w:r w:rsidRPr="00E34047">
        <w:rPr>
          <w:rFonts w:asciiTheme="minorHAnsi" w:hAnsiTheme="minorHAnsi" w:cstheme="minorHAnsi"/>
          <w:sz w:val="20"/>
          <w:szCs w:val="20"/>
        </w:rPr>
        <w:t xml:space="preserve">Edinburgh: </w:t>
      </w:r>
      <w:proofErr w:type="gramStart"/>
      <w:r w:rsidRPr="00E34047">
        <w:rPr>
          <w:rFonts w:asciiTheme="minorHAnsi" w:hAnsiTheme="minorHAnsi" w:cstheme="minorHAnsi"/>
          <w:sz w:val="20"/>
          <w:szCs w:val="20"/>
        </w:rPr>
        <w:t>Edinburgh :</w:t>
      </w:r>
      <w:proofErr w:type="gramEnd"/>
      <w:r w:rsidRPr="00E34047">
        <w:rPr>
          <w:rFonts w:asciiTheme="minorHAnsi" w:hAnsiTheme="minorHAnsi" w:cstheme="minorHAnsi"/>
          <w:sz w:val="20"/>
          <w:szCs w:val="20"/>
        </w:rPr>
        <w:t xml:space="preserve"> Edinburgh University Press.</w:t>
      </w:r>
    </w:p>
    <w:p w14:paraId="36E339C7"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 xml:space="preserve">KASSABIAN, A., 2002. Feminism and Film (Oxford Readings in Feminism), edited by E. Ann Kaplan (Oxford: Oxford University Press, 2000); Feminist Film Theory: A Reader, edited by Sue </w:t>
      </w:r>
      <w:proofErr w:type="spellStart"/>
      <w:r w:rsidRPr="00E34047">
        <w:rPr>
          <w:rFonts w:asciiTheme="minorHAnsi" w:hAnsiTheme="minorHAnsi" w:cstheme="minorHAnsi"/>
          <w:sz w:val="20"/>
          <w:szCs w:val="20"/>
        </w:rPr>
        <w:t>Thornham</w:t>
      </w:r>
      <w:proofErr w:type="spellEnd"/>
      <w:r w:rsidRPr="00E34047">
        <w:rPr>
          <w:rFonts w:asciiTheme="minorHAnsi" w:hAnsiTheme="minorHAnsi" w:cstheme="minorHAnsi"/>
          <w:sz w:val="20"/>
          <w:szCs w:val="20"/>
        </w:rPr>
        <w:t xml:space="preserve"> (New York: New York University Press, 1999). </w:t>
      </w:r>
      <w:r w:rsidRPr="00E34047">
        <w:rPr>
          <w:rFonts w:asciiTheme="minorHAnsi" w:hAnsiTheme="minorHAnsi" w:cstheme="minorHAnsi"/>
          <w:i/>
          <w:iCs/>
          <w:sz w:val="20"/>
          <w:szCs w:val="20"/>
        </w:rPr>
        <w:t>Women's Studies Quarterly, </w:t>
      </w:r>
      <w:r w:rsidRPr="00E34047">
        <w:rPr>
          <w:rFonts w:asciiTheme="minorHAnsi" w:hAnsiTheme="minorHAnsi" w:cstheme="minorHAnsi"/>
          <w:b/>
          <w:bCs/>
          <w:sz w:val="20"/>
          <w:szCs w:val="20"/>
        </w:rPr>
        <w:t>30</w:t>
      </w:r>
      <w:r w:rsidRPr="00E34047">
        <w:rPr>
          <w:rFonts w:asciiTheme="minorHAnsi" w:hAnsiTheme="minorHAnsi" w:cstheme="minorHAnsi"/>
          <w:sz w:val="20"/>
          <w:szCs w:val="20"/>
        </w:rPr>
        <w:t>(1), pp. 328-333.</w:t>
      </w:r>
    </w:p>
    <w:p w14:paraId="462C51B2"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MALAMUD, M., 2000. Pyramids in Las Vegas and in Outer Space: Ancient Egypt in Twentieth-Century American Architecture and Film. </w:t>
      </w:r>
      <w:r w:rsidRPr="00E34047">
        <w:rPr>
          <w:rFonts w:asciiTheme="minorHAnsi" w:hAnsiTheme="minorHAnsi" w:cstheme="minorHAnsi"/>
          <w:i/>
          <w:iCs/>
          <w:sz w:val="20"/>
          <w:szCs w:val="20"/>
        </w:rPr>
        <w:t>Journal of Popular Culture, </w:t>
      </w:r>
      <w:r w:rsidRPr="00E34047">
        <w:rPr>
          <w:rFonts w:asciiTheme="minorHAnsi" w:hAnsiTheme="minorHAnsi" w:cstheme="minorHAnsi"/>
          <w:b/>
          <w:bCs/>
          <w:sz w:val="20"/>
          <w:szCs w:val="20"/>
        </w:rPr>
        <w:t>34</w:t>
      </w:r>
      <w:r w:rsidRPr="00E34047">
        <w:rPr>
          <w:rFonts w:asciiTheme="minorHAnsi" w:hAnsiTheme="minorHAnsi" w:cstheme="minorHAnsi"/>
          <w:sz w:val="20"/>
          <w:szCs w:val="20"/>
        </w:rPr>
        <w:t>(1), pp. 31-48.</w:t>
      </w:r>
    </w:p>
    <w:p w14:paraId="2D4701AA"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MATIĆ, U., 2016. GENDER IN ANCIENT EGYPT. </w:t>
      </w:r>
      <w:r w:rsidRPr="00E34047">
        <w:rPr>
          <w:rFonts w:asciiTheme="minorHAnsi" w:hAnsiTheme="minorHAnsi" w:cstheme="minorHAnsi"/>
          <w:i/>
          <w:iCs/>
          <w:sz w:val="20"/>
          <w:szCs w:val="20"/>
        </w:rPr>
        <w:t>Near Eastern Archaeology, </w:t>
      </w:r>
      <w:r w:rsidRPr="00E34047">
        <w:rPr>
          <w:rFonts w:asciiTheme="minorHAnsi" w:hAnsiTheme="minorHAnsi" w:cstheme="minorHAnsi"/>
          <w:b/>
          <w:bCs/>
          <w:sz w:val="20"/>
          <w:szCs w:val="20"/>
        </w:rPr>
        <w:t>79</w:t>
      </w:r>
      <w:r w:rsidRPr="00E34047">
        <w:rPr>
          <w:rFonts w:asciiTheme="minorHAnsi" w:hAnsiTheme="minorHAnsi" w:cstheme="minorHAnsi"/>
          <w:sz w:val="20"/>
          <w:szCs w:val="20"/>
        </w:rPr>
        <w:t>(3), pp. 174-184.</w:t>
      </w:r>
    </w:p>
    <w:p w14:paraId="1817B518"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PEARSON, M., 2001. </w:t>
      </w:r>
      <w:r w:rsidRPr="00E34047">
        <w:rPr>
          <w:rFonts w:asciiTheme="minorHAnsi" w:hAnsiTheme="minorHAnsi" w:cstheme="minorHAnsi"/>
          <w:i/>
          <w:iCs/>
          <w:sz w:val="20"/>
          <w:szCs w:val="20"/>
        </w:rPr>
        <w:t>Theatre / archaeology. </w:t>
      </w:r>
      <w:r w:rsidRPr="00E34047">
        <w:rPr>
          <w:rFonts w:asciiTheme="minorHAnsi" w:hAnsiTheme="minorHAnsi" w:cstheme="minorHAnsi"/>
          <w:sz w:val="20"/>
          <w:szCs w:val="20"/>
        </w:rPr>
        <w:t xml:space="preserve">London: </w:t>
      </w:r>
      <w:proofErr w:type="gramStart"/>
      <w:r w:rsidRPr="00E34047">
        <w:rPr>
          <w:rFonts w:asciiTheme="minorHAnsi" w:hAnsiTheme="minorHAnsi" w:cstheme="minorHAnsi"/>
          <w:sz w:val="20"/>
          <w:szCs w:val="20"/>
        </w:rPr>
        <w:t>London :</w:t>
      </w:r>
      <w:proofErr w:type="gramEnd"/>
      <w:r w:rsidRPr="00E34047">
        <w:rPr>
          <w:rFonts w:asciiTheme="minorHAnsi" w:hAnsiTheme="minorHAnsi" w:cstheme="minorHAnsi"/>
          <w:sz w:val="20"/>
          <w:szCs w:val="20"/>
        </w:rPr>
        <w:t xml:space="preserve"> Routledge.</w:t>
      </w:r>
    </w:p>
    <w:p w14:paraId="608B277E"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ROBINS, G., 1993. </w:t>
      </w:r>
      <w:r w:rsidRPr="00E34047">
        <w:rPr>
          <w:rFonts w:asciiTheme="minorHAnsi" w:hAnsiTheme="minorHAnsi" w:cstheme="minorHAnsi"/>
          <w:i/>
          <w:iCs/>
          <w:sz w:val="20"/>
          <w:szCs w:val="20"/>
        </w:rPr>
        <w:t>Women in ancient Egypt. </w:t>
      </w:r>
      <w:r w:rsidRPr="00E34047">
        <w:rPr>
          <w:rFonts w:asciiTheme="minorHAnsi" w:hAnsiTheme="minorHAnsi" w:cstheme="minorHAnsi"/>
          <w:sz w:val="20"/>
          <w:szCs w:val="20"/>
        </w:rPr>
        <w:t xml:space="preserve">London: </w:t>
      </w:r>
      <w:proofErr w:type="gramStart"/>
      <w:r w:rsidRPr="00E34047">
        <w:rPr>
          <w:rFonts w:asciiTheme="minorHAnsi" w:hAnsiTheme="minorHAnsi" w:cstheme="minorHAnsi"/>
          <w:sz w:val="20"/>
          <w:szCs w:val="20"/>
        </w:rPr>
        <w:t>London :</w:t>
      </w:r>
      <w:proofErr w:type="gramEnd"/>
      <w:r w:rsidRPr="00E34047">
        <w:rPr>
          <w:rFonts w:asciiTheme="minorHAnsi" w:hAnsiTheme="minorHAnsi" w:cstheme="minorHAnsi"/>
          <w:sz w:val="20"/>
          <w:szCs w:val="20"/>
        </w:rPr>
        <w:t xml:space="preserve"> British Museum Press.</w:t>
      </w:r>
    </w:p>
    <w:p w14:paraId="5576FB71"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SOLOMON, J., 2001. </w:t>
      </w:r>
      <w:r w:rsidRPr="00E34047">
        <w:rPr>
          <w:rFonts w:asciiTheme="minorHAnsi" w:hAnsiTheme="minorHAnsi" w:cstheme="minorHAnsi"/>
          <w:i/>
          <w:iCs/>
          <w:sz w:val="20"/>
          <w:szCs w:val="20"/>
        </w:rPr>
        <w:t>The ancient world in the cinema. </w:t>
      </w:r>
      <w:r w:rsidRPr="00E34047">
        <w:rPr>
          <w:rFonts w:asciiTheme="minorHAnsi" w:hAnsiTheme="minorHAnsi" w:cstheme="minorHAnsi"/>
          <w:sz w:val="20"/>
          <w:szCs w:val="20"/>
        </w:rPr>
        <w:t xml:space="preserve">Rev. and expanded ed. </w:t>
      </w:r>
      <w:proofErr w:type="spellStart"/>
      <w:r w:rsidRPr="00E34047">
        <w:rPr>
          <w:rFonts w:asciiTheme="minorHAnsi" w:hAnsiTheme="minorHAnsi" w:cstheme="minorHAnsi"/>
          <w:sz w:val="20"/>
          <w:szCs w:val="20"/>
        </w:rPr>
        <w:t>edn</w:t>
      </w:r>
      <w:proofErr w:type="spellEnd"/>
      <w:r w:rsidRPr="00E34047">
        <w:rPr>
          <w:rFonts w:asciiTheme="minorHAnsi" w:hAnsiTheme="minorHAnsi" w:cstheme="minorHAnsi"/>
          <w:sz w:val="20"/>
          <w:szCs w:val="20"/>
        </w:rPr>
        <w:t xml:space="preserve">. New Haven; London: New Haven; </w:t>
      </w:r>
      <w:proofErr w:type="gramStart"/>
      <w:r w:rsidRPr="00E34047">
        <w:rPr>
          <w:rFonts w:asciiTheme="minorHAnsi" w:hAnsiTheme="minorHAnsi" w:cstheme="minorHAnsi"/>
          <w:sz w:val="20"/>
          <w:szCs w:val="20"/>
        </w:rPr>
        <w:t>London :</w:t>
      </w:r>
      <w:proofErr w:type="gramEnd"/>
      <w:r w:rsidRPr="00E34047">
        <w:rPr>
          <w:rFonts w:asciiTheme="minorHAnsi" w:hAnsiTheme="minorHAnsi" w:cstheme="minorHAnsi"/>
          <w:sz w:val="20"/>
          <w:szCs w:val="20"/>
        </w:rPr>
        <w:t xml:space="preserve"> Yale University Press.</w:t>
      </w:r>
    </w:p>
    <w:p w14:paraId="509902C1" w14:textId="77777777" w:rsidR="00651C3F" w:rsidRPr="00E34047" w:rsidRDefault="00651C3F" w:rsidP="00651C3F">
      <w:pPr>
        <w:pStyle w:val="NormalWeb"/>
        <w:numPr>
          <w:ilvl w:val="0"/>
          <w:numId w:val="1"/>
        </w:numPr>
        <w:shd w:val="clear" w:color="auto" w:fill="FFFFFF"/>
        <w:spacing w:before="0" w:beforeAutospacing="0" w:after="173" w:afterAutospacing="0"/>
        <w:rPr>
          <w:rFonts w:asciiTheme="minorHAnsi" w:hAnsiTheme="minorHAnsi" w:cstheme="minorHAnsi"/>
          <w:sz w:val="20"/>
          <w:szCs w:val="20"/>
        </w:rPr>
      </w:pPr>
      <w:r w:rsidRPr="00E34047">
        <w:rPr>
          <w:rFonts w:asciiTheme="minorHAnsi" w:hAnsiTheme="minorHAnsi" w:cstheme="minorHAnsi"/>
          <w:sz w:val="20"/>
          <w:szCs w:val="20"/>
        </w:rPr>
        <w:t>STEFANOVIĆ, D., 2016. </w:t>
      </w:r>
      <w:r w:rsidRPr="00E34047">
        <w:rPr>
          <w:rFonts w:asciiTheme="minorHAnsi" w:hAnsiTheme="minorHAnsi" w:cstheme="minorHAnsi"/>
          <w:i/>
          <w:iCs/>
          <w:sz w:val="20"/>
          <w:szCs w:val="20"/>
        </w:rPr>
        <w:t xml:space="preserve">Dossiers of Ancient Egyptian </w:t>
      </w:r>
      <w:proofErr w:type="gramStart"/>
      <w:r w:rsidRPr="00E34047">
        <w:rPr>
          <w:rFonts w:asciiTheme="minorHAnsi" w:hAnsiTheme="minorHAnsi" w:cstheme="minorHAnsi"/>
          <w:i/>
          <w:iCs/>
          <w:sz w:val="20"/>
          <w:szCs w:val="20"/>
        </w:rPr>
        <w:t>women :</w:t>
      </w:r>
      <w:proofErr w:type="gramEnd"/>
      <w:r w:rsidRPr="00E34047">
        <w:rPr>
          <w:rFonts w:asciiTheme="minorHAnsi" w:hAnsiTheme="minorHAnsi" w:cstheme="minorHAnsi"/>
          <w:i/>
          <w:iCs/>
          <w:sz w:val="20"/>
          <w:szCs w:val="20"/>
        </w:rPr>
        <w:t xml:space="preserve"> the Middle Kingdom and Second Intermediate Period. </w:t>
      </w:r>
      <w:proofErr w:type="gramStart"/>
      <w:r w:rsidRPr="00E34047">
        <w:rPr>
          <w:rFonts w:asciiTheme="minorHAnsi" w:hAnsiTheme="minorHAnsi" w:cstheme="minorHAnsi"/>
          <w:sz w:val="20"/>
          <w:szCs w:val="20"/>
        </w:rPr>
        <w:t>London :</w:t>
      </w:r>
      <w:proofErr w:type="gramEnd"/>
      <w:r w:rsidRPr="00E34047">
        <w:rPr>
          <w:rFonts w:asciiTheme="minorHAnsi" w:hAnsiTheme="minorHAnsi" w:cstheme="minorHAnsi"/>
          <w:sz w:val="20"/>
          <w:szCs w:val="20"/>
        </w:rPr>
        <w:t xml:space="preserve"> Golden House Publications.</w:t>
      </w:r>
    </w:p>
    <w:p w14:paraId="190B84C0" w14:textId="77777777" w:rsidR="00651C3F" w:rsidRPr="00E34047" w:rsidRDefault="00651C3F" w:rsidP="00651C3F">
      <w:pPr>
        <w:rPr>
          <w:rFonts w:cstheme="minorHAnsi"/>
          <w:sz w:val="20"/>
          <w:szCs w:val="20"/>
        </w:rPr>
      </w:pPr>
    </w:p>
    <w:p w14:paraId="69F07D09" w14:textId="77777777" w:rsidR="00651C3F" w:rsidRPr="00E34047" w:rsidRDefault="00651C3F" w:rsidP="00651C3F">
      <w:pPr>
        <w:rPr>
          <w:rFonts w:cstheme="minorHAnsi"/>
          <w:sz w:val="20"/>
          <w:szCs w:val="20"/>
        </w:rPr>
      </w:pPr>
      <w:r w:rsidRPr="00E34047">
        <w:rPr>
          <w:rFonts w:cstheme="minorHAnsi"/>
          <w:sz w:val="20"/>
          <w:szCs w:val="20"/>
        </w:rPr>
        <w:t xml:space="preserve">Films </w:t>
      </w:r>
    </w:p>
    <w:p w14:paraId="49F9A074" w14:textId="77777777" w:rsidR="00651C3F" w:rsidRPr="00E34047" w:rsidRDefault="00651C3F" w:rsidP="00651C3F">
      <w:pPr>
        <w:pStyle w:val="ListParagraph"/>
        <w:numPr>
          <w:ilvl w:val="0"/>
          <w:numId w:val="1"/>
        </w:numPr>
        <w:rPr>
          <w:rFonts w:cstheme="minorHAnsi"/>
          <w:i/>
          <w:iCs/>
          <w:sz w:val="20"/>
          <w:szCs w:val="20"/>
        </w:rPr>
      </w:pPr>
      <w:r w:rsidRPr="00E34047">
        <w:rPr>
          <w:rFonts w:cstheme="minorHAnsi"/>
          <w:sz w:val="20"/>
          <w:szCs w:val="20"/>
        </w:rPr>
        <w:t>Mallet, D (1999</w:t>
      </w:r>
      <w:r w:rsidRPr="00E34047">
        <w:rPr>
          <w:rFonts w:cstheme="minorHAnsi"/>
          <w:i/>
          <w:iCs/>
          <w:sz w:val="20"/>
          <w:szCs w:val="20"/>
        </w:rPr>
        <w:t xml:space="preserve">) Joseph and the Amazing Technicolour Dreamcoat </w:t>
      </w:r>
    </w:p>
    <w:p w14:paraId="088D6859" w14:textId="77777777" w:rsidR="00651C3F" w:rsidRPr="00E34047" w:rsidRDefault="00651C3F" w:rsidP="00651C3F">
      <w:pPr>
        <w:pStyle w:val="ListParagraph"/>
        <w:numPr>
          <w:ilvl w:val="0"/>
          <w:numId w:val="1"/>
        </w:numPr>
        <w:rPr>
          <w:rFonts w:cstheme="minorHAnsi"/>
          <w:i/>
          <w:iCs/>
          <w:sz w:val="20"/>
          <w:szCs w:val="20"/>
        </w:rPr>
      </w:pPr>
      <w:r w:rsidRPr="00E34047">
        <w:rPr>
          <w:rFonts w:cstheme="minorHAnsi"/>
          <w:sz w:val="20"/>
          <w:szCs w:val="20"/>
        </w:rPr>
        <w:t xml:space="preserve">Chapman, B/ Hickner, S/ Wells, S. (1998) </w:t>
      </w:r>
      <w:r w:rsidRPr="00E34047">
        <w:rPr>
          <w:rFonts w:cstheme="minorHAnsi"/>
          <w:i/>
          <w:iCs/>
          <w:sz w:val="20"/>
          <w:szCs w:val="20"/>
        </w:rPr>
        <w:t xml:space="preserve">The Prince of Egypt </w:t>
      </w:r>
    </w:p>
    <w:p w14:paraId="33E8C885" w14:textId="77777777" w:rsidR="00651C3F" w:rsidRPr="00E34047" w:rsidRDefault="00651C3F" w:rsidP="00651C3F">
      <w:pPr>
        <w:pStyle w:val="ListParagraph"/>
        <w:numPr>
          <w:ilvl w:val="0"/>
          <w:numId w:val="1"/>
        </w:numPr>
        <w:rPr>
          <w:rFonts w:cstheme="minorHAnsi"/>
          <w:sz w:val="20"/>
          <w:szCs w:val="20"/>
        </w:rPr>
      </w:pPr>
      <w:r w:rsidRPr="00E34047">
        <w:rPr>
          <w:rFonts w:cstheme="minorHAnsi"/>
          <w:sz w:val="20"/>
          <w:szCs w:val="20"/>
        </w:rPr>
        <w:t xml:space="preserve">Levy, S. (2014) </w:t>
      </w:r>
      <w:r w:rsidRPr="00E34047">
        <w:rPr>
          <w:rFonts w:cstheme="minorHAnsi"/>
          <w:i/>
          <w:iCs/>
          <w:sz w:val="20"/>
          <w:szCs w:val="20"/>
        </w:rPr>
        <w:t>Night at the Museum 3: Secret of the Tomb</w:t>
      </w:r>
    </w:p>
    <w:p w14:paraId="046153E9" w14:textId="77777777" w:rsidR="00651C3F" w:rsidRPr="00E34047" w:rsidRDefault="00651C3F" w:rsidP="00651C3F">
      <w:pPr>
        <w:pStyle w:val="ListParagraph"/>
        <w:numPr>
          <w:ilvl w:val="0"/>
          <w:numId w:val="1"/>
        </w:numPr>
        <w:rPr>
          <w:rFonts w:cstheme="minorHAnsi"/>
          <w:sz w:val="20"/>
          <w:szCs w:val="20"/>
        </w:rPr>
      </w:pPr>
      <w:proofErr w:type="spellStart"/>
      <w:r w:rsidRPr="00E34047">
        <w:rPr>
          <w:rFonts w:cstheme="minorHAnsi"/>
          <w:sz w:val="20"/>
          <w:szCs w:val="20"/>
        </w:rPr>
        <w:t>Blackton</w:t>
      </w:r>
      <w:proofErr w:type="spellEnd"/>
      <w:r w:rsidRPr="00E34047">
        <w:rPr>
          <w:rFonts w:cstheme="minorHAnsi"/>
          <w:sz w:val="20"/>
          <w:szCs w:val="20"/>
        </w:rPr>
        <w:t xml:space="preserve">, J.S.  (1908) </w:t>
      </w:r>
      <w:r w:rsidRPr="00E34047">
        <w:rPr>
          <w:rFonts w:cstheme="minorHAnsi"/>
          <w:i/>
          <w:iCs/>
          <w:sz w:val="20"/>
          <w:szCs w:val="20"/>
        </w:rPr>
        <w:t>Antony and Cleopatra</w:t>
      </w:r>
      <w:r w:rsidRPr="00E34047">
        <w:rPr>
          <w:rFonts w:cstheme="minorHAnsi"/>
          <w:sz w:val="20"/>
          <w:szCs w:val="20"/>
        </w:rPr>
        <w:t xml:space="preserve"> </w:t>
      </w:r>
    </w:p>
    <w:p w14:paraId="24DCD0F6" w14:textId="77777777" w:rsidR="00651C3F" w:rsidRPr="00E34047" w:rsidRDefault="00651C3F" w:rsidP="00651C3F">
      <w:pPr>
        <w:pStyle w:val="ListParagraph"/>
        <w:numPr>
          <w:ilvl w:val="0"/>
          <w:numId w:val="1"/>
        </w:numPr>
        <w:rPr>
          <w:rFonts w:cstheme="minorHAnsi"/>
          <w:sz w:val="20"/>
          <w:szCs w:val="20"/>
        </w:rPr>
      </w:pPr>
      <w:proofErr w:type="spellStart"/>
      <w:r w:rsidRPr="00E34047">
        <w:rPr>
          <w:rFonts w:cstheme="minorHAnsi"/>
          <w:sz w:val="20"/>
          <w:szCs w:val="20"/>
        </w:rPr>
        <w:t>Guazzoni</w:t>
      </w:r>
      <w:proofErr w:type="spellEnd"/>
      <w:r w:rsidRPr="00E34047">
        <w:rPr>
          <w:rFonts w:cstheme="minorHAnsi"/>
          <w:sz w:val="20"/>
          <w:szCs w:val="20"/>
        </w:rPr>
        <w:t>, E. (1913</w:t>
      </w:r>
      <w:r w:rsidRPr="00E34047">
        <w:rPr>
          <w:rFonts w:cstheme="minorHAnsi"/>
          <w:i/>
          <w:iCs/>
          <w:sz w:val="20"/>
          <w:szCs w:val="20"/>
        </w:rPr>
        <w:t>) Antony and Cleopatra</w:t>
      </w:r>
      <w:r w:rsidRPr="00E34047">
        <w:rPr>
          <w:rFonts w:cstheme="minorHAnsi"/>
          <w:sz w:val="20"/>
          <w:szCs w:val="20"/>
        </w:rPr>
        <w:t xml:space="preserve"> </w:t>
      </w:r>
    </w:p>
    <w:p w14:paraId="46493380" w14:textId="77777777" w:rsidR="00651C3F" w:rsidRPr="00E34047" w:rsidRDefault="00651C3F" w:rsidP="00651C3F">
      <w:pPr>
        <w:pStyle w:val="ListParagraph"/>
        <w:numPr>
          <w:ilvl w:val="0"/>
          <w:numId w:val="1"/>
        </w:numPr>
        <w:rPr>
          <w:rFonts w:cstheme="minorHAnsi"/>
          <w:sz w:val="20"/>
          <w:szCs w:val="20"/>
        </w:rPr>
      </w:pPr>
      <w:r w:rsidRPr="00E34047">
        <w:rPr>
          <w:rFonts w:cstheme="minorHAnsi"/>
          <w:sz w:val="20"/>
          <w:szCs w:val="20"/>
        </w:rPr>
        <w:t xml:space="preserve">Heston, C. (1972) </w:t>
      </w:r>
      <w:r w:rsidRPr="00E34047">
        <w:rPr>
          <w:rFonts w:cstheme="minorHAnsi"/>
          <w:i/>
          <w:iCs/>
          <w:sz w:val="20"/>
          <w:szCs w:val="20"/>
        </w:rPr>
        <w:t>Antony and Cleopatra</w:t>
      </w:r>
      <w:r w:rsidRPr="00E34047">
        <w:rPr>
          <w:rFonts w:cstheme="minorHAnsi"/>
          <w:sz w:val="20"/>
          <w:szCs w:val="20"/>
        </w:rPr>
        <w:t xml:space="preserve">  </w:t>
      </w:r>
    </w:p>
    <w:p w14:paraId="01498FF1" w14:textId="77777777" w:rsidR="00651C3F" w:rsidRPr="00E34047" w:rsidRDefault="00651C3F" w:rsidP="00651C3F">
      <w:pPr>
        <w:pStyle w:val="ListParagraph"/>
        <w:numPr>
          <w:ilvl w:val="0"/>
          <w:numId w:val="1"/>
        </w:numPr>
        <w:rPr>
          <w:rFonts w:cstheme="minorHAnsi"/>
          <w:sz w:val="20"/>
          <w:szCs w:val="20"/>
        </w:rPr>
      </w:pPr>
      <w:r w:rsidRPr="00E34047">
        <w:rPr>
          <w:rFonts w:cstheme="minorHAnsi"/>
          <w:sz w:val="20"/>
          <w:szCs w:val="20"/>
        </w:rPr>
        <w:t xml:space="preserve">Thomas, G (1964) </w:t>
      </w:r>
      <w:r w:rsidRPr="00E34047">
        <w:rPr>
          <w:rFonts w:cstheme="minorHAnsi"/>
          <w:i/>
          <w:iCs/>
          <w:sz w:val="20"/>
          <w:szCs w:val="20"/>
        </w:rPr>
        <w:t xml:space="preserve">Carry </w:t>
      </w:r>
      <w:proofErr w:type="gramStart"/>
      <w:r w:rsidRPr="00E34047">
        <w:rPr>
          <w:rFonts w:cstheme="minorHAnsi"/>
          <w:i/>
          <w:iCs/>
          <w:sz w:val="20"/>
          <w:szCs w:val="20"/>
        </w:rPr>
        <w:t>On</w:t>
      </w:r>
      <w:proofErr w:type="gramEnd"/>
      <w:r w:rsidRPr="00E34047">
        <w:rPr>
          <w:rFonts w:cstheme="minorHAnsi"/>
          <w:i/>
          <w:iCs/>
          <w:sz w:val="20"/>
          <w:szCs w:val="20"/>
        </w:rPr>
        <w:t xml:space="preserve"> Cleo </w:t>
      </w:r>
      <w:r w:rsidRPr="00E34047">
        <w:rPr>
          <w:rFonts w:cstheme="minorHAnsi"/>
          <w:sz w:val="20"/>
          <w:szCs w:val="20"/>
        </w:rPr>
        <w:t xml:space="preserve"> </w:t>
      </w:r>
    </w:p>
    <w:p w14:paraId="7E23CD3D" w14:textId="77777777" w:rsidR="00651C3F" w:rsidRPr="00E34047" w:rsidRDefault="00651C3F" w:rsidP="00651C3F">
      <w:pPr>
        <w:pStyle w:val="ListParagraph"/>
        <w:numPr>
          <w:ilvl w:val="0"/>
          <w:numId w:val="1"/>
        </w:numPr>
        <w:rPr>
          <w:rFonts w:cstheme="minorHAnsi"/>
          <w:sz w:val="20"/>
          <w:szCs w:val="20"/>
        </w:rPr>
      </w:pPr>
      <w:r w:rsidRPr="00E34047">
        <w:rPr>
          <w:rFonts w:cstheme="minorHAnsi"/>
          <w:sz w:val="20"/>
          <w:szCs w:val="20"/>
        </w:rPr>
        <w:t xml:space="preserve">Kurtzman, A (2017) </w:t>
      </w:r>
      <w:r w:rsidRPr="00E34047">
        <w:rPr>
          <w:rFonts w:cstheme="minorHAnsi"/>
          <w:i/>
          <w:iCs/>
          <w:sz w:val="20"/>
          <w:szCs w:val="20"/>
        </w:rPr>
        <w:t>The Mummy</w:t>
      </w:r>
      <w:r w:rsidRPr="00E34047">
        <w:rPr>
          <w:rFonts w:cstheme="minorHAnsi"/>
          <w:sz w:val="20"/>
          <w:szCs w:val="20"/>
        </w:rPr>
        <w:t xml:space="preserve"> </w:t>
      </w:r>
    </w:p>
    <w:p w14:paraId="78C2E948" w14:textId="2FBA723F" w:rsidR="00BB20AE" w:rsidRPr="00E34047" w:rsidRDefault="00651C3F" w:rsidP="00E34047">
      <w:pPr>
        <w:pStyle w:val="ListParagraph"/>
        <w:numPr>
          <w:ilvl w:val="0"/>
          <w:numId w:val="1"/>
        </w:numPr>
        <w:rPr>
          <w:rFonts w:cstheme="minorHAnsi"/>
          <w:sz w:val="20"/>
          <w:szCs w:val="20"/>
        </w:rPr>
      </w:pPr>
      <w:r w:rsidRPr="00E34047">
        <w:rPr>
          <w:rFonts w:cstheme="minorHAnsi"/>
          <w:sz w:val="20"/>
          <w:szCs w:val="20"/>
        </w:rPr>
        <w:t xml:space="preserve">Freund, K (1932) </w:t>
      </w:r>
      <w:r w:rsidRPr="00E34047">
        <w:rPr>
          <w:rFonts w:cstheme="minorHAnsi"/>
          <w:i/>
          <w:iCs/>
          <w:sz w:val="20"/>
          <w:szCs w:val="20"/>
        </w:rPr>
        <w:t>The Mummy</w:t>
      </w:r>
      <w:r w:rsidRPr="00E34047">
        <w:rPr>
          <w:rFonts w:cstheme="minorHAnsi"/>
          <w:sz w:val="20"/>
          <w:szCs w:val="20"/>
        </w:rPr>
        <w:t xml:space="preserve"> </w:t>
      </w:r>
      <w:bookmarkStart w:id="0" w:name="_GoBack"/>
      <w:bookmarkEnd w:id="0"/>
    </w:p>
    <w:sectPr w:rsidR="00BB20AE" w:rsidRPr="00E3404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2E087E" w14:textId="77777777" w:rsidR="00426BFC" w:rsidRDefault="00426BFC" w:rsidP="005878DF">
      <w:pPr>
        <w:spacing w:after="0" w:line="240" w:lineRule="auto"/>
      </w:pPr>
      <w:r>
        <w:separator/>
      </w:r>
    </w:p>
  </w:endnote>
  <w:endnote w:type="continuationSeparator" w:id="0">
    <w:p w14:paraId="5F9EEE06" w14:textId="77777777" w:rsidR="00426BFC" w:rsidRDefault="00426BFC" w:rsidP="00587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112251" w14:textId="77777777" w:rsidR="00426BFC" w:rsidRDefault="00426BFC" w:rsidP="005878DF">
      <w:pPr>
        <w:spacing w:after="0" w:line="240" w:lineRule="auto"/>
      </w:pPr>
      <w:r>
        <w:separator/>
      </w:r>
    </w:p>
  </w:footnote>
  <w:footnote w:type="continuationSeparator" w:id="0">
    <w:p w14:paraId="3FA1EB46" w14:textId="77777777" w:rsidR="00426BFC" w:rsidRDefault="00426BFC" w:rsidP="005878DF">
      <w:pPr>
        <w:spacing w:after="0" w:line="240" w:lineRule="auto"/>
      </w:pPr>
      <w:r>
        <w:continuationSeparator/>
      </w:r>
    </w:p>
  </w:footnote>
  <w:footnote w:id="1">
    <w:p w14:paraId="36A284DF" w14:textId="53DB57BE" w:rsidR="005661CB" w:rsidRDefault="005661CB">
      <w:pPr>
        <w:pStyle w:val="FootnoteText"/>
      </w:pPr>
      <w:r>
        <w:rPr>
          <w:rStyle w:val="FootnoteReference"/>
        </w:rPr>
        <w:footnoteRef/>
      </w:r>
      <w:r>
        <w:t xml:space="preserve"> Robins (1993) p23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8156CD" w14:textId="77777777" w:rsidR="005878DF" w:rsidRDefault="005878DF" w:rsidP="005878DF">
    <w:pPr>
      <w:pStyle w:val="Header"/>
      <w:jc w:val="right"/>
    </w:pPr>
    <w:r>
      <w:t xml:space="preserve">Jessica Plunkett (1700273)  </w:t>
    </w:r>
  </w:p>
  <w:p w14:paraId="62EBC1C6" w14:textId="77777777" w:rsidR="005878DF" w:rsidRDefault="005878DF" w:rsidP="005878DF">
    <w:pPr>
      <w:pStyle w:val="Header"/>
      <w:jc w:val="right"/>
    </w:pPr>
    <w:r>
      <w:t>HPAH6006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12421B"/>
    <w:multiLevelType w:val="hybridMultilevel"/>
    <w:tmpl w:val="A46658F6"/>
    <w:lvl w:ilvl="0" w:tplc="68EC9E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8DF"/>
    <w:rsid w:val="00051B99"/>
    <w:rsid w:val="000733A3"/>
    <w:rsid w:val="000B0E05"/>
    <w:rsid w:val="000D7201"/>
    <w:rsid w:val="000F1978"/>
    <w:rsid w:val="00114778"/>
    <w:rsid w:val="001B64AF"/>
    <w:rsid w:val="001E33EF"/>
    <w:rsid w:val="001F11E5"/>
    <w:rsid w:val="00220324"/>
    <w:rsid w:val="00260F64"/>
    <w:rsid w:val="00271CAB"/>
    <w:rsid w:val="002732B3"/>
    <w:rsid w:val="00292CFF"/>
    <w:rsid w:val="002B1A81"/>
    <w:rsid w:val="00355A99"/>
    <w:rsid w:val="003A0657"/>
    <w:rsid w:val="003C7744"/>
    <w:rsid w:val="003D0ED5"/>
    <w:rsid w:val="00420722"/>
    <w:rsid w:val="00426BFC"/>
    <w:rsid w:val="00442F41"/>
    <w:rsid w:val="00452F19"/>
    <w:rsid w:val="004626DB"/>
    <w:rsid w:val="00497403"/>
    <w:rsid w:val="00504672"/>
    <w:rsid w:val="0051345C"/>
    <w:rsid w:val="005223A6"/>
    <w:rsid w:val="0055564A"/>
    <w:rsid w:val="005661CB"/>
    <w:rsid w:val="005878DF"/>
    <w:rsid w:val="00597D15"/>
    <w:rsid w:val="005A2E4C"/>
    <w:rsid w:val="00651C3F"/>
    <w:rsid w:val="00692CFA"/>
    <w:rsid w:val="006D1FDD"/>
    <w:rsid w:val="00712B6D"/>
    <w:rsid w:val="00832671"/>
    <w:rsid w:val="009C7F1F"/>
    <w:rsid w:val="00A01484"/>
    <w:rsid w:val="00A600B7"/>
    <w:rsid w:val="00A658D7"/>
    <w:rsid w:val="00A679F8"/>
    <w:rsid w:val="00A93E09"/>
    <w:rsid w:val="00AC2527"/>
    <w:rsid w:val="00AF1F0B"/>
    <w:rsid w:val="00B25DDF"/>
    <w:rsid w:val="00B26822"/>
    <w:rsid w:val="00BB20AE"/>
    <w:rsid w:val="00BC2C51"/>
    <w:rsid w:val="00BE2ACD"/>
    <w:rsid w:val="00BE6681"/>
    <w:rsid w:val="00C34976"/>
    <w:rsid w:val="00C36DEE"/>
    <w:rsid w:val="00C54F0E"/>
    <w:rsid w:val="00C95140"/>
    <w:rsid w:val="00CC10E2"/>
    <w:rsid w:val="00CD0F0D"/>
    <w:rsid w:val="00CE75AE"/>
    <w:rsid w:val="00D2348C"/>
    <w:rsid w:val="00D24AD1"/>
    <w:rsid w:val="00D51105"/>
    <w:rsid w:val="00DD579C"/>
    <w:rsid w:val="00E11D52"/>
    <w:rsid w:val="00E25236"/>
    <w:rsid w:val="00E34047"/>
    <w:rsid w:val="00E608E2"/>
    <w:rsid w:val="00E62DF9"/>
    <w:rsid w:val="00EB378F"/>
    <w:rsid w:val="00F83318"/>
    <w:rsid w:val="00FD5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65A6C"/>
  <w15:chartTrackingRefBased/>
  <w15:docId w15:val="{9FD1F560-A85D-44F4-8545-21CD0789D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C349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7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8DF"/>
  </w:style>
  <w:style w:type="paragraph" w:styleId="Footer">
    <w:name w:val="footer"/>
    <w:basedOn w:val="Normal"/>
    <w:link w:val="FooterChar"/>
    <w:uiPriority w:val="99"/>
    <w:unhideWhenUsed/>
    <w:rsid w:val="00587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8DF"/>
  </w:style>
  <w:style w:type="paragraph" w:styleId="Title">
    <w:name w:val="Title"/>
    <w:basedOn w:val="Normal"/>
    <w:next w:val="Normal"/>
    <w:link w:val="TitleChar"/>
    <w:uiPriority w:val="10"/>
    <w:qFormat/>
    <w:rsid w:val="00C349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97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34976"/>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5661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61CB"/>
    <w:rPr>
      <w:sz w:val="20"/>
      <w:szCs w:val="20"/>
    </w:rPr>
  </w:style>
  <w:style w:type="character" w:styleId="FootnoteReference">
    <w:name w:val="footnote reference"/>
    <w:basedOn w:val="DefaultParagraphFont"/>
    <w:uiPriority w:val="99"/>
    <w:semiHidden/>
    <w:unhideWhenUsed/>
    <w:rsid w:val="005661CB"/>
    <w:rPr>
      <w:vertAlign w:val="superscript"/>
    </w:rPr>
  </w:style>
  <w:style w:type="paragraph" w:styleId="ListParagraph">
    <w:name w:val="List Paragraph"/>
    <w:basedOn w:val="Normal"/>
    <w:uiPriority w:val="34"/>
    <w:qFormat/>
    <w:rsid w:val="00651C3F"/>
    <w:pPr>
      <w:ind w:left="720"/>
      <w:contextualSpacing/>
    </w:pPr>
  </w:style>
  <w:style w:type="paragraph" w:styleId="NormalWeb">
    <w:name w:val="Normal (Web)"/>
    <w:basedOn w:val="Normal"/>
    <w:uiPriority w:val="99"/>
    <w:semiHidden/>
    <w:unhideWhenUsed/>
    <w:rsid w:val="00651C3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E6DE7-430B-4B04-9C02-E54C3D5C0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3</Pages>
  <Words>1336</Words>
  <Characters>7616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68</cp:revision>
  <dcterms:created xsi:type="dcterms:W3CDTF">2019-10-03T18:06:00Z</dcterms:created>
  <dcterms:modified xsi:type="dcterms:W3CDTF">2019-10-11T16:10:00Z</dcterms:modified>
</cp:coreProperties>
</file>