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D98DBC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726C68">
              <w:rPr>
                <w:b/>
                <w:color w:val="auto"/>
                <w:sz w:val="32"/>
              </w:rPr>
              <w:t>Luis Williams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9DECEB" w:rsidR="005A1BA3" w:rsidRDefault="005A1BA3" w:rsidP="00340E9A">
            <w:pPr>
              <w:overflowPunct/>
              <w:autoSpaceDE/>
              <w:autoSpaceDN/>
              <w:adjustRightInd/>
              <w:ind w:right="237"/>
              <w:textAlignment w:val="auto"/>
              <w:rPr>
                <w:b/>
                <w:color w:val="auto"/>
                <w:sz w:val="32"/>
              </w:rPr>
            </w:pPr>
            <w:r>
              <w:rPr>
                <w:b/>
                <w:color w:val="auto"/>
                <w:sz w:val="32"/>
              </w:rPr>
              <w:t>______________</w:t>
            </w:r>
            <w:r w:rsidR="0031471A">
              <w:rPr>
                <w:b/>
                <w:color w:val="auto"/>
                <w:sz w:val="32"/>
              </w:rPr>
              <w:t>2029548</w:t>
            </w:r>
            <w:r>
              <w:rPr>
                <w:b/>
                <w:color w:val="auto"/>
                <w:sz w:val="32"/>
              </w:rPr>
              <w:t>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726C68"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1123BD" w14:textId="77777777" w:rsidR="00726C68" w:rsidRPr="00726C68" w:rsidRDefault="00726C68" w:rsidP="00726C68">
      <w:r w:rsidRPr="00726C68">
        <w:t>In this essay I am going to talk about the coping strategies that I have applied during my tutorship period to help myself minimise stress and develop resilience. During this essay I will be using the, “Gibbs’ reflective cycle” (Reflection Toolkit, 2020), to help aid my reflective writing.</w:t>
      </w:r>
    </w:p>
    <w:p w14:paraId="4A94CA79" w14:textId="77777777" w:rsidR="00726C68" w:rsidRPr="00726C68" w:rsidRDefault="00726C68" w:rsidP="00726C68"/>
    <w:p w14:paraId="4928625E" w14:textId="77777777" w:rsidR="00726C68" w:rsidRPr="00726C68" w:rsidRDefault="00726C68" w:rsidP="00726C68">
      <w:r w:rsidRPr="00726C68">
        <w:t xml:space="preserve">It is crucial to have a good level of resilience when working various shift patterns, as this in turn can have a detrimental impact on a person’s family and social life, as well as physical health. The effects of working shift patterns are described as, “Disruption of the circadian rhythm which can have a deleterious effect on performance, sleep patterns, accident rates, mental health, and cardiovascular mortality” (Harrington/BMJ Journals, 2021). I particularly noticed this during the first initial period that I came onto shift and experienced the job for real. Trying to adapt to the aspect of various shift patterns while coinciding my work life with my personal life was difficult to get used to. </w:t>
      </w:r>
    </w:p>
    <w:p w14:paraId="2D5284E5" w14:textId="77777777" w:rsidR="00726C68" w:rsidRPr="00726C68" w:rsidRDefault="00726C68" w:rsidP="00726C68"/>
    <w:p w14:paraId="51C10960" w14:textId="77777777" w:rsidR="00726C68" w:rsidRPr="00726C68" w:rsidRDefault="00726C68" w:rsidP="00726C68">
      <w:r w:rsidRPr="00726C68">
        <w:t>I adopted the method of utilising a social support network, which included my family and friends, who I would make time to visit and communicate with, expressing my thoughts and feelings of anxiousness and worry and seek advice from them. This in turn helped me to combat the deleterious effects of working shift patterns as I sought advice from other people who have experienced similar working hours roles and put into practise their advice, guidance and support. This was sometimes difficult to organise, as family and friends had other commitments when I was available during my rest day periods. Even just a level of communication with someone who I have a positive relationship with benefitted me. By getting opinions from other people with different perspectives helped me to form a basis of a coping strategy. This is supported with a context taken from American Psychological Association by saying that supportive relationships, “Offer encouragement and reassurance, help bolster a person’s resilience” (Suttie/Greater Good Magazine, 2017). I feel I benefitted from this and would try to engage with these people in person or even over a phone call, on a regular basis to maximise the potential for self-development and understanding.</w:t>
      </w:r>
    </w:p>
    <w:p w14:paraId="75918CF3" w14:textId="77777777" w:rsidR="00726C68" w:rsidRPr="00726C68" w:rsidRDefault="00726C68" w:rsidP="00726C68"/>
    <w:p w14:paraId="6BD947C0" w14:textId="77777777" w:rsidR="00726C68" w:rsidRPr="00726C68" w:rsidRDefault="00726C68" w:rsidP="00726C68">
      <w:r w:rsidRPr="00726C68">
        <w:t>When it came to the pressure of meeting the expectation and standards that I needed to show, in order to successfully pass my tutorship phase of training, I found this to be sometimes stressful. A source from an NHS website Beat Stress at Work demonstrated pressure is good to an extent however, “When it becomes excessive it can lead to work-related stress” (NHS inform, 2021). So, I was aware that I was feeling stressed and therefore I realised I needed to take steps in order to reduce my stress levels.</w:t>
      </w:r>
    </w:p>
    <w:p w14:paraId="09A28C29" w14:textId="77777777" w:rsidR="00726C68" w:rsidRPr="00726C68" w:rsidRDefault="00726C68" w:rsidP="00726C68">
      <w:r w:rsidRPr="00726C68">
        <w:t xml:space="preserve"> </w:t>
      </w:r>
    </w:p>
    <w:p w14:paraId="3BE7BAAA" w14:textId="77777777" w:rsidR="00726C68" w:rsidRPr="00726C68" w:rsidRDefault="00726C68" w:rsidP="00726C68">
      <w:r w:rsidRPr="00726C68">
        <w:t xml:space="preserve">As mentioned in my previous workbook, I stated I used the method of exercising to minimise stress and in turn help me to combat the stress involved in performance at work. For example, I would find that I would sometimes come across a situation at work where I would feel overwhelmed with trying to keep up with the paperwork aspect of the job, as well as making the right decisions and using my knowledge and applying it to that situation. This would leave me feeling stressed as I knew I had a lot of work to be carrying out at the end of the shift and things had to be done to a good standard. I guess </w:t>
      </w:r>
      <w:r w:rsidRPr="00726C68">
        <w:lastRenderedPageBreak/>
        <w:t xml:space="preserve">the stress helped me to carry out the tasks I needed to do, as there was that pressure, but on the other hand the frequent stress endured can have a negative impact as well. I found that when I exercised, by going to the gym in the police station, at the end of a shift or even before a shift if I was starting later in the day, it would leave me with a feeling of accomplishment and I would go into work with a more of a positive attitude and mindset. This theory of exercise relating to benefitting mental health is backed by a Stress Management article and states, “Exercise bumps up the production of your brain’s feel-good neurotransmitters, called endorphins” (Mayo Clinic, 2020). Realising this I found that after a particularly stressful or busy day at work I would make time to exercise to release endorphins and thus feel better physically and mentally. </w:t>
      </w:r>
    </w:p>
    <w:p w14:paraId="43F0E752" w14:textId="77777777" w:rsidR="00726C68" w:rsidRPr="00726C68" w:rsidRDefault="00726C68" w:rsidP="00726C68"/>
    <w:p w14:paraId="0BE70D48" w14:textId="77777777" w:rsidR="00726C68" w:rsidRPr="00726C68" w:rsidRDefault="00726C68" w:rsidP="00726C68">
      <w:r w:rsidRPr="00726C68">
        <w:t xml:space="preserve">Ultimately, I feel the processes I have used have benefitted me, as I have managed to successfully pass the tutorship phase of my training, which I had been a little concerned about. Although I feel I have adapted to the shift pattern, I will continue to use these techniques </w:t>
      </w:r>
      <w:proofErr w:type="gramStart"/>
      <w:r w:rsidRPr="00726C68">
        <w:t>during the course of</w:t>
      </w:r>
      <w:proofErr w:type="gramEnd"/>
      <w:r w:rsidRPr="00726C68">
        <w:t xml:space="preserve"> my role. </w:t>
      </w:r>
    </w:p>
    <w:p w14:paraId="39F54A7D" w14:textId="77777777" w:rsidR="00726C68" w:rsidRPr="00726C68" w:rsidRDefault="00726C68" w:rsidP="00726C68"/>
    <w:p w14:paraId="12377441" w14:textId="77777777" w:rsidR="00726C68" w:rsidRPr="00726C68" w:rsidRDefault="00726C68" w:rsidP="00726C68">
      <w:r w:rsidRPr="00726C68">
        <w:t>Words: 778</w:t>
      </w:r>
    </w:p>
    <w:p w14:paraId="7473A918" w14:textId="77777777" w:rsidR="00726C68" w:rsidRPr="00726C68" w:rsidRDefault="00726C68" w:rsidP="00726C68"/>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58135AB2" w:rsidR="00450C83" w:rsidRDefault="00450C83" w:rsidP="00340E9A">
      <w:pPr>
        <w:ind w:right="237"/>
        <w:jc w:val="both"/>
        <w:rPr>
          <w:b/>
          <w:sz w:val="24"/>
          <w:szCs w:val="24"/>
        </w:rPr>
      </w:pPr>
      <w:r w:rsidRPr="00450C83">
        <w:rPr>
          <w:b/>
          <w:sz w:val="24"/>
          <w:szCs w:val="24"/>
        </w:rPr>
        <w:t>ANSWER:</w:t>
      </w:r>
    </w:p>
    <w:p w14:paraId="798B4BAE" w14:textId="6FE35D6D" w:rsidR="00726C68" w:rsidRDefault="00726C68" w:rsidP="00340E9A">
      <w:pPr>
        <w:ind w:right="237"/>
        <w:jc w:val="both"/>
        <w:rPr>
          <w:b/>
          <w:sz w:val="24"/>
          <w:szCs w:val="24"/>
        </w:rPr>
      </w:pPr>
    </w:p>
    <w:p w14:paraId="248DFE3E" w14:textId="77777777" w:rsidR="00726C68" w:rsidRPr="00726C68" w:rsidRDefault="00726C68" w:rsidP="00726C68">
      <w:r w:rsidRPr="00726C68">
        <w:t xml:space="preserve">In this task I am going to reflect upon an incident where I consider that I played a significant role with both a victim and offender. I will talk about the methods of communication that I used and the considerations and methods I </w:t>
      </w:r>
      <w:proofErr w:type="gramStart"/>
      <w:r w:rsidRPr="00726C68">
        <w:t>actually used</w:t>
      </w:r>
      <w:proofErr w:type="gramEnd"/>
      <w:r w:rsidRPr="00726C68">
        <w:t xml:space="preserve"> in order to safeguard the individuals involved. To aid my reflection throughout this task, I will be using the “</w:t>
      </w:r>
      <w:proofErr w:type="spellStart"/>
      <w:r w:rsidRPr="00726C68">
        <w:t>Borton’s</w:t>
      </w:r>
      <w:proofErr w:type="spellEnd"/>
      <w:r w:rsidRPr="00726C68">
        <w:t xml:space="preserve"> Model of Reflection” Dabell (2018). This was a useful source of information.</w:t>
      </w:r>
    </w:p>
    <w:p w14:paraId="765F4F89" w14:textId="77777777" w:rsidR="00726C68" w:rsidRPr="00726C68" w:rsidRDefault="00726C68" w:rsidP="00726C68"/>
    <w:p w14:paraId="417B31C2" w14:textId="77777777" w:rsidR="00726C68" w:rsidRPr="00726C68" w:rsidRDefault="00726C68" w:rsidP="00726C68">
      <w:r w:rsidRPr="00726C68">
        <w:t xml:space="preserve">This is incident was domestic related, as it involved a mother who was reporting an incident of stalking and threats to cause damage against her own son. I attended the victim’s property on an emergency response and could see that the alleged offender was not at the scene. I went into the victim’s property to establish what had happened and it was disclosed that her son had been at her house shortly before my arrival and was shouting and demanding money. The victim made it clear that this harassment and stalking has been consistent for a period of a few months and has led her to feel intimidated and anxious in her own property, and out in public. The mother also stated that her son was making remarks that he was going to harm himself and wanted to take his own life, which was a concern for me. While I </w:t>
      </w:r>
      <w:proofErr w:type="gramStart"/>
      <w:r w:rsidRPr="00726C68">
        <w:t>was in attendance at</w:t>
      </w:r>
      <w:proofErr w:type="gramEnd"/>
      <w:r w:rsidRPr="00726C68">
        <w:t xml:space="preserve"> the victim’s property the offender called the victim on her mobile phone and I spoke to him, as I wanted to establish his whereabouts. After a brief </w:t>
      </w:r>
      <w:r w:rsidRPr="00726C68">
        <w:lastRenderedPageBreak/>
        <w:t xml:space="preserve">conversation with him he agreed to meet my colleague and me at another location. When we were with him in </w:t>
      </w:r>
      <w:proofErr w:type="gramStart"/>
      <w:r w:rsidRPr="00726C68">
        <w:t>person</w:t>
      </w:r>
      <w:proofErr w:type="gramEnd"/>
      <w:r w:rsidRPr="00726C68">
        <w:t xml:space="preserve"> we took the decision to arrest him under section 24 (3b) of the Police and Criminal Evidence Act 1984, in order to protect a vulnerable victim and to safeguard him, as he had made threats to harm himself. We also wanted to investigate the allegation of stalking and harassment disclosed by the offender’s mother. While the offender was being escorted to custody he disclosed to officers that he had swallowed a quantity of heroin, so therefore he was taken to hospital and due to the level of threat harm and risk it was decided that he would be remanded in custody until being sentenced. The individuals involved identified themselves as English speakers and were white British, so there were no relevant cultural, ethnicity or language issues in relation to this situation. </w:t>
      </w:r>
    </w:p>
    <w:p w14:paraId="2E30A40A" w14:textId="77777777" w:rsidR="00726C68" w:rsidRPr="00726C68" w:rsidRDefault="00726C68" w:rsidP="00726C68"/>
    <w:p w14:paraId="1B11CED4" w14:textId="77777777" w:rsidR="00726C68" w:rsidRPr="00726C68" w:rsidRDefault="00726C68" w:rsidP="00726C68">
      <w:r w:rsidRPr="00726C68">
        <w:t xml:space="preserve">An adult is classed as vulnerable according to Bryant when they “cannot protect him/herself against significant harm or exploitation” (2020, pp. 295) Blackstone’s Handbook for Policing Students. It is also policy that a victim who is involved in a domestic related incident which involves somebody in a relationship, or someone that has been in a relationship together or someone who is closely related is classed as a vulnerable person and so for this reason I have mentioned, positive action should be taken. Harassment is one of the most prevalent forms of reported domestic abuse. For </w:t>
      </w:r>
      <w:proofErr w:type="gramStart"/>
      <w:r w:rsidRPr="00726C68">
        <w:t>example</w:t>
      </w:r>
      <w:proofErr w:type="gramEnd"/>
      <w:r w:rsidRPr="00726C68">
        <w:t xml:space="preserve"> in 2013 in Gwent Police alone, as the HMIC stated: </w:t>
      </w:r>
    </w:p>
    <w:p w14:paraId="15386187" w14:textId="77777777" w:rsidR="00726C68" w:rsidRPr="00726C68" w:rsidRDefault="00726C68" w:rsidP="00726C68"/>
    <w:p w14:paraId="2F022899" w14:textId="77777777" w:rsidR="00726C68" w:rsidRPr="00726C68" w:rsidRDefault="00726C68" w:rsidP="00726C68">
      <w:pPr>
        <w:ind w:left="720"/>
      </w:pPr>
      <w:r w:rsidRPr="00726C68">
        <w:t>The force recorded 703 harassment offences, of these 313 were domestic abuse related. This is 45% of all harassment offences recorded for the 12 months to the end of August 2013 (Justice Inspectorates, 2014).</w:t>
      </w:r>
    </w:p>
    <w:p w14:paraId="00DC4409" w14:textId="77777777" w:rsidR="00726C68" w:rsidRPr="00726C68" w:rsidRDefault="00726C68" w:rsidP="00726C68">
      <w:pPr>
        <w:ind w:left="720"/>
      </w:pPr>
    </w:p>
    <w:p w14:paraId="1D2AC791" w14:textId="77777777" w:rsidR="00726C68" w:rsidRPr="00726C68" w:rsidRDefault="00726C68" w:rsidP="00726C68">
      <w:r w:rsidRPr="00726C68">
        <w:t xml:space="preserve">In this situation it was crucial to maintain effective communication with the individuals involved. I conducted this initially when I was speaking to the victim when I first arrived on scene by asking mainly open questions which encouraged the person to recall as much information as possible. I was then able to decipher what information was relevant from that initial disclosure. When I first identified that I was dealing with an harassment offence, which can be defined as, “Pursued a course of conduct which amounted to harassment and which known or ought to have known amounted to the harassment” (PNLD, 2017) I then considered the points to prove of the offence and asked more closed questions to ascertain whether the criteria for the offence had been made. I documented this information initially in my electronic pocket notebook instead of making a statement, as finding the perpetrator initially was a priority, as my main obligation as a police constable is to protect life and limb. After the suspect was arrested and during the time I was with him while at hospital I endeavoured to build a rapport with him as this encourages a smoother operation and he is more likely to be compliant, as opposed to being non-compliant, which in a hospital setting could make things more difficult. In the first instance the male was handcuffed, which is a use of force under Section 3 of the Criminal Law Act 1967, for his and the public’s protection but after a few hours I made the decision to remove the handcuffs as he was being far more compliant. </w:t>
      </w:r>
    </w:p>
    <w:p w14:paraId="0D36C54B" w14:textId="77777777" w:rsidR="00726C68" w:rsidRPr="00726C68" w:rsidRDefault="00726C68" w:rsidP="00726C68"/>
    <w:p w14:paraId="093B9565" w14:textId="77777777" w:rsidR="00726C68" w:rsidRPr="00726C68" w:rsidRDefault="00726C68" w:rsidP="00726C68">
      <w:r w:rsidRPr="00726C68">
        <w:t xml:space="preserve">As I was now </w:t>
      </w:r>
      <w:proofErr w:type="gramStart"/>
      <w:r w:rsidRPr="00726C68">
        <w:t>conducting an investigation into</w:t>
      </w:r>
      <w:proofErr w:type="gramEnd"/>
      <w:r w:rsidRPr="00726C68">
        <w:t xml:space="preserve"> the incident, I was responsible for obtaining evidence and also for ensuring that the victim is safeguarded. In this case the main obvious threat to the victim was the offender but as he had been arrested and remanded in custody the victim was already safeguarded against the main threat. I liaised with the victim the following day and took a statement, after which I discussed the possibility of special measures which are for vulnerable and intimidated victims, which I deemed were applicable in this case, particularly if the victim ends up attending court. I also conducted a remand application and stated bail conditions for the offender not to contact or attend the vicinity of the victim. In the event the remand application was rejected I still wanted to ensure the subject could not attend the victims address, after the 24-hour detention period after arrest had expired. A method that we use as police officers are Domestic Abuse, Stalking and Harassment reports or otherwise known as a ‘DASH’. These reports are a series of questions that are specifically constructed to establish the level of risk of each individual incident, which involves stalking, harassment or domestic abuse. This is something that I </w:t>
      </w:r>
      <w:proofErr w:type="gramStart"/>
      <w:r w:rsidRPr="00726C68">
        <w:t>have to</w:t>
      </w:r>
      <w:proofErr w:type="gramEnd"/>
      <w:r w:rsidRPr="00726C68">
        <w:t xml:space="preserve"> carry out with victims as per my responsibilities and based upon the answers given by the victim in this case, it was graded as medium risk. This can be explained as, “potential to cause serious harm but is unlikely to do so unless there is a change in circumstances” (Justice Inspectorates, 2014). The last safeguarding measure that I had conducted in this incidence was submission of a Public Protection Notification (PPN), which is a detailed account of the incident and the risks involved, along with my thoughts and actions taken.  This information is then shared with Social Services and other partner agencies, in the event they decide to undertake safeguarding action of their own. </w:t>
      </w:r>
    </w:p>
    <w:p w14:paraId="4DDEF5EE" w14:textId="77777777" w:rsidR="00726C68" w:rsidRPr="00726C68" w:rsidRDefault="00726C68" w:rsidP="00726C68"/>
    <w:p w14:paraId="7D8D906C" w14:textId="77777777" w:rsidR="00726C68" w:rsidRPr="00726C68" w:rsidRDefault="00726C68" w:rsidP="00726C68">
      <w:r w:rsidRPr="00726C68">
        <w:lastRenderedPageBreak/>
        <w:t>Ultimately on reflecting upon this experience I have stated what the incident involved, who was involved and what actions I took and why. I have explained that the victim was vulnerable and intimidated at the time, as she was being coerced by her son to repeatedly withdraw money, and I felt I had to provide a good level of service and conduct a thorough level on investigation. The positives were, as I stated, the victim was immediately safeguarded by the suspects arrest and detention. The effects of my actions have hopefully led to the victim feeling safer. I have learnt from this experience that domestic abuse should be taken seriously as I have now experienced first-hand how the implications of this abuse play a part on the victims involved.</w:t>
      </w:r>
    </w:p>
    <w:p w14:paraId="3AEA8967" w14:textId="77777777" w:rsidR="00726C68" w:rsidRPr="00726C68" w:rsidRDefault="00726C68" w:rsidP="00726C68"/>
    <w:p w14:paraId="52A60C28" w14:textId="77777777" w:rsidR="00726C68" w:rsidRPr="00726C68" w:rsidRDefault="00726C68" w:rsidP="00726C68">
      <w:r w:rsidRPr="00726C68">
        <w:t>Words: 1269</w:t>
      </w:r>
    </w:p>
    <w:p w14:paraId="00840B53" w14:textId="77777777" w:rsidR="00726C68" w:rsidRPr="00450C83" w:rsidRDefault="00726C68"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F87E86D" w14:textId="04FCE83D" w:rsidR="00726C68" w:rsidRPr="00726C68" w:rsidRDefault="00726C68" w:rsidP="00726C68">
      <w:r w:rsidRPr="00726C68">
        <w:t>In this essay I am going to talk about a suspect interview that I had conducted under accordance with the Police and Criminal Evidence Act (PACE). I will demonstrate how I incorporated core policing values throughout. I will be using the “Gibbs’ reflective cycle” (Reflection Toolkit, 2020), to help with this summary. Interviewing and evidence gathering is one of the biggest aspects of policing and has a pivotal role in whether a case ends up, going to court with a charge and sentence, or if sergeants charge a person for summary offences, of if no further action is decided. There is a national interviewing method that all Police forces adhere to known as the “PEACE model”, as described under Investigative Interviewing (College of Policing, 2013</w:t>
      </w:r>
      <w:r w:rsidR="0031471A">
        <w:t>a</w:t>
      </w:r>
      <w:r w:rsidRPr="00726C68">
        <w:t>). This is a guide for interviewing officers to follow, to ensure codes of practise are met when interviewing. A definition of an interview is defined by the Home Office under section 11 Code C of PACE as:</w:t>
      </w:r>
    </w:p>
    <w:p w14:paraId="4BEC8FCA" w14:textId="77777777" w:rsidR="00726C68" w:rsidRPr="00726C68" w:rsidRDefault="00726C68" w:rsidP="00726C68"/>
    <w:p w14:paraId="4D550B54" w14:textId="77777777" w:rsidR="00726C68" w:rsidRPr="00726C68" w:rsidRDefault="00726C68" w:rsidP="00726C68">
      <w:pPr>
        <w:ind w:left="720"/>
      </w:pPr>
      <w:r w:rsidRPr="00726C68">
        <w:t>The questioning of a person regarding his involvement, or suspected involvement, in a criminal offence or offences which, by virtue of paragraph 10.1 of Code C, is required to be carried out under caution (Interviewing Suspects, 2020).</w:t>
      </w:r>
    </w:p>
    <w:p w14:paraId="52A07247" w14:textId="77777777" w:rsidR="00726C68" w:rsidRPr="00726C68" w:rsidRDefault="00726C68" w:rsidP="00726C68"/>
    <w:p w14:paraId="704CE2AF" w14:textId="77777777" w:rsidR="00726C68" w:rsidRPr="00726C68" w:rsidRDefault="00726C68" w:rsidP="00726C68"/>
    <w:p w14:paraId="50A14C0F" w14:textId="77777777" w:rsidR="00726C68" w:rsidRPr="00726C68" w:rsidRDefault="00726C68" w:rsidP="00726C68">
      <w:r w:rsidRPr="00726C68">
        <w:t xml:space="preserve">In this incident a female suspect was reported to have hired a vehicle for </w:t>
      </w:r>
      <w:proofErr w:type="gramStart"/>
      <w:r w:rsidRPr="00726C68">
        <w:t>a number of</w:t>
      </w:r>
      <w:proofErr w:type="gramEnd"/>
      <w:r w:rsidRPr="00726C68">
        <w:t xml:space="preserve"> days from a car hire company for a friend of hers. This female did not return the vehicle on the date it was due for return to the rental company and she was not answering calls, so this was classed as theft. The vehicle was located and had been abandoned in a different area of the force prior to interview as it was flagged as a stolen vehicle on the Police National Computer (PNC) system. The female was identified from the personal details she had provided to the company upon renting the vehicle. I contacted the suspect in question and asked her to attend a police station on a voluntary attendance </w:t>
      </w:r>
      <w:r w:rsidRPr="00726C68">
        <w:lastRenderedPageBreak/>
        <w:t xml:space="preserve">basis, as due to the timeframe window and as there was no further threat to loss of property the necessity to arrest wasn’t viable. The difference between voluntary interviews and interviews under arrest are that under, Section 29 of PACE, the suspect has the right to leave unless placed under arrest. There are also additional rights and entitlements for voluntary interviews, as set out in PACE Code C paragraph 3.21A. There were no relevant ethnicity, language or cultural issues related to this incident. </w:t>
      </w:r>
    </w:p>
    <w:p w14:paraId="56EFB849" w14:textId="77777777" w:rsidR="00726C68" w:rsidRPr="00726C68" w:rsidRDefault="00726C68" w:rsidP="00726C68"/>
    <w:p w14:paraId="457DA462" w14:textId="756612F8" w:rsidR="00726C68" w:rsidRPr="00726C68" w:rsidRDefault="00726C68" w:rsidP="00726C68">
      <w:r w:rsidRPr="00726C68">
        <w:t xml:space="preserve">Before the interview could take place, I had </w:t>
      </w:r>
      <w:proofErr w:type="gramStart"/>
      <w:r w:rsidRPr="00726C68">
        <w:t>a number of</w:t>
      </w:r>
      <w:proofErr w:type="gramEnd"/>
      <w:r w:rsidRPr="00726C68">
        <w:t xml:space="preserve"> things to consider and to prepare, which included gathering the facts and information about the offence from the aggrieved via a witness statement. I attained CCTV imagery from the rental premises, which clearly showed the accused attending the premises on the stated day and leaving the premises with the vehicle. I did this in the event the subject denied involvement in interview. I asked the suspect if she would like to be represented by solicitor, which is every person’s legal entitlement under the Police and Criminal Evidence Act. A date and time for the interview to proceed was then agreed. I also asked the person if she required any assistance for disabilities and if she required an appropriate adult to assist in understanding in interview. No appropriate adult was required, as no known disabilities were known about the subject at the time. I also have the duty to provide legal representatives or the suspects themselves, if they are not being represented, with disclosure about the incident in the form of a MG06A form. I put together an interview plan with the details of the offence and a series of questions I was intending to ask the suspect in interviewing, which covered the necessary points to prove for the offence of theft, Section 1 of the Theft Act. All this evidence gathering is known as the, “Planning and preparation” (College of Policing, 2013</w:t>
      </w:r>
      <w:r w:rsidR="0031471A">
        <w:t>b</w:t>
      </w:r>
      <w:r w:rsidRPr="00726C68">
        <w:t>), phase to the PEACE model.</w:t>
      </w:r>
    </w:p>
    <w:p w14:paraId="0018119B" w14:textId="77777777" w:rsidR="00726C68" w:rsidRPr="00726C68" w:rsidRDefault="00726C68" w:rsidP="00726C68"/>
    <w:p w14:paraId="36681E28" w14:textId="657FD368" w:rsidR="00726C68" w:rsidRPr="00726C68" w:rsidRDefault="00726C68" w:rsidP="00726C68">
      <w:r w:rsidRPr="00726C68">
        <w:t>When I came to conduct the interview with the suspect, the suspect was booked in by a sergeant, which is a process that must be done to cover the suspects needs and capabilities and fitness for interview, along with informing the person of their rights. At this time the suspect was very anxious about being brought in for questioning and had to have a break several times before the interview took place. I provided the disclosure to the client’s solicitor and after their consultation I brought them into our interview room, where interviews are audio and visually recorded under, “PACE Code E” as stated under Interviewing Suspects (Health and Safety Executive, 2021). The next process which I conducted was the “Engage and Explain” (College of Policing, 2013</w:t>
      </w:r>
      <w:r w:rsidR="0031471A">
        <w:t>c</w:t>
      </w:r>
      <w:r w:rsidRPr="00726C68">
        <w:t xml:space="preserve">) phase, which is when I read out a printout of the reasons and routines of the interview in the form of an, “Aide </w:t>
      </w:r>
      <w:proofErr w:type="spellStart"/>
      <w:r w:rsidRPr="00726C68">
        <w:t>Memiour</w:t>
      </w:r>
      <w:proofErr w:type="spellEnd"/>
      <w:r w:rsidRPr="00726C68">
        <w:t>” (</w:t>
      </w:r>
      <w:proofErr w:type="spellStart"/>
      <w:r w:rsidRPr="00726C68">
        <w:t>Sancus</w:t>
      </w:r>
      <w:proofErr w:type="spellEnd"/>
      <w:r w:rsidRPr="00726C68">
        <w:t xml:space="preserve"> Solutions, 2013). After this I moved onto the “Account Clarification and Challenge” phase, as stated under investigative interviewing on the (College of Policing, 2013</w:t>
      </w:r>
      <w:r w:rsidR="0031471A">
        <w:t>d</w:t>
      </w:r>
      <w:r w:rsidRPr="00726C68">
        <w:t xml:space="preserve">) section of PEACE model and is where I asked the suspect if she was responsible for the theft of said vehicle from the rental company. I asked her for a full account of the incident from her perspective. I took notes about key points of information the suspect gave during interview and went back to these topics </w:t>
      </w:r>
      <w:proofErr w:type="gramStart"/>
      <w:r w:rsidRPr="00726C68">
        <w:t>in particular to</w:t>
      </w:r>
      <w:proofErr w:type="gramEnd"/>
      <w:r w:rsidRPr="00726C68">
        <w:t xml:space="preserve"> establish more information, or to challenge the information I was told with the actual evidence I had gathered during the planning and preparation stage. I would also summarise after talking about each subject before moving onto the next, in order to check my information was correct and to give the suspect the opportunity to add more information if she wanted. During the interview I presented the witness statement along with the CCTV footage, where the suspect agreed to her involvement. The suspect was putting the onus on another female for coercing her into hiring the vehicle and then had taken the vehicle off the suspect. The suspect said she had no knowledge of where the vehicle was when it had to be returned, but admitted liability, as she was ultimately the person who leased the vehicle so was therefore legally responsible. </w:t>
      </w:r>
    </w:p>
    <w:p w14:paraId="5359BCDF" w14:textId="77777777" w:rsidR="00726C68" w:rsidRPr="00726C68" w:rsidRDefault="00726C68" w:rsidP="00726C68"/>
    <w:p w14:paraId="34AFA468" w14:textId="2B66F44E" w:rsidR="00726C68" w:rsidRPr="00726C68" w:rsidRDefault="00726C68" w:rsidP="00726C68">
      <w:r w:rsidRPr="00726C68">
        <w:t>After I was satisfied the necessary points to prove for the offence had been proven in interview I moved onto the last stage of the interview, which is the, “Closure” (College of Policing, 2013</w:t>
      </w:r>
      <w:r w:rsidR="0031471A">
        <w:t>e</w:t>
      </w:r>
      <w:r w:rsidRPr="00726C68">
        <w:t>). This is a stage where a second interviewer may ask questions but as I was solely interviewing this wasn’t the case. During this stage I summarised the suspect account and key information by reading out the notes I had written down during the interview and gave the suspect the opportunity to say anything else they would like to add in relation to the offence. The last phase to the PEACE model that I had worked through in this incidence is known as the “Evaluation” (College of Policing, 2013</w:t>
      </w:r>
      <w:r w:rsidR="0031471A">
        <w:t>f</w:t>
      </w:r>
      <w:r w:rsidRPr="00726C68">
        <w:t xml:space="preserve">) phase. This was conducted after the suspect was booked out by a sergeant and released from the police station. I then typed up an interview summary on the relevant systems for the sergeant to review. </w:t>
      </w:r>
    </w:p>
    <w:p w14:paraId="51430B1D" w14:textId="77777777" w:rsidR="00726C68" w:rsidRPr="00726C68" w:rsidRDefault="00726C68" w:rsidP="00726C68"/>
    <w:p w14:paraId="140E2F81" w14:textId="77777777" w:rsidR="00726C68" w:rsidRPr="00726C68" w:rsidRDefault="00726C68" w:rsidP="00726C68">
      <w:r w:rsidRPr="00726C68">
        <w:t xml:space="preserve">In conclusion, I believe I interviewed the suspect well and in accordance with the PEACE model. During every interview there is an opportunity for translators to sit in on interviews for suspects with different language preferences, or appropriate adults can attend interviews for suspects with cultural </w:t>
      </w:r>
      <w:r w:rsidRPr="00726C68">
        <w:lastRenderedPageBreak/>
        <w:t xml:space="preserve">needs and requirements. In this incidence neither were required. It was decided by the Sergeant that due to the subjects admission of responsibility and her disclosure of being coerced and controlled by another person and as she had not been previously convicted for similar offences that she should be referred to Women’s Pathfinder, which is an out of court disposal and can be utilised for low level offences and first-time offenders. I would say my performance during the interview was good, as I had adhered to the interviewing process and covered all the details of the incident. There were some aspects which I could have covered in more detail, such as discussing the other person involved, but ultimately this led to a referral for the suspect, which in this circumstance I think was an appropriate result. </w:t>
      </w:r>
    </w:p>
    <w:p w14:paraId="7F4124C7" w14:textId="77777777" w:rsidR="00726C68" w:rsidRPr="00726C68" w:rsidRDefault="00726C68" w:rsidP="00726C68"/>
    <w:p w14:paraId="012CD9FD" w14:textId="77777777" w:rsidR="00726C68" w:rsidRPr="00726C68" w:rsidRDefault="00726C68" w:rsidP="00726C68"/>
    <w:p w14:paraId="30B35D68" w14:textId="77777777" w:rsidR="00726C68" w:rsidRPr="00726C68" w:rsidRDefault="00726C68" w:rsidP="00726C68">
      <w:r w:rsidRPr="00726C68">
        <w:t>Words: 1374</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B6A2AF7" w:rsidR="00025650" w:rsidRDefault="00025650" w:rsidP="00340E9A">
      <w:pPr>
        <w:ind w:right="237"/>
        <w:jc w:val="both"/>
        <w:rPr>
          <w:sz w:val="24"/>
          <w:szCs w:val="24"/>
        </w:rPr>
      </w:pPr>
    </w:p>
    <w:p w14:paraId="47043FF4" w14:textId="77777777" w:rsidR="00726C68" w:rsidRPr="00726C68" w:rsidRDefault="00726C68" w:rsidP="00726C68">
      <w:r w:rsidRPr="00726C68">
        <w:t>In this essay I am going to discuss an incident of anti-social behaviour that I have dealt with and played a significant role as a police officer. I will be discussing how this incident impacted the wider community, why police action was necessary and the methods I had applied. I will also touch upon the responsibilities of myself and of the other people involved and will discuss potential impacts of bias on decision making and will reflect on the decisions I made. I will be using a method of reflection known as the, Gibb’s Reflective Cycle (</w:t>
      </w:r>
      <w:proofErr w:type="spellStart"/>
      <w:r w:rsidRPr="00726C68">
        <w:t>Consuunt</w:t>
      </w:r>
      <w:proofErr w:type="spellEnd"/>
      <w:r w:rsidRPr="00726C68">
        <w:t xml:space="preserve">, 2022). To aid my reflective practise in this essay. </w:t>
      </w:r>
    </w:p>
    <w:p w14:paraId="09164F48" w14:textId="77777777" w:rsidR="00726C68" w:rsidRPr="00726C68" w:rsidRDefault="00726C68" w:rsidP="00726C68"/>
    <w:p w14:paraId="37EC3641" w14:textId="77777777" w:rsidR="00726C68" w:rsidRPr="00726C68" w:rsidRDefault="00726C68" w:rsidP="00726C68">
      <w:r w:rsidRPr="00726C68">
        <w:t xml:space="preserve">Firstly I will go on to explain what the term anti-social behaviour means and this can be described under Section 2 of the Anti-Social Behaviour Crime and Policing Act of 2014 as, “Behaviour which has caused or is likely to cause harassment, alarm or distress to any person” (2020, pp. 301) Blackstone’s </w:t>
      </w:r>
      <w:r w:rsidRPr="00726C68">
        <w:lastRenderedPageBreak/>
        <w:t xml:space="preserve">Handbook for Policing Students. This in scope means anti-social behaviour can take on many different forms and involve offences such as begging to fireworks offences and hate crime. This act gives the police and other authorities the power to deal with anti-social behaviour (ASB) and disorder and this can be broadly categorized into three forms, personal antisocial behaviour, nuisance antisocial behaviour or environmental antisocial behaviour. Personal ASB is when a person or group are targeted by an offender, nuisance ASB is an offender who causes harassment alarm or distress to the community and environmental ASB are offences that affect public spaces and the environment. </w:t>
      </w:r>
    </w:p>
    <w:p w14:paraId="7BEA1ED2" w14:textId="77777777" w:rsidR="00726C68" w:rsidRPr="00726C68" w:rsidRDefault="00726C68" w:rsidP="00726C68"/>
    <w:p w14:paraId="5FAD5BDE" w14:textId="48C5A091" w:rsidR="00726C68" w:rsidRPr="00726C68" w:rsidRDefault="00726C68" w:rsidP="00726C68">
      <w:proofErr w:type="gramStart"/>
      <w:r w:rsidRPr="00726C68">
        <w:t>So</w:t>
      </w:r>
      <w:proofErr w:type="gramEnd"/>
      <w:r w:rsidRPr="00726C68">
        <w:t xml:space="preserve"> I received a call from the control room to attend a group of youths who were causing a disturbance and drinking alcohol during the night-time hours in a town centre. The call to the police was made by a member of the public who was passing by and had felt distressed by the youths as they were being rowdy and were swearing in public. No details of the offenders were known prior to attendance. I attended the scene with a colleague to find 3 males all under the ages of eighteen years of age and in possession of alcohol that they had been consuming. I asked the males for their names and date of births and address’ which I can require under “Section 50 (1) of the Police Reform Act 2002” (Gov, 2021) </w:t>
      </w:r>
      <w:r w:rsidR="00B9354A">
        <w:t>as</w:t>
      </w:r>
      <w:r w:rsidRPr="00726C68">
        <w:t xml:space="preserve"> I ha</w:t>
      </w:r>
      <w:r w:rsidR="00B9354A">
        <w:t>d</w:t>
      </w:r>
      <w:r w:rsidRPr="00726C68">
        <w:t xml:space="preserve"> suspicion that they had been acting or are acting in an antisocial manner. I conducted Police National Computer (PNC) checks on the persons and none of the males in attendance had any previous convictions or were neither subject to any conditions. From asking the youths about their reasoning and methods for being out in a town centre in the late hours of the day and drinking alcohol, I established the individual who was responsible for sourcing the alcohol. As the youths were consuming alcohol and were all under the legal age for consumption, I decided to use police discretion and dispose of the contents of the alcohol at scene. While I was at scene, I was considering the offence of public order particularly Section 5 of the Public Order Act which this incident closely related to according from the initial call. Due to social context of the males being under the ages of eighteen years I decided to take the approach via means of an out of court disposal which are more of a favourable method for dealing with minors who have no previous convictions and history and it is also an attempt to prevent the individual from becoming criminalized. The teenagers preferred to speak in English and were </w:t>
      </w:r>
      <w:proofErr w:type="gramStart"/>
      <w:r w:rsidRPr="00726C68">
        <w:t>all of</w:t>
      </w:r>
      <w:proofErr w:type="gramEnd"/>
      <w:r w:rsidRPr="00726C68">
        <w:t xml:space="preserve"> a white British ethnicity. The youths were told to go back to their homes, and they dispersed from the town centre to prevent any continuation of antisocial behaviour from continuing.</w:t>
      </w:r>
    </w:p>
    <w:p w14:paraId="18AA3DF9" w14:textId="77777777" w:rsidR="00726C68" w:rsidRPr="00726C68" w:rsidRDefault="00726C68" w:rsidP="00726C68"/>
    <w:p w14:paraId="561849A1" w14:textId="273A61EC" w:rsidR="00726C68" w:rsidRPr="00726C68" w:rsidRDefault="00726C68" w:rsidP="00726C68">
      <w:r w:rsidRPr="00726C68">
        <w:t>I consulted the witness who initially reported the matter to the police and took a statement. The person provided an account that he witnessed the youths drinking alcohol and were being rowdy and there was swearing that could be heard by other people nearby. This person also stated there were other people who appeared to become distressed by the males as this was happening in a popular public space and with a high footfall. This person was going on to say that this is a regular occurrence and people often congregate in the town centre to consume alcohol and this in turn leads to harassment, alarm and distress being caused to members of the public. However, this witness stated he had not witnessed the people on this occasion previously, so I identified that they were not regularly committing this offence. As this had been identified this was an ongoing issue, I had the potential to consider the option of a Public Spaces Protection Order or otherwise known as a (PSPO). A PSPO can be defined as by Bryant as, “Issued by a council and is designed to manage, a specific problem which is caused by individuals or groups in a particular public space, and is injurious to the local community” (2020, pp. 306) Blackstone’s Handbook for Policing Students. This matter I feel could be further investigated and if the grounds are evident then that would constitute this provision being enforced. However, one detriment to this order being in place is that in the incidence a controlled drinking zone was applied to that specific town centre during certain hours</w:t>
      </w:r>
      <w:r w:rsidR="00B9354A">
        <w:t xml:space="preserve">, it </w:t>
      </w:r>
      <w:r w:rsidRPr="00726C68">
        <w:t xml:space="preserve">can only be breached if the person fails to surrender the alcohol. A breach of a PSPO is a summary only offence and </w:t>
      </w:r>
      <w:r w:rsidR="00B9354A">
        <w:t xml:space="preserve">may </w:t>
      </w:r>
      <w:r w:rsidRPr="00726C68">
        <w:t xml:space="preserve">involve a fine. </w:t>
      </w:r>
    </w:p>
    <w:p w14:paraId="7CCD8CF6" w14:textId="77777777" w:rsidR="00726C68" w:rsidRPr="00726C68" w:rsidRDefault="00726C68" w:rsidP="00726C68"/>
    <w:p w14:paraId="74A5B3A6" w14:textId="5B50D8C0" w:rsidR="00726C68" w:rsidRPr="00726C68" w:rsidRDefault="00726C68" w:rsidP="00726C68">
      <w:r w:rsidRPr="00726C68">
        <w:t xml:space="preserve">Antisocial behaviour can obviously have a negative impact on individuals as already mentioned but when it is committed in public areas in the vicinity of local businesses the consequences can be even more so. A source quoted that, “Overall 14% of retail and wholesale businesses had been affected by antisocial behaviour in the last 12 months” (Antisocial Britain, 2021). This in turn can lead to a loss in trade, custom and effect the employees too. </w:t>
      </w:r>
      <w:proofErr w:type="gramStart"/>
      <w:r w:rsidR="00B9354A">
        <w:t>Therefore</w:t>
      </w:r>
      <w:proofErr w:type="gramEnd"/>
      <w:r w:rsidRPr="00726C68">
        <w:t xml:space="preserve"> it is obvious that police action is necessary to tackle repeat offenders of antisocial behaviour to prevent loss of business to communities and sustain employment. So where antisocial behaviour directly affects a wider community there are a number of options which police and the local council can use some of which include, a dispersal order which allows police officers or police community support officers to require a person to leave a certain area for a period of 48 hours is they are suspected of committing ASB. There is also another scheme </w:t>
      </w:r>
      <w:r w:rsidRPr="00726C68">
        <w:lastRenderedPageBreak/>
        <w:t>known as a community protection notice (CPN)</w:t>
      </w:r>
      <w:r w:rsidR="00B9354A">
        <w:t xml:space="preserve"> (Chartered Institute of Environmental Health, 2014)</w:t>
      </w:r>
      <w:r w:rsidR="00E01C5E">
        <w:t>.</w:t>
      </w:r>
      <w:r w:rsidRPr="00726C68">
        <w:t xml:space="preserve"> </w:t>
      </w:r>
      <w:r w:rsidR="00E01C5E">
        <w:t>It</w:t>
      </w:r>
      <w:r w:rsidRPr="00726C68">
        <w:t xml:space="preserve"> is a formal written warning issued to an individual or sometime business stating requirements to stop the ASB and if this is breached the individual or business can </w:t>
      </w:r>
      <w:proofErr w:type="gramStart"/>
      <w:r w:rsidRPr="00726C68">
        <w:t>prosecuted</w:t>
      </w:r>
      <w:proofErr w:type="gramEnd"/>
      <w:r w:rsidRPr="00726C68">
        <w:t xml:space="preserve">. </w:t>
      </w:r>
    </w:p>
    <w:p w14:paraId="13E9D1EE" w14:textId="77777777" w:rsidR="00726C68" w:rsidRPr="00726C68" w:rsidRDefault="00726C68" w:rsidP="00726C68"/>
    <w:p w14:paraId="0C275D39" w14:textId="77777777" w:rsidR="00726C68" w:rsidRPr="00726C68" w:rsidRDefault="00726C68" w:rsidP="00726C68">
      <w:r w:rsidRPr="00726C68">
        <w:t xml:space="preserve">As I have mentioned some methods for dealing with antisocial behaviour with existing offenders there are </w:t>
      </w:r>
      <w:proofErr w:type="gramStart"/>
      <w:r w:rsidRPr="00726C68">
        <w:t>a number of</w:t>
      </w:r>
      <w:proofErr w:type="gramEnd"/>
      <w:r w:rsidRPr="00726C68">
        <w:t xml:space="preserve"> methods which can be adopted in order to detect the likelihood of it occurring and to ultimately prevent it from happening. One of which is Acceptable Behaviour Contract (ABC’s) which can be explained as, “A voluntary written agreement which is signed by an individual committing antisocial behaviour and agrees to abide by specified terms and to cooperate with relevant support agencies” (ASB Help, 2021). This contract is not legally binding but if it were to become breached by the individual then it would suggest to authorities that legal action could be considered in the event of a repeat offence and if proportionate to do so. It is clear then that police resort to other partnership agencies to tackle the personal issues of the offenders themselves and to put prevention schemes in place. Police action is probably more appropriate for repeat offenders and for people who commit more serious offences under the Anti-Social Behaviour Crime and Policing Act and where it is in the public interest to prosecute.  </w:t>
      </w:r>
    </w:p>
    <w:p w14:paraId="5D300B4D" w14:textId="77777777" w:rsidR="00726C68" w:rsidRPr="00726C68" w:rsidRDefault="00726C68" w:rsidP="00726C68"/>
    <w:p w14:paraId="172E80A3" w14:textId="6D2BA931" w:rsidR="00726C68" w:rsidRPr="00726C68" w:rsidRDefault="00726C68" w:rsidP="00726C68">
      <w:r w:rsidRPr="00726C68">
        <w:t>There is a potential for bias to impact the community and individuals around antisocial behaviour, for example there can be an assumption that males are more than likely to commit ASB as opposed to females. Particularly when you look at figures taken from</w:t>
      </w:r>
      <w:r w:rsidR="00E01C5E">
        <w:t xml:space="preserve"> the House of Commons Library</w:t>
      </w:r>
      <w:r w:rsidRPr="00726C68">
        <w:t xml:space="preserve"> which show, “A total of 2,012 females were issued an antisocial behaviour order compared to 12,856 males between June 2000 and December 2007” Berman (2009). So due to this generalised assumption people might have, it would be wrong to let if effect my decision making and approach with members of the public as a police constable as this would abuse the code of ethics. As per my responsibilities as a police officer I have the duty to treat everyone fairly and impartial</w:t>
      </w:r>
      <w:r w:rsidR="00E01C5E">
        <w:t>ly</w:t>
      </w:r>
      <w:r w:rsidRPr="00726C68">
        <w:t xml:space="preserve"> no matter what race, sexuality, age or gender. This is particularly important to abide by during the gather information and intelligence stage, as I cannot make assumptions and purely </w:t>
      </w:r>
      <w:proofErr w:type="gramStart"/>
      <w:r w:rsidRPr="00726C68">
        <w:t>have to</w:t>
      </w:r>
      <w:proofErr w:type="gramEnd"/>
      <w:r w:rsidRPr="00726C68">
        <w:t xml:space="preserve"> gain substantial and factual evidence</w:t>
      </w:r>
      <w:r w:rsidR="00E01C5E">
        <w:t xml:space="preserve"> and information</w:t>
      </w:r>
      <w:r w:rsidRPr="00726C68">
        <w:t xml:space="preserve">. </w:t>
      </w:r>
    </w:p>
    <w:p w14:paraId="6E09A3C3" w14:textId="77777777" w:rsidR="00726C68" w:rsidRPr="00726C68" w:rsidRDefault="00726C68" w:rsidP="00726C68"/>
    <w:p w14:paraId="02DC52AD" w14:textId="4248212D" w:rsidR="00726C68" w:rsidRPr="00726C68" w:rsidRDefault="00726C68" w:rsidP="00726C68">
      <w:r w:rsidRPr="00726C68">
        <w:t xml:space="preserve">In summary from the situation I have explained I took an immediate resolution by confiscating the alcohol the youths were drinking and advised them to leave the area for the remainder of the evening. </w:t>
      </w:r>
      <w:proofErr w:type="gramStart"/>
      <w:r w:rsidRPr="00726C68">
        <w:t>However</w:t>
      </w:r>
      <w:proofErr w:type="gramEnd"/>
      <w:r w:rsidRPr="00726C68">
        <w:t xml:space="preserve"> there was one subject who was responsible to sourcing the alcohol and hence the antisocial behaviour occurred. As </w:t>
      </w:r>
      <w:proofErr w:type="gramStart"/>
      <w:r w:rsidRPr="00726C68">
        <w:t>mentioned</w:t>
      </w:r>
      <w:proofErr w:type="gramEnd"/>
      <w:r w:rsidRPr="00726C68">
        <w:t xml:space="preserve"> I had decided to go down the route of an out of court disposal and in particular a referral for the individual to the Youth Offender Service (YOS). YOS can be explained as, “A multi-agency team which works with young people and families to address factors that lead to offending behaviour” (Barking &amp; Dagenham, 2018). I feel this was appropriate and would be in the public interest to take this approach as the offender was under the age of 18 and this would have a positive outcome for the individual and the community. I suppose I could </w:t>
      </w:r>
      <w:proofErr w:type="gramStart"/>
      <w:r w:rsidRPr="00726C68">
        <w:t>of</w:t>
      </w:r>
      <w:proofErr w:type="gramEnd"/>
      <w:r w:rsidRPr="00726C68">
        <w:t xml:space="preserve"> used discretion and just given the teenagers words of advice but I wanted to prevent these individuals from reoffending and adding to the ongoing issue of antisocial behaviour and other crime. I considered this referral to be necessary to teach young individuals and solve the real reasons</w:t>
      </w:r>
      <w:r w:rsidR="00E01C5E">
        <w:t xml:space="preserve"> that make</w:t>
      </w:r>
      <w:r w:rsidRPr="00726C68">
        <w:t xml:space="preserve"> the</w:t>
      </w:r>
      <w:r w:rsidR="00E01C5E">
        <w:t>m</w:t>
      </w:r>
      <w:r w:rsidRPr="00726C68">
        <w:t xml:space="preserve"> turn to committing crime. This is again something that other partner agencies specialise in and was not something I could resolve myself. In future I will consider the same method to solve issues young people are facing and will use other</w:t>
      </w:r>
      <w:r w:rsidR="00E01C5E">
        <w:t xml:space="preserve"> legally binding</w:t>
      </w:r>
      <w:r w:rsidRPr="00726C68">
        <w:t xml:space="preserve"> alternatives if these referrals do not work. </w:t>
      </w:r>
    </w:p>
    <w:p w14:paraId="595C5A70" w14:textId="77777777" w:rsidR="00726C68" w:rsidRPr="00726C68" w:rsidRDefault="00726C68" w:rsidP="00726C68"/>
    <w:p w14:paraId="47065F3E" w14:textId="0C456C0C" w:rsidR="00726C68" w:rsidRPr="00726C68" w:rsidRDefault="00726C68" w:rsidP="00726C68">
      <w:r w:rsidRPr="00726C68">
        <w:t>Words: 17</w:t>
      </w:r>
      <w:r w:rsidR="00E01C5E">
        <w:t>52</w:t>
      </w:r>
    </w:p>
    <w:p w14:paraId="5A80B539" w14:textId="77777777" w:rsidR="00726C68" w:rsidRPr="00726C68" w:rsidRDefault="00726C68" w:rsidP="00726C68"/>
    <w:p w14:paraId="16B53489" w14:textId="77777777" w:rsidR="00726C68" w:rsidRPr="00726C68" w:rsidRDefault="00726C68" w:rsidP="00726C68"/>
    <w:p w14:paraId="40AD23AB" w14:textId="77777777" w:rsidR="00726C68" w:rsidRPr="00726C68" w:rsidRDefault="00726C68" w:rsidP="00726C68"/>
    <w:p w14:paraId="4D3E1DEE" w14:textId="77777777" w:rsidR="00726C68" w:rsidRPr="00726C68" w:rsidRDefault="00726C68" w:rsidP="00726C68"/>
    <w:p w14:paraId="630EFFE3" w14:textId="77777777" w:rsidR="00726C68" w:rsidRPr="00726C68" w:rsidRDefault="00726C68" w:rsidP="00726C68">
      <w:r w:rsidRPr="00726C68">
        <w:t xml:space="preserve">  </w:t>
      </w:r>
    </w:p>
    <w:p w14:paraId="517B8BCB" w14:textId="77777777" w:rsidR="00726C68" w:rsidRPr="00726C68" w:rsidRDefault="00726C68" w:rsidP="00726C68"/>
    <w:p w14:paraId="0BAECCE8" w14:textId="77777777" w:rsidR="00726C68" w:rsidRPr="00726C68" w:rsidRDefault="00726C68" w:rsidP="00726C68"/>
    <w:p w14:paraId="4BF791CF" w14:textId="77777777" w:rsidR="00726C68" w:rsidRPr="00726C68" w:rsidRDefault="00726C68" w:rsidP="00726C68"/>
    <w:p w14:paraId="73A18E82" w14:textId="77777777" w:rsidR="00726C68" w:rsidRPr="00726C68" w:rsidRDefault="00726C68" w:rsidP="00726C68"/>
    <w:p w14:paraId="17E5090A" w14:textId="77777777" w:rsidR="00726C68" w:rsidRPr="00726C68" w:rsidRDefault="00726C68" w:rsidP="00726C68"/>
    <w:p w14:paraId="32FF300E" w14:textId="77777777" w:rsidR="00726C68" w:rsidRPr="00270EEB" w:rsidRDefault="00726C68"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D586DBE"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4771D77" w14:textId="4D894F0A" w:rsidR="00726C68" w:rsidRDefault="00726C68" w:rsidP="5848403C">
      <w:pPr>
        <w:keepNext/>
        <w:spacing w:before="240" w:after="60"/>
        <w:ind w:right="237"/>
        <w:jc w:val="both"/>
        <w:rPr>
          <w:sz w:val="24"/>
          <w:szCs w:val="24"/>
        </w:rPr>
      </w:pPr>
    </w:p>
    <w:p w14:paraId="1398A4C9"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ASB Help (2021) Acceptable Behaviour Contract (ABC). Available at: </w:t>
      </w:r>
      <w:hyperlink r:id="rId20" w:history="1">
        <w:r w:rsidRPr="00726C68">
          <w:rPr>
            <w:rFonts w:asciiTheme="minorHAnsi" w:eastAsiaTheme="minorHAnsi" w:hAnsiTheme="minorHAnsi" w:cstheme="minorBidi"/>
            <w:color w:val="0563C1" w:themeColor="hyperlink"/>
            <w:sz w:val="22"/>
            <w:szCs w:val="22"/>
            <w:u w:val="single"/>
            <w:lang w:eastAsia="en-US"/>
          </w:rPr>
          <w:t>https://asbhelp.co.uk/home-practitioners/acceptable-behaviour-contract/</w:t>
        </w:r>
      </w:hyperlink>
      <w:r w:rsidRPr="00726C68">
        <w:rPr>
          <w:rFonts w:asciiTheme="minorHAnsi" w:eastAsiaTheme="minorHAnsi" w:hAnsiTheme="minorHAnsi" w:cstheme="minorBidi"/>
          <w:color w:val="auto"/>
          <w:sz w:val="22"/>
          <w:szCs w:val="22"/>
          <w:lang w:eastAsia="en-US"/>
        </w:rPr>
        <w:t xml:space="preserve"> (Accessed: 10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January 2022). </w:t>
      </w:r>
    </w:p>
    <w:p w14:paraId="61F67D7F"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Antisocial Britain (2021) Antisocial behaviour impact. Available at: </w:t>
      </w:r>
      <w:hyperlink r:id="rId21" w:history="1">
        <w:r w:rsidRPr="00726C68">
          <w:rPr>
            <w:rFonts w:asciiTheme="minorHAnsi" w:eastAsiaTheme="minorHAnsi" w:hAnsiTheme="minorHAnsi" w:cstheme="minorBidi"/>
            <w:color w:val="0563C1" w:themeColor="hyperlink"/>
            <w:sz w:val="22"/>
            <w:szCs w:val="22"/>
            <w:u w:val="single"/>
            <w:lang w:eastAsia="en-US"/>
          </w:rPr>
          <w:t>https://www.antisocialbritain.co.uk/impact.html</w:t>
        </w:r>
      </w:hyperlink>
      <w:r w:rsidRPr="00726C68">
        <w:rPr>
          <w:rFonts w:asciiTheme="minorHAnsi" w:eastAsiaTheme="minorHAnsi" w:hAnsiTheme="minorHAnsi" w:cstheme="minorBidi"/>
          <w:color w:val="auto"/>
          <w:sz w:val="22"/>
          <w:szCs w:val="22"/>
          <w:lang w:eastAsia="en-US"/>
        </w:rPr>
        <w:t xml:space="preserve"> (Accessed: 10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January 2022). </w:t>
      </w:r>
    </w:p>
    <w:p w14:paraId="4839601B"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Berman, G. (2009) Anti-social behaviour order statistics. Available at: </w:t>
      </w:r>
      <w:hyperlink r:id="rId22" w:history="1">
        <w:r w:rsidRPr="00726C68">
          <w:rPr>
            <w:rFonts w:asciiTheme="minorHAnsi" w:eastAsiaTheme="minorHAnsi" w:hAnsiTheme="minorHAnsi" w:cstheme="minorBidi"/>
            <w:color w:val="0563C1" w:themeColor="hyperlink"/>
            <w:sz w:val="22"/>
            <w:szCs w:val="22"/>
            <w:u w:val="single"/>
            <w:lang w:eastAsia="en-US"/>
          </w:rPr>
          <w:t>https://researchbriefings.files.parliament.uk/documents/SN03112/SN03112.pdf</w:t>
        </w:r>
      </w:hyperlink>
      <w:r w:rsidRPr="00726C68">
        <w:rPr>
          <w:rFonts w:asciiTheme="minorHAnsi" w:eastAsiaTheme="minorHAnsi" w:hAnsiTheme="minorHAnsi" w:cstheme="minorBidi"/>
          <w:color w:val="auto"/>
          <w:sz w:val="22"/>
          <w:szCs w:val="22"/>
          <w:lang w:eastAsia="en-US"/>
        </w:rPr>
        <w:t xml:space="preserve"> (Accessed: 10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January 2022). </w:t>
      </w:r>
    </w:p>
    <w:p w14:paraId="5C28C605"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Bryant, R. (2020) Blackstone’s Handbook for Policing Students. Fourteenth Edition. Oxford: University Press. </w:t>
      </w:r>
    </w:p>
    <w:p w14:paraId="2341A255"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Barking &amp; Dagenham (2018) Youth Offending Service. Available at: </w:t>
      </w:r>
      <w:hyperlink r:id="rId23" w:history="1">
        <w:r w:rsidRPr="00726C68">
          <w:rPr>
            <w:rFonts w:asciiTheme="minorHAnsi" w:eastAsiaTheme="minorHAnsi" w:hAnsiTheme="minorHAnsi" w:cstheme="minorBidi"/>
            <w:color w:val="0563C1" w:themeColor="hyperlink"/>
            <w:sz w:val="22"/>
            <w:szCs w:val="22"/>
            <w:u w:val="single"/>
            <w:lang w:eastAsia="en-US"/>
          </w:rPr>
          <w:t>https://www.lbbd.gov.uk/youth-offending-service</w:t>
        </w:r>
      </w:hyperlink>
      <w:r w:rsidRPr="00726C68">
        <w:rPr>
          <w:rFonts w:asciiTheme="minorHAnsi" w:eastAsiaTheme="minorHAnsi" w:hAnsiTheme="minorHAnsi" w:cstheme="minorBidi"/>
          <w:color w:val="auto"/>
          <w:sz w:val="22"/>
          <w:szCs w:val="22"/>
          <w:lang w:eastAsia="en-US"/>
        </w:rPr>
        <w:t xml:space="preserve"> (Accessed: 10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January 2022). </w:t>
      </w:r>
    </w:p>
    <w:p w14:paraId="27FD5BAA" w14:textId="48F98882" w:rsid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College of Policing (2013) Investigative Interviewing. Available at: </w:t>
      </w:r>
      <w:hyperlink r:id="rId24" w:anchor="peace-framework" w:history="1">
        <w:r w:rsidRPr="00726C68">
          <w:rPr>
            <w:rFonts w:asciiTheme="minorHAnsi" w:eastAsiaTheme="minorHAnsi" w:hAnsiTheme="minorHAnsi" w:cstheme="minorBidi"/>
            <w:color w:val="0563C1" w:themeColor="hyperlink"/>
            <w:sz w:val="22"/>
            <w:szCs w:val="22"/>
            <w:u w:val="single"/>
            <w:lang w:eastAsia="en-US"/>
          </w:rPr>
          <w:t>https://www.app.college.police.uk/app-content/investigations/investigative-interviewing/#peace-framework</w:t>
        </w:r>
      </w:hyperlink>
      <w:r w:rsidRPr="00726C68">
        <w:rPr>
          <w:rFonts w:asciiTheme="minorHAnsi" w:eastAsiaTheme="minorHAnsi" w:hAnsiTheme="minorHAnsi" w:cstheme="minorBidi"/>
          <w:color w:val="auto"/>
          <w:sz w:val="22"/>
          <w:szCs w:val="22"/>
          <w:lang w:eastAsia="en-US"/>
        </w:rPr>
        <w:t xml:space="preserve"> (Accessed: 30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27F6B473" w14:textId="23A5BB31" w:rsidR="0075689B" w:rsidRPr="00726C68" w:rsidRDefault="0075689B"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Chartered Institute of Environmental Health (2014) Guidance on the use of Community Protection Notices. Available at: </w:t>
      </w:r>
      <w:hyperlink r:id="rId25" w:history="1">
        <w:r w:rsidRPr="00FE0103">
          <w:rPr>
            <w:rStyle w:val="Hyperlink"/>
            <w:rFonts w:asciiTheme="minorHAnsi" w:eastAsiaTheme="minorHAnsi" w:hAnsiTheme="minorHAnsi" w:cstheme="minorBidi"/>
            <w:sz w:val="22"/>
            <w:szCs w:val="22"/>
            <w:lang w:eastAsia="en-US"/>
          </w:rPr>
          <w:t>https://www.cieh.org/media/1238/guidance-on-the-use-of-community-protection-notices.pdf</w:t>
        </w:r>
      </w:hyperlink>
      <w:r>
        <w:rPr>
          <w:rFonts w:asciiTheme="minorHAnsi" w:eastAsiaTheme="minorHAnsi" w:hAnsiTheme="minorHAnsi" w:cstheme="minorBidi"/>
          <w:color w:val="auto"/>
          <w:sz w:val="22"/>
          <w:szCs w:val="22"/>
          <w:lang w:eastAsia="en-US"/>
        </w:rPr>
        <w:t xml:space="preserve"> (Accessed: 10</w:t>
      </w:r>
      <w:r w:rsidRPr="0075689B">
        <w:rPr>
          <w:rFonts w:asciiTheme="minorHAnsi" w:eastAsiaTheme="minorHAnsi" w:hAnsiTheme="minorHAnsi" w:cstheme="minorBidi"/>
          <w:color w:val="auto"/>
          <w:sz w:val="22"/>
          <w:szCs w:val="22"/>
          <w:vertAlign w:val="superscript"/>
          <w:lang w:eastAsia="en-US"/>
        </w:rPr>
        <w:t>th</w:t>
      </w:r>
      <w:r>
        <w:rPr>
          <w:rFonts w:asciiTheme="minorHAnsi" w:eastAsiaTheme="minorHAnsi" w:hAnsiTheme="minorHAnsi" w:cstheme="minorBidi"/>
          <w:color w:val="auto"/>
          <w:sz w:val="22"/>
          <w:szCs w:val="22"/>
          <w:lang w:eastAsia="en-US"/>
        </w:rPr>
        <w:t xml:space="preserve"> January 2022). </w:t>
      </w:r>
    </w:p>
    <w:p w14:paraId="3DB258DB"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proofErr w:type="spellStart"/>
      <w:r w:rsidRPr="00726C68">
        <w:rPr>
          <w:rFonts w:asciiTheme="minorHAnsi" w:eastAsiaTheme="minorHAnsi" w:hAnsiTheme="minorHAnsi" w:cstheme="minorBidi"/>
          <w:color w:val="auto"/>
          <w:sz w:val="22"/>
          <w:szCs w:val="22"/>
          <w:lang w:eastAsia="en-US"/>
        </w:rPr>
        <w:t>Conuunt</w:t>
      </w:r>
      <w:proofErr w:type="spellEnd"/>
      <w:r w:rsidRPr="00726C68">
        <w:rPr>
          <w:rFonts w:asciiTheme="minorHAnsi" w:eastAsiaTheme="minorHAnsi" w:hAnsiTheme="minorHAnsi" w:cstheme="minorBidi"/>
          <w:color w:val="auto"/>
          <w:sz w:val="22"/>
          <w:szCs w:val="22"/>
          <w:lang w:eastAsia="en-US"/>
        </w:rPr>
        <w:t xml:space="preserve"> (2022) Gibb’s Reflective Cycle. Available at: </w:t>
      </w:r>
      <w:hyperlink r:id="rId26" w:history="1">
        <w:r w:rsidRPr="00726C68">
          <w:rPr>
            <w:rFonts w:asciiTheme="minorHAnsi" w:eastAsiaTheme="minorHAnsi" w:hAnsiTheme="minorHAnsi" w:cstheme="minorBidi"/>
            <w:color w:val="0563C1" w:themeColor="hyperlink"/>
            <w:sz w:val="22"/>
            <w:szCs w:val="22"/>
            <w:u w:val="single"/>
            <w:lang w:eastAsia="en-US"/>
          </w:rPr>
          <w:t>https://www.consuunt.com/gibbs-reflective-cycle/</w:t>
        </w:r>
      </w:hyperlink>
      <w:r w:rsidRPr="00726C68">
        <w:rPr>
          <w:rFonts w:asciiTheme="minorHAnsi" w:eastAsiaTheme="minorHAnsi" w:hAnsiTheme="minorHAnsi" w:cstheme="minorBidi"/>
          <w:color w:val="auto"/>
          <w:sz w:val="22"/>
          <w:szCs w:val="22"/>
          <w:lang w:eastAsia="en-US"/>
        </w:rPr>
        <w:t xml:space="preserve"> (Accessed: 10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January 2022). </w:t>
      </w:r>
    </w:p>
    <w:p w14:paraId="7E07AA10"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Dabell, J. (2018) </w:t>
      </w:r>
      <w:proofErr w:type="spellStart"/>
      <w:r w:rsidRPr="00726C68">
        <w:rPr>
          <w:rFonts w:asciiTheme="minorHAnsi" w:eastAsiaTheme="minorHAnsi" w:hAnsiTheme="minorHAnsi" w:cstheme="minorBidi"/>
          <w:color w:val="auto"/>
          <w:sz w:val="22"/>
          <w:szCs w:val="22"/>
          <w:lang w:eastAsia="en-US"/>
        </w:rPr>
        <w:t>Borton’s</w:t>
      </w:r>
      <w:proofErr w:type="spellEnd"/>
      <w:r w:rsidRPr="00726C68">
        <w:rPr>
          <w:rFonts w:asciiTheme="minorHAnsi" w:eastAsiaTheme="minorHAnsi" w:hAnsiTheme="minorHAnsi" w:cstheme="minorBidi"/>
          <w:color w:val="auto"/>
          <w:sz w:val="22"/>
          <w:szCs w:val="22"/>
          <w:lang w:eastAsia="en-US"/>
        </w:rPr>
        <w:t xml:space="preserve"> Model of Reflection. Available at: </w:t>
      </w:r>
      <w:hyperlink r:id="rId27" w:history="1">
        <w:r w:rsidRPr="00726C68">
          <w:rPr>
            <w:rFonts w:asciiTheme="minorHAnsi" w:eastAsiaTheme="minorHAnsi" w:hAnsiTheme="minorHAnsi" w:cstheme="minorBidi"/>
            <w:color w:val="0563C1" w:themeColor="hyperlink"/>
            <w:sz w:val="22"/>
            <w:szCs w:val="22"/>
            <w:u w:val="single"/>
            <w:lang w:eastAsia="en-US"/>
          </w:rPr>
          <w:t>https://johndabell.com/2018/08/05/models-of-reflection/</w:t>
        </w:r>
      </w:hyperlink>
      <w:r w:rsidRPr="00726C68">
        <w:rPr>
          <w:rFonts w:asciiTheme="minorHAnsi" w:eastAsiaTheme="minorHAnsi" w:hAnsiTheme="minorHAnsi" w:cstheme="minorBidi"/>
          <w:color w:val="auto"/>
          <w:sz w:val="22"/>
          <w:szCs w:val="22"/>
          <w:lang w:eastAsia="en-US"/>
        </w:rPr>
        <w:t xml:space="preserve"> (Accessed: 29</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w:t>
      </w:r>
    </w:p>
    <w:p w14:paraId="07142638"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Health and Safety Executive (2021) Interviewing Suspects. Available at: </w:t>
      </w:r>
      <w:hyperlink r:id="rId28" w:history="1">
        <w:r w:rsidRPr="00726C68">
          <w:rPr>
            <w:rFonts w:asciiTheme="minorHAnsi" w:eastAsiaTheme="minorHAnsi" w:hAnsiTheme="minorHAnsi" w:cstheme="minorBidi"/>
            <w:color w:val="0563C1" w:themeColor="hyperlink"/>
            <w:sz w:val="22"/>
            <w:szCs w:val="22"/>
            <w:u w:val="single"/>
            <w:lang w:eastAsia="en-US"/>
          </w:rPr>
          <w:t>https://www.hse.gov.uk/enforce/enforcementguide/investigation/witness-questionning.htm</w:t>
        </w:r>
      </w:hyperlink>
      <w:r w:rsidRPr="00726C68">
        <w:rPr>
          <w:rFonts w:asciiTheme="minorHAnsi" w:eastAsiaTheme="minorHAnsi" w:hAnsiTheme="minorHAnsi" w:cstheme="minorBidi"/>
          <w:color w:val="auto"/>
          <w:sz w:val="22"/>
          <w:szCs w:val="22"/>
          <w:lang w:eastAsia="en-US"/>
        </w:rPr>
        <w:t xml:space="preserve"> (Accessed: 31</w:t>
      </w:r>
      <w:r w:rsidRPr="00726C68">
        <w:rPr>
          <w:rFonts w:asciiTheme="minorHAnsi" w:eastAsiaTheme="minorHAnsi" w:hAnsiTheme="minorHAnsi" w:cstheme="minorBidi"/>
          <w:color w:val="auto"/>
          <w:sz w:val="22"/>
          <w:szCs w:val="22"/>
          <w:vertAlign w:val="superscript"/>
          <w:lang w:eastAsia="en-US"/>
        </w:rPr>
        <w:t>st</w:t>
      </w:r>
      <w:r w:rsidRPr="00726C68">
        <w:rPr>
          <w:rFonts w:asciiTheme="minorHAnsi" w:eastAsiaTheme="minorHAnsi" w:hAnsiTheme="minorHAnsi" w:cstheme="minorBidi"/>
          <w:color w:val="auto"/>
          <w:sz w:val="22"/>
          <w:szCs w:val="22"/>
          <w:lang w:eastAsia="en-US"/>
        </w:rPr>
        <w:t xml:space="preserve"> December 2021). </w:t>
      </w:r>
    </w:p>
    <w:p w14:paraId="2B0AF64E"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Harrington, J.M. (2021) Health effects of shift work and extended hours of work. Available at: </w:t>
      </w:r>
      <w:hyperlink r:id="rId29" w:history="1">
        <w:r w:rsidRPr="00726C68">
          <w:rPr>
            <w:rFonts w:asciiTheme="minorHAnsi" w:eastAsiaTheme="minorHAnsi" w:hAnsiTheme="minorHAnsi" w:cstheme="minorBidi"/>
            <w:color w:val="0563C1" w:themeColor="hyperlink"/>
            <w:sz w:val="22"/>
            <w:szCs w:val="22"/>
            <w:u w:val="single"/>
            <w:lang w:eastAsia="en-US"/>
          </w:rPr>
          <w:t>https://oem.bmj.com/content/58/1/68</w:t>
        </w:r>
      </w:hyperlink>
      <w:r w:rsidRPr="00726C68">
        <w:rPr>
          <w:rFonts w:asciiTheme="minorHAnsi" w:eastAsiaTheme="minorHAnsi" w:hAnsiTheme="minorHAnsi" w:cstheme="minorBidi"/>
          <w:color w:val="auto"/>
          <w:sz w:val="22"/>
          <w:szCs w:val="22"/>
          <w:lang w:eastAsia="en-US"/>
        </w:rPr>
        <w:t xml:space="preserve"> (Accessed: 23</w:t>
      </w:r>
      <w:r w:rsidRPr="00726C68">
        <w:rPr>
          <w:rFonts w:asciiTheme="minorHAnsi" w:eastAsiaTheme="minorHAnsi" w:hAnsiTheme="minorHAnsi" w:cstheme="minorBidi"/>
          <w:color w:val="auto"/>
          <w:sz w:val="22"/>
          <w:szCs w:val="22"/>
          <w:vertAlign w:val="superscript"/>
          <w:lang w:eastAsia="en-US"/>
        </w:rPr>
        <w:t>rd</w:t>
      </w:r>
      <w:r w:rsidRPr="00726C68">
        <w:rPr>
          <w:rFonts w:asciiTheme="minorHAnsi" w:eastAsiaTheme="minorHAnsi" w:hAnsiTheme="minorHAnsi" w:cstheme="minorBidi"/>
          <w:color w:val="auto"/>
          <w:sz w:val="22"/>
          <w:szCs w:val="22"/>
          <w:lang w:eastAsia="en-US"/>
        </w:rPr>
        <w:t xml:space="preserve"> December 2021).</w:t>
      </w:r>
    </w:p>
    <w:p w14:paraId="5E97DE82"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Home Office (2020) Interviewing Suspects. Available at: </w:t>
      </w:r>
      <w:hyperlink r:id="rId30" w:history="1">
        <w:r w:rsidRPr="00726C68">
          <w:rPr>
            <w:rFonts w:asciiTheme="minorHAnsi" w:eastAsiaTheme="minorHAnsi" w:hAnsiTheme="minorHAnsi" w:cstheme="minorBidi"/>
            <w:color w:val="0563C1" w:themeColor="hyperlink"/>
            <w:sz w:val="22"/>
            <w:szCs w:val="22"/>
            <w:u w:val="single"/>
            <w:lang w:eastAsia="en-US"/>
          </w:rPr>
          <w:t>https://assets.publishing.service.gov.uk/government/uploads/system/uploads/attachment_data/file/864940/interviewing-suspects</w:t>
        </w:r>
      </w:hyperlink>
      <w:r w:rsidRPr="00726C68">
        <w:rPr>
          <w:rFonts w:asciiTheme="minorHAnsi" w:eastAsiaTheme="minorHAnsi" w:hAnsiTheme="minorHAnsi" w:cstheme="minorBidi"/>
          <w:color w:val="auto"/>
          <w:sz w:val="22"/>
          <w:szCs w:val="22"/>
          <w:lang w:eastAsia="en-US"/>
        </w:rPr>
        <w:t xml:space="preserve"> (Accessed: 30</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w:t>
      </w:r>
    </w:p>
    <w:p w14:paraId="034008B5"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Justice Inspectorates (2014) Gwent Police’s approach to tackling domestic abuse. Available at: </w:t>
      </w:r>
      <w:hyperlink r:id="rId31" w:history="1">
        <w:r w:rsidRPr="00726C68">
          <w:rPr>
            <w:rFonts w:asciiTheme="minorHAnsi" w:eastAsiaTheme="minorHAnsi" w:hAnsiTheme="minorHAnsi" w:cstheme="minorBidi"/>
            <w:color w:val="0563C1" w:themeColor="hyperlink"/>
            <w:sz w:val="22"/>
            <w:szCs w:val="22"/>
            <w:u w:val="single"/>
            <w:lang w:eastAsia="en-US"/>
          </w:rPr>
          <w:t>https://www.justiceinspectorates.gov.uk/hmicfrs/wp-content/uploads/2014/03/gwent-approach-to-tackling-domestic-abuse</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4A9AB54F"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Legislation Gov (2021) Police Reform Act 2002. Available at: </w:t>
      </w:r>
      <w:hyperlink r:id="rId32" w:history="1">
        <w:r w:rsidRPr="00726C68">
          <w:rPr>
            <w:rFonts w:asciiTheme="minorHAnsi" w:eastAsiaTheme="minorHAnsi" w:hAnsiTheme="minorHAnsi" w:cstheme="minorBidi"/>
            <w:color w:val="0563C1" w:themeColor="hyperlink"/>
            <w:sz w:val="22"/>
            <w:szCs w:val="22"/>
            <w:u w:val="single"/>
            <w:lang w:eastAsia="en-US"/>
          </w:rPr>
          <w:t>https://www.legislation.gov.uk/ukpga/2002/30/section/50</w:t>
        </w:r>
      </w:hyperlink>
      <w:r w:rsidRPr="00726C68">
        <w:rPr>
          <w:rFonts w:asciiTheme="minorHAnsi" w:eastAsiaTheme="minorHAnsi" w:hAnsiTheme="minorHAnsi" w:cstheme="minorBidi"/>
          <w:color w:val="auto"/>
          <w:sz w:val="22"/>
          <w:szCs w:val="22"/>
          <w:lang w:eastAsia="en-US"/>
        </w:rPr>
        <w:t xml:space="preserve"> (Accessed: 2</w:t>
      </w:r>
      <w:r w:rsidRPr="00726C68">
        <w:rPr>
          <w:rFonts w:asciiTheme="minorHAnsi" w:eastAsiaTheme="minorHAnsi" w:hAnsiTheme="minorHAnsi" w:cstheme="minorBidi"/>
          <w:color w:val="auto"/>
          <w:sz w:val="22"/>
          <w:szCs w:val="22"/>
          <w:vertAlign w:val="superscript"/>
          <w:lang w:eastAsia="en-US"/>
        </w:rPr>
        <w:t>nd</w:t>
      </w:r>
      <w:r w:rsidRPr="00726C68">
        <w:rPr>
          <w:rFonts w:asciiTheme="minorHAnsi" w:eastAsiaTheme="minorHAnsi" w:hAnsiTheme="minorHAnsi" w:cstheme="minorBidi"/>
          <w:color w:val="auto"/>
          <w:sz w:val="22"/>
          <w:szCs w:val="22"/>
          <w:lang w:eastAsia="en-US"/>
        </w:rPr>
        <w:t xml:space="preserve"> January 2022). </w:t>
      </w:r>
    </w:p>
    <w:p w14:paraId="2C2A8253"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Mayo Clinic (2020) Stress Management. Available at: </w:t>
      </w:r>
      <w:hyperlink r:id="rId33" w:history="1">
        <w:r w:rsidRPr="00726C68">
          <w:rPr>
            <w:rFonts w:asciiTheme="minorHAnsi" w:eastAsiaTheme="minorHAnsi" w:hAnsiTheme="minorHAnsi" w:cstheme="minorBidi"/>
            <w:color w:val="0563C1" w:themeColor="hyperlink"/>
            <w:sz w:val="22"/>
            <w:szCs w:val="22"/>
            <w:u w:val="single"/>
            <w:lang w:eastAsia="en-US"/>
          </w:rPr>
          <w:t>https://www.mayoclinic.org/healthy-lifestyle/stress-management/in-depth/exercise-and-stress</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75D686D6"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lastRenderedPageBreak/>
        <w:t xml:space="preserve">NHS inform (2021) Beat stress at work. Available at: </w:t>
      </w:r>
      <w:hyperlink r:id="rId34" w:history="1">
        <w:r w:rsidRPr="00726C68">
          <w:rPr>
            <w:rFonts w:asciiTheme="minorHAnsi" w:eastAsiaTheme="minorHAnsi" w:hAnsiTheme="minorHAnsi" w:cstheme="minorBidi"/>
            <w:color w:val="0563C1" w:themeColor="hyperlink"/>
            <w:sz w:val="22"/>
            <w:szCs w:val="22"/>
            <w:u w:val="single"/>
            <w:lang w:eastAsia="en-US"/>
          </w:rPr>
          <w:t>https://www.nhsinform.scot/healthy-living/mental-wellbeing/stress/beat-stress-at-work</w:t>
        </w:r>
      </w:hyperlink>
      <w:r w:rsidRPr="00726C68">
        <w:rPr>
          <w:rFonts w:asciiTheme="minorHAnsi" w:eastAsiaTheme="minorHAnsi" w:hAnsiTheme="minorHAnsi" w:cstheme="minorBidi"/>
          <w:color w:val="auto"/>
          <w:sz w:val="22"/>
          <w:szCs w:val="22"/>
          <w:lang w:eastAsia="en-US"/>
        </w:rPr>
        <w:t xml:space="preserve"> (Accessed: 23</w:t>
      </w:r>
      <w:r w:rsidRPr="00726C68">
        <w:rPr>
          <w:rFonts w:asciiTheme="minorHAnsi" w:eastAsiaTheme="minorHAnsi" w:hAnsiTheme="minorHAnsi" w:cstheme="minorBidi"/>
          <w:color w:val="auto"/>
          <w:sz w:val="22"/>
          <w:szCs w:val="22"/>
          <w:vertAlign w:val="superscript"/>
          <w:lang w:eastAsia="en-US"/>
        </w:rPr>
        <w:t>rd</w:t>
      </w:r>
      <w:r w:rsidRPr="00726C68">
        <w:rPr>
          <w:rFonts w:asciiTheme="minorHAnsi" w:eastAsiaTheme="minorHAnsi" w:hAnsiTheme="minorHAnsi" w:cstheme="minorBidi"/>
          <w:color w:val="auto"/>
          <w:sz w:val="22"/>
          <w:szCs w:val="22"/>
          <w:lang w:eastAsia="en-US"/>
        </w:rPr>
        <w:t xml:space="preserve"> December 2021).</w:t>
      </w:r>
    </w:p>
    <w:p w14:paraId="41FFB408"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Police and Criminal Evidence Act 1984, 24. 3. B. Available at: </w:t>
      </w:r>
      <w:hyperlink r:id="rId35" w:history="1">
        <w:r w:rsidRPr="00726C68">
          <w:rPr>
            <w:rFonts w:asciiTheme="minorHAnsi" w:eastAsiaTheme="minorHAnsi" w:hAnsiTheme="minorHAnsi" w:cstheme="minorBidi"/>
            <w:color w:val="0563C1" w:themeColor="hyperlink"/>
            <w:sz w:val="22"/>
            <w:szCs w:val="22"/>
            <w:u w:val="single"/>
            <w:lang w:eastAsia="en-US"/>
          </w:rPr>
          <w:t>https://www.legislation.gov.uk.ukpga/1984/60/section/24</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09AA6D27"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Police National Legal Database (2017) Harassment without violence. Available at: </w:t>
      </w:r>
      <w:hyperlink r:id="rId36" w:history="1">
        <w:r w:rsidRPr="00726C68">
          <w:rPr>
            <w:rFonts w:asciiTheme="minorHAnsi" w:eastAsiaTheme="minorHAnsi" w:hAnsiTheme="minorHAnsi" w:cstheme="minorBidi"/>
            <w:color w:val="0563C1" w:themeColor="hyperlink"/>
            <w:sz w:val="22"/>
            <w:szCs w:val="22"/>
            <w:u w:val="single"/>
            <w:lang w:eastAsia="en-US"/>
          </w:rPr>
          <w:t>https://www.pnld.co.uk/members/offence-wording-detail/?id=f1df48d6-52d8-eb11-bacb-0022483f5223</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6A2A2744"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Reflection Toolkit (2020) Gibbs’ Reflective Cycle. Available at: </w:t>
      </w:r>
      <w:hyperlink r:id="rId37" w:history="1">
        <w:r w:rsidRPr="00726C68">
          <w:rPr>
            <w:rFonts w:asciiTheme="minorHAnsi" w:eastAsiaTheme="minorHAnsi" w:hAnsiTheme="minorHAnsi" w:cstheme="minorBidi"/>
            <w:color w:val="0563C1" w:themeColor="hyperlink"/>
            <w:sz w:val="22"/>
            <w:szCs w:val="22"/>
            <w:u w:val="single"/>
            <w:lang w:eastAsia="en-US"/>
          </w:rPr>
          <w:t>https://www.ed.ac.uk/reflection/refelctors-toolkit/reflecting-on-experience/gibbs-reflective-cycle</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w:t>
      </w:r>
    </w:p>
    <w:p w14:paraId="6E313B16" w14:textId="77777777" w:rsidR="00726C68" w:rsidRPr="00726C68" w:rsidRDefault="00726C68" w:rsidP="00726C6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726C68">
        <w:rPr>
          <w:rFonts w:asciiTheme="minorHAnsi" w:eastAsiaTheme="minorHAnsi" w:hAnsiTheme="minorHAnsi" w:cstheme="minorBidi"/>
          <w:color w:val="auto"/>
          <w:sz w:val="22"/>
          <w:szCs w:val="22"/>
          <w:lang w:eastAsia="en-US"/>
        </w:rPr>
        <w:t xml:space="preserve">Suttie, J. (2017) Four Ways Social Support Makes You More Resilient. Available at: </w:t>
      </w:r>
      <w:hyperlink r:id="rId38" w:history="1">
        <w:r w:rsidRPr="00726C68">
          <w:rPr>
            <w:rFonts w:asciiTheme="minorHAnsi" w:eastAsiaTheme="minorHAnsi" w:hAnsiTheme="minorHAnsi" w:cstheme="minorBidi"/>
            <w:color w:val="0563C1" w:themeColor="hyperlink"/>
            <w:sz w:val="22"/>
            <w:szCs w:val="22"/>
            <w:u w:val="single"/>
            <w:lang w:eastAsia="en-US"/>
          </w:rPr>
          <w:t>https://greatergood.berkeley.edu/article/item/fou_ways_social_support_makes_you_more_resilient</w:t>
        </w:r>
      </w:hyperlink>
      <w:r w:rsidRPr="00726C68">
        <w:rPr>
          <w:rFonts w:asciiTheme="minorHAnsi" w:eastAsiaTheme="minorHAnsi" w:hAnsiTheme="minorHAnsi" w:cstheme="minorBidi"/>
          <w:color w:val="auto"/>
          <w:sz w:val="22"/>
          <w:szCs w:val="22"/>
          <w:lang w:eastAsia="en-US"/>
        </w:rPr>
        <w:t xml:space="preserve"> (Accessed: 28</w:t>
      </w:r>
      <w:r w:rsidRPr="00726C68">
        <w:rPr>
          <w:rFonts w:asciiTheme="minorHAnsi" w:eastAsiaTheme="minorHAnsi" w:hAnsiTheme="minorHAnsi" w:cstheme="minorBidi"/>
          <w:color w:val="auto"/>
          <w:sz w:val="22"/>
          <w:szCs w:val="22"/>
          <w:vertAlign w:val="superscript"/>
          <w:lang w:eastAsia="en-US"/>
        </w:rPr>
        <w:t>th</w:t>
      </w:r>
      <w:r w:rsidRPr="00726C68">
        <w:rPr>
          <w:rFonts w:asciiTheme="minorHAnsi" w:eastAsiaTheme="minorHAnsi" w:hAnsiTheme="minorHAnsi" w:cstheme="minorBidi"/>
          <w:color w:val="auto"/>
          <w:sz w:val="22"/>
          <w:szCs w:val="22"/>
          <w:lang w:eastAsia="en-US"/>
        </w:rPr>
        <w:t xml:space="preserve"> December 2021). </w:t>
      </w:r>
    </w:p>
    <w:p w14:paraId="71B49D98" w14:textId="77777777" w:rsidR="00726C68" w:rsidRPr="00726C68" w:rsidRDefault="00726C68" w:rsidP="00726C68">
      <w:pPr>
        <w:numPr>
          <w:ilvl w:val="0"/>
          <w:numId w:val="5"/>
        </w:numPr>
        <w:overflowPunct/>
        <w:autoSpaceDE/>
        <w:autoSpaceDN/>
        <w:adjustRightInd/>
        <w:spacing w:before="240" w:after="160" w:line="259" w:lineRule="auto"/>
        <w:contextualSpacing/>
        <w:textAlignment w:val="auto"/>
        <w:rPr>
          <w:rFonts w:asciiTheme="minorHAnsi" w:eastAsiaTheme="minorHAnsi" w:hAnsiTheme="minorHAnsi" w:cstheme="minorBidi"/>
          <w:color w:val="auto"/>
          <w:sz w:val="22"/>
          <w:szCs w:val="22"/>
          <w:lang w:eastAsia="en-US"/>
        </w:rPr>
      </w:pPr>
      <w:proofErr w:type="spellStart"/>
      <w:r w:rsidRPr="00726C68">
        <w:rPr>
          <w:rFonts w:asciiTheme="minorHAnsi" w:eastAsiaTheme="minorHAnsi" w:hAnsiTheme="minorHAnsi" w:cstheme="minorBidi"/>
          <w:color w:val="auto"/>
          <w:sz w:val="22"/>
          <w:szCs w:val="22"/>
          <w:lang w:eastAsia="en-US"/>
        </w:rPr>
        <w:t>Sancus</w:t>
      </w:r>
      <w:proofErr w:type="spellEnd"/>
      <w:r w:rsidRPr="00726C68">
        <w:rPr>
          <w:rFonts w:asciiTheme="minorHAnsi" w:eastAsiaTheme="minorHAnsi" w:hAnsiTheme="minorHAnsi" w:cstheme="minorBidi"/>
          <w:color w:val="auto"/>
          <w:sz w:val="22"/>
          <w:szCs w:val="22"/>
          <w:lang w:eastAsia="en-US"/>
        </w:rPr>
        <w:t xml:space="preserve"> Solutions (2013) Aide Memoir for Audibly Recorded Interviews. Available at: </w:t>
      </w:r>
      <w:hyperlink r:id="rId39" w:history="1">
        <w:r w:rsidRPr="00726C68">
          <w:rPr>
            <w:rFonts w:asciiTheme="minorHAnsi" w:eastAsiaTheme="minorHAnsi" w:hAnsiTheme="minorHAnsi" w:cstheme="minorBidi"/>
            <w:color w:val="0563C1" w:themeColor="hyperlink"/>
            <w:sz w:val="22"/>
            <w:szCs w:val="22"/>
            <w:u w:val="single"/>
            <w:lang w:eastAsia="en-US"/>
          </w:rPr>
          <w:t>https://www.sancussolutions.co.uk/wp-content/uploads/2013/07/Aide-memoir-for-audibly-recorded-suspect-interviews-V2</w:t>
        </w:r>
      </w:hyperlink>
      <w:r w:rsidRPr="00726C68">
        <w:rPr>
          <w:rFonts w:asciiTheme="minorHAnsi" w:eastAsiaTheme="minorHAnsi" w:hAnsiTheme="minorHAnsi" w:cstheme="minorBidi"/>
          <w:color w:val="auto"/>
          <w:sz w:val="22"/>
          <w:szCs w:val="22"/>
          <w:lang w:eastAsia="en-US"/>
        </w:rPr>
        <w:t xml:space="preserve"> (Accessed: 31</w:t>
      </w:r>
      <w:r w:rsidRPr="00726C68">
        <w:rPr>
          <w:rFonts w:asciiTheme="minorHAnsi" w:eastAsiaTheme="minorHAnsi" w:hAnsiTheme="minorHAnsi" w:cstheme="minorBidi"/>
          <w:color w:val="auto"/>
          <w:sz w:val="22"/>
          <w:szCs w:val="22"/>
          <w:vertAlign w:val="superscript"/>
          <w:lang w:eastAsia="en-US"/>
        </w:rPr>
        <w:t>st</w:t>
      </w:r>
      <w:r w:rsidRPr="00726C68">
        <w:rPr>
          <w:rFonts w:asciiTheme="minorHAnsi" w:eastAsiaTheme="minorHAnsi" w:hAnsiTheme="minorHAnsi" w:cstheme="minorBidi"/>
          <w:color w:val="auto"/>
          <w:sz w:val="22"/>
          <w:szCs w:val="22"/>
          <w:lang w:eastAsia="en-US"/>
        </w:rPr>
        <w:t xml:space="preserve"> December 2021). </w:t>
      </w:r>
    </w:p>
    <w:p w14:paraId="27AA079A" w14:textId="77777777" w:rsidR="00726C68" w:rsidRPr="00270EEB" w:rsidRDefault="00726C68"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C3653F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726C68">
        <w:rPr>
          <w:rFonts w:eastAsia="Arial"/>
          <w:color w:val="000000" w:themeColor="text1"/>
          <w:sz w:val="24"/>
          <w:szCs w:val="24"/>
        </w:rPr>
        <w:t>Luis Williams</w:t>
      </w:r>
      <w:r w:rsidRPr="5848403C">
        <w:rPr>
          <w:rFonts w:eastAsia="Arial"/>
          <w:color w:val="000000" w:themeColor="text1"/>
          <w:sz w:val="24"/>
          <w:szCs w:val="24"/>
        </w:rPr>
        <w:t xml:space="preserve"> 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0AA6AAC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26C68">
        <w:rPr>
          <w:rFonts w:eastAsia="Arial"/>
          <w:color w:val="000000" w:themeColor="text1"/>
          <w:sz w:val="24"/>
          <w:szCs w:val="24"/>
        </w:rPr>
        <w:t>10/01/2022</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4ED098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1E19B1">
        <w:rPr>
          <w:rFonts w:eastAsia="Arial"/>
          <w:color w:val="000000" w:themeColor="text1"/>
          <w:sz w:val="24"/>
          <w:szCs w:val="24"/>
        </w:rPr>
        <w:t>Luis Williams</w:t>
      </w:r>
      <w:r w:rsidRPr="5848403C">
        <w:rPr>
          <w:rFonts w:eastAsia="Arial"/>
          <w:color w:val="000000" w:themeColor="text1"/>
          <w:sz w:val="24"/>
          <w:szCs w:val="24"/>
        </w:rPr>
        <w:t>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7668C95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1E19B1">
        <w:rPr>
          <w:rFonts w:eastAsia="Arial"/>
          <w:color w:val="000000" w:themeColor="text1"/>
          <w:sz w:val="24"/>
          <w:szCs w:val="24"/>
        </w:rPr>
        <w:t>04/01/2022</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67B5BBE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w:t>
      </w:r>
      <w:r w:rsidR="001E19B1">
        <w:rPr>
          <w:rFonts w:eastAsia="Arial"/>
          <w:color w:val="000000" w:themeColor="text1"/>
          <w:sz w:val="24"/>
          <w:szCs w:val="24"/>
        </w:rPr>
        <w:t>Ben Jones</w:t>
      </w:r>
      <w:r w:rsidRPr="5848403C">
        <w:rPr>
          <w:rFonts w:eastAsia="Arial"/>
          <w:color w:val="000000" w:themeColor="text1"/>
          <w:sz w:val="24"/>
          <w:szCs w:val="24"/>
        </w:rPr>
        <w:t xml:space="preserve">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05F5436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1E19B1">
        <w:rPr>
          <w:rFonts w:eastAsia="Arial"/>
          <w:color w:val="000000" w:themeColor="text1"/>
          <w:sz w:val="24"/>
          <w:szCs w:val="24"/>
        </w:rPr>
        <w:t>04/01/2022</w:t>
      </w:r>
      <w:r w:rsidRPr="5848403C">
        <w:rPr>
          <w:rFonts w:eastAsia="Arial"/>
          <w:color w:val="000000" w:themeColor="text1"/>
          <w:sz w:val="24"/>
          <w:szCs w:val="24"/>
        </w:rPr>
        <w:t xml:space="preserve"> _ _ _ _ _ _ _ _</w:t>
      </w:r>
    </w:p>
    <w:p w14:paraId="24A3A072" w14:textId="344EE9A4" w:rsidR="001E19B1" w:rsidRDefault="001E19B1" w:rsidP="5848403C">
      <w:pPr>
        <w:jc w:val="both"/>
        <w:rPr>
          <w:rFonts w:eastAsia="Arial"/>
          <w:color w:val="000000" w:themeColor="text1"/>
          <w:sz w:val="24"/>
          <w:szCs w:val="24"/>
        </w:rPr>
      </w:pPr>
    </w:p>
    <w:p w14:paraId="52660335" w14:textId="4A612D04" w:rsidR="001E19B1" w:rsidRPr="001E19B1" w:rsidRDefault="00120A46" w:rsidP="5848403C">
      <w:pPr>
        <w:jc w:val="both"/>
        <w:rPr>
          <w:rFonts w:eastAsia="Arial"/>
          <w:b/>
          <w:bCs/>
          <w:color w:val="000000" w:themeColor="text1"/>
          <w:sz w:val="24"/>
          <w:szCs w:val="24"/>
        </w:rPr>
      </w:pPr>
      <w:r>
        <w:rPr>
          <w:rFonts w:eastAsia="Arial"/>
          <w:b/>
          <w:bCs/>
          <w:color w:val="000000" w:themeColor="text1"/>
          <w:sz w:val="24"/>
          <w:szCs w:val="24"/>
        </w:rPr>
        <w:t>*</w:t>
      </w:r>
      <w:r w:rsidR="001E19B1" w:rsidRPr="001E19B1">
        <w:rPr>
          <w:rFonts w:eastAsia="Arial"/>
          <w:b/>
          <w:bCs/>
          <w:color w:val="000000" w:themeColor="text1"/>
          <w:sz w:val="24"/>
          <w:szCs w:val="24"/>
        </w:rPr>
        <w:t>*</w:t>
      </w:r>
      <w:r w:rsidR="000F3F1C">
        <w:rPr>
          <w:rFonts w:eastAsia="Arial"/>
          <w:b/>
          <w:bCs/>
          <w:color w:val="000000" w:themeColor="text1"/>
          <w:sz w:val="24"/>
          <w:szCs w:val="24"/>
        </w:rPr>
        <w:t>THE LINK TO THE HAND SIGNED COPY IS BELOW**</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5DAF546F" w:rsidR="5848403C" w:rsidRDefault="5848403C" w:rsidP="5848403C"/>
    <w:p w14:paraId="2A470902" w14:textId="3949D834" w:rsidR="000F3F1C" w:rsidRDefault="000F3F1C" w:rsidP="5848403C">
      <w:r>
        <w:object w:dxaOrig="1504" w:dyaOrig="982" w14:anchorId="6FC628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pt;height:49pt" o:ole="">
            <v:imagedata r:id="rId40" o:title=""/>
          </v:shape>
          <o:OLEObject Type="Embed" ProgID="AcroExch.Document.DC" ShapeID="_x0000_i1031" DrawAspect="Icon" ObjectID="_1703360173" r:id="rId41"/>
        </w:object>
      </w:r>
      <w:r>
        <w:t xml:space="preserve">  </w:t>
      </w:r>
    </w:p>
    <w:p w14:paraId="387D7EF3" w14:textId="77777777" w:rsidR="000F3F1C" w:rsidRDefault="000F3F1C" w:rsidP="5848403C">
      <w:bookmarkStart w:id="0" w:name="_GoBack"/>
      <w:bookmarkEnd w:id="0"/>
    </w:p>
    <w:sectPr w:rsidR="000F3F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37027" w14:textId="77777777" w:rsidR="00262233" w:rsidRDefault="00262233">
      <w:r>
        <w:separator/>
      </w:r>
    </w:p>
  </w:endnote>
  <w:endnote w:type="continuationSeparator" w:id="0">
    <w:p w14:paraId="2435AF17" w14:textId="77777777" w:rsidR="00262233" w:rsidRDefault="002622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7CE09" w14:textId="77777777" w:rsidR="001E19B1" w:rsidRDefault="001E19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26C68" w:rsidRDefault="00726C68">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726C68" w:rsidRPr="00BB5EAA" w:rsidRDefault="00726C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B7B65" w14:textId="77777777" w:rsidR="001E19B1" w:rsidRDefault="001E1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A7D5F4" w14:textId="77777777" w:rsidR="00262233" w:rsidRDefault="00262233">
      <w:r>
        <w:separator/>
      </w:r>
    </w:p>
  </w:footnote>
  <w:footnote w:type="continuationSeparator" w:id="0">
    <w:p w14:paraId="689F61CF" w14:textId="77777777" w:rsidR="00262233" w:rsidRDefault="002622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E2DD93" w14:textId="77777777" w:rsidR="001E19B1" w:rsidRDefault="001E19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BFA88" w14:textId="77777777" w:rsidR="001E19B1" w:rsidRDefault="001E19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B4FD35" w14:textId="77777777" w:rsidR="001E19B1" w:rsidRDefault="001E19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03441CC"/>
    <w:multiLevelType w:val="hybridMultilevel"/>
    <w:tmpl w:val="DC1E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3F1C"/>
    <w:rsid w:val="000F6196"/>
    <w:rsid w:val="000F7ECD"/>
    <w:rsid w:val="00102E64"/>
    <w:rsid w:val="0010312C"/>
    <w:rsid w:val="00106DC7"/>
    <w:rsid w:val="0011237D"/>
    <w:rsid w:val="00112391"/>
    <w:rsid w:val="00113DB1"/>
    <w:rsid w:val="00114F52"/>
    <w:rsid w:val="00120A46"/>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19B1"/>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2233"/>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471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6C68"/>
    <w:rsid w:val="00727C4C"/>
    <w:rsid w:val="00734809"/>
    <w:rsid w:val="007406E1"/>
    <w:rsid w:val="00743E40"/>
    <w:rsid w:val="00751263"/>
    <w:rsid w:val="0075689B"/>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354A"/>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1C5E"/>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568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nsuunt.com/gibbs-reflective-cycle/" TargetMode="External"/><Relationship Id="rId39" Type="http://schemas.openxmlformats.org/officeDocument/2006/relationships/hyperlink" Target="https://www.sancussolutions.co.uk/wp-content/uploads/2013/07/Aide-memoir-for-audibly-recorded-suspect-interviews-V2" TargetMode="External"/><Relationship Id="rId3" Type="http://schemas.openxmlformats.org/officeDocument/2006/relationships/customXml" Target="../customXml/item3.xml"/><Relationship Id="rId21" Type="http://schemas.openxmlformats.org/officeDocument/2006/relationships/hyperlink" Target="https://www.antisocialbritain.co.uk/impact.html" TargetMode="External"/><Relationship Id="rId34" Type="http://schemas.openxmlformats.org/officeDocument/2006/relationships/hyperlink" Target="https://www.nhsinform.scot/healthy-living/mental-wellbeing/stress/beat-stress-at-work"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ieh.org/media/1238/guidance-on-the-use-of-community-protection-notices.pdf" TargetMode="External"/><Relationship Id="rId33" Type="http://schemas.openxmlformats.org/officeDocument/2006/relationships/hyperlink" Target="https://www.mayoclinic.org/healthy-lifestyle/stress-management/in-depth/exercise-and-stress" TargetMode="External"/><Relationship Id="rId38" Type="http://schemas.openxmlformats.org/officeDocument/2006/relationships/hyperlink" Target="https://greatergood.berkeley.edu/article/item/fou_ways_social_support_makes_you_more_resili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bhelp.co.uk/home-practitioners/acceptable-behaviour-contract/" TargetMode="External"/><Relationship Id="rId29" Type="http://schemas.openxmlformats.org/officeDocument/2006/relationships/hyperlink" Target="https://oem.bmj.com/content/58/1/68" TargetMode="External"/><Relationship Id="rId41"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vestigative-interviewing/" TargetMode="External"/><Relationship Id="rId32" Type="http://schemas.openxmlformats.org/officeDocument/2006/relationships/hyperlink" Target="https://www.legislation.gov.uk/ukpga/2002/30/section/50" TargetMode="External"/><Relationship Id="rId37" Type="http://schemas.openxmlformats.org/officeDocument/2006/relationships/hyperlink" Target="https://www.ed.ac.uk/reflection/refelctors-toolkit/reflecting-on-experience/gibbs-reflective-cycle" TargetMode="External"/><Relationship Id="rId40" Type="http://schemas.openxmlformats.org/officeDocument/2006/relationships/image" Target="media/image2.emf"/><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bbd.gov.uk/youth-offending-service" TargetMode="External"/><Relationship Id="rId28" Type="http://schemas.openxmlformats.org/officeDocument/2006/relationships/hyperlink" Target="https://www.hse.gov.uk/enforce/enforcementguide/investigation/witness-questionning.htm" TargetMode="External"/><Relationship Id="rId36" Type="http://schemas.openxmlformats.org/officeDocument/2006/relationships/hyperlink" Target="https://www.pnld.co.uk/members/offence-wording-detail/?id=f1df48d6-52d8-eb11-bacb-0022483f5223"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usticeinspectorates.gov.uk/hmicfrs/wp-content/uploads/2014/03/gwent-approach-to-tackling-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researchbriefings.files.parliament.uk/documents/SN03112/SN03112.pdf" TargetMode="External"/><Relationship Id="rId27" Type="http://schemas.openxmlformats.org/officeDocument/2006/relationships/hyperlink" Target="https://johndabell.com/2018/08/05/models-of-reflection/" TargetMode="External"/><Relationship Id="rId30" Type="http://schemas.openxmlformats.org/officeDocument/2006/relationships/hyperlink" Target="https://assets.publishing.service.gov.uk/government/uploads/system/uploads/attachment_data/file/864940/interviewing-suspects" TargetMode="External"/><Relationship Id="rId35" Type="http://schemas.openxmlformats.org/officeDocument/2006/relationships/hyperlink" Target="https://www.legislation.gov.uk.ukpga/1984/60/section/24"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AE5268-8C67-4916-B186-596675F01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21</Pages>
  <Words>7364</Words>
  <Characters>41981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Luis</cp:lastModifiedBy>
  <cp:revision>10</cp:revision>
  <cp:lastPrinted>2019-09-26T14:40:00Z</cp:lastPrinted>
  <dcterms:created xsi:type="dcterms:W3CDTF">2022-01-10T21:46:00Z</dcterms:created>
  <dcterms:modified xsi:type="dcterms:W3CDTF">2022-01-10T22:50:00Z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2022-01-10T21:46:31Z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a5b6a140-3237-4641-b676-387a67d0654e</vt:lpwstr>
  </property>
  <property fmtid="{D5CDD505-2E9C-101B-9397-08002B2CF9AE}" pid="9" name="MSIP_Label_f2acd28b-79a3-4a0f-b0ff-4b75658b1549_ContentBits">
    <vt:lpwstr>0</vt:lpwstr>
  </property>
</Properties>
</file>