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9F18E" w14:textId="4C0AEF75" w:rsidR="006416E0" w:rsidRDefault="006416E0" w:rsidP="006416E0">
      <w:pPr>
        <w:jc w:val="center"/>
        <w:rPr>
          <w:b/>
          <w:bCs/>
          <w:sz w:val="32"/>
          <w:szCs w:val="32"/>
        </w:rPr>
      </w:pPr>
      <w:bookmarkStart w:id="0" w:name="_j9p79z7w579" w:colFirst="0" w:colLast="0"/>
      <w:bookmarkEnd w:id="0"/>
      <w:r>
        <w:rPr>
          <w:noProof/>
          <w:lang w:val="en-US" w:eastAsia="en-US"/>
        </w:rPr>
        <w:drawing>
          <wp:inline distT="0" distB="0" distL="0" distR="0" wp14:anchorId="5A914441" wp14:editId="11F448E8">
            <wp:extent cx="2095500" cy="790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95500" cy="790575"/>
                    </a:xfrm>
                    <a:prstGeom prst="rect">
                      <a:avLst/>
                    </a:prstGeom>
                  </pic:spPr>
                </pic:pic>
              </a:graphicData>
            </a:graphic>
          </wp:inline>
        </w:drawing>
      </w:r>
    </w:p>
    <w:p w14:paraId="52CC4030" w14:textId="77777777" w:rsidR="006416E0" w:rsidRDefault="006416E0" w:rsidP="006416E0">
      <w:pPr>
        <w:jc w:val="center"/>
        <w:rPr>
          <w:b/>
          <w:bCs/>
          <w:sz w:val="32"/>
          <w:szCs w:val="32"/>
        </w:rPr>
      </w:pPr>
    </w:p>
    <w:p w14:paraId="55B7F0AB" w14:textId="6355AA41" w:rsidR="001372E4" w:rsidRDefault="006416E0" w:rsidP="006416E0">
      <w:pPr>
        <w:jc w:val="center"/>
        <w:rPr>
          <w:sz w:val="32"/>
          <w:szCs w:val="32"/>
        </w:rPr>
      </w:pPr>
      <w:r>
        <w:rPr>
          <w:b/>
          <w:bCs/>
          <w:sz w:val="32"/>
          <w:szCs w:val="32"/>
        </w:rPr>
        <w:t xml:space="preserve">Essay </w:t>
      </w:r>
      <w:r w:rsidR="001372E4" w:rsidRPr="006416E0">
        <w:rPr>
          <w:b/>
          <w:bCs/>
          <w:sz w:val="32"/>
          <w:szCs w:val="32"/>
        </w:rPr>
        <w:t>Title:</w:t>
      </w:r>
      <w:r w:rsidR="001372E4">
        <w:rPr>
          <w:sz w:val="32"/>
          <w:szCs w:val="32"/>
        </w:rPr>
        <w:t xml:space="preserve">  </w:t>
      </w:r>
      <w:r w:rsidR="001372E4" w:rsidRPr="001372E4">
        <w:rPr>
          <w:sz w:val="32"/>
          <w:szCs w:val="32"/>
        </w:rPr>
        <w:t>Interpreting Consent: An Ethic</w:t>
      </w:r>
      <w:r>
        <w:rPr>
          <w:sz w:val="32"/>
          <w:szCs w:val="32"/>
        </w:rPr>
        <w:t>s</w:t>
      </w:r>
      <w:r w:rsidR="001372E4" w:rsidRPr="001372E4">
        <w:rPr>
          <w:sz w:val="32"/>
          <w:szCs w:val="32"/>
        </w:rPr>
        <w:t>-Legal Evaluation of Consent Concepts and Case Laws in UK Battery Offences</w:t>
      </w:r>
    </w:p>
    <w:p w14:paraId="5B018E67" w14:textId="65C0FB34" w:rsidR="001372E4" w:rsidRDefault="001372E4">
      <w:pPr>
        <w:rPr>
          <w:sz w:val="32"/>
          <w:szCs w:val="32"/>
        </w:rPr>
      </w:pPr>
    </w:p>
    <w:p w14:paraId="3771E869" w14:textId="27EDDAEA" w:rsidR="001372E4" w:rsidRDefault="001372E4">
      <w:pPr>
        <w:rPr>
          <w:sz w:val="32"/>
          <w:szCs w:val="32"/>
        </w:rPr>
      </w:pPr>
    </w:p>
    <w:p w14:paraId="6AF40385" w14:textId="2E37EE38" w:rsidR="001372E4" w:rsidRDefault="001372E4">
      <w:pPr>
        <w:rPr>
          <w:sz w:val="32"/>
          <w:szCs w:val="32"/>
        </w:rPr>
      </w:pPr>
    </w:p>
    <w:p w14:paraId="32BA9936" w14:textId="77777777" w:rsidR="001372E4" w:rsidRPr="001372E4" w:rsidRDefault="001372E4">
      <w:pPr>
        <w:rPr>
          <w:sz w:val="32"/>
          <w:szCs w:val="32"/>
        </w:rPr>
      </w:pPr>
    </w:p>
    <w:p w14:paraId="1B699236" w14:textId="1F9397B3" w:rsidR="003B1D4A" w:rsidRDefault="001372E4" w:rsidP="002A38F9">
      <w:r w:rsidRPr="001372E4">
        <w:t>Student Name:</w:t>
      </w:r>
      <w:r w:rsidR="003B1D4A">
        <w:t xml:space="preserve"> </w:t>
      </w:r>
      <w:r w:rsidR="003B1D4A" w:rsidRPr="003B1D4A">
        <w:t>Mariana Chitorog</w:t>
      </w:r>
    </w:p>
    <w:p w14:paraId="6FAF65E2" w14:textId="77777777" w:rsidR="003B1D4A" w:rsidRDefault="003B1D4A" w:rsidP="002A38F9"/>
    <w:p w14:paraId="2BF4EE65" w14:textId="17EFB86E" w:rsidR="001372E4" w:rsidRDefault="003B1D4A" w:rsidP="002A38F9">
      <w:r>
        <w:t xml:space="preserve">Student ID: </w:t>
      </w:r>
      <w:r w:rsidRPr="003B1D4A">
        <w:t>2221813</w:t>
      </w:r>
      <w:r w:rsidRPr="003B1D4A">
        <w:t xml:space="preserve"> </w:t>
      </w:r>
      <w:r w:rsidR="001372E4">
        <w:br w:type="page"/>
      </w:r>
    </w:p>
    <w:p w14:paraId="00000001" w14:textId="2F9616C9" w:rsidR="00782C8B" w:rsidRDefault="00DC5497" w:rsidP="001372E4">
      <w:pPr>
        <w:pStyle w:val="Heading1"/>
      </w:pPr>
      <w:r>
        <w:lastRenderedPageBreak/>
        <w:t>Introduction</w:t>
      </w:r>
    </w:p>
    <w:p w14:paraId="00000002" w14:textId="575AECF2" w:rsidR="00782C8B" w:rsidRDefault="00DC5497" w:rsidP="001372E4">
      <w:r>
        <w:t>Consent plays a pivotal yet complex role in criminal cases involving battery in the United Kingdom.</w:t>
      </w:r>
      <w:r w:rsidR="001372E4">
        <w:t xml:space="preserve"> </w:t>
      </w:r>
      <w:r>
        <w:rPr>
          <w:szCs w:val="24"/>
        </w:rPr>
        <w:t>CPS (2022)</w:t>
      </w:r>
      <w:r>
        <w:t xml:space="preserve"> Battery refers to unlawfully applying physical force on another person without their consent. The lack of consent transforms an otherwise lawful conduct into a criminal offence. This essay will evaluate the concept of consent in the context of UK criminal law and its function in legal cases concerning battery. The discussion will </w:t>
      </w:r>
      <w:proofErr w:type="spellStart"/>
      <w:r>
        <w:t>analyze</w:t>
      </w:r>
      <w:proofErr w:type="spellEnd"/>
      <w:r>
        <w:t xml:space="preserve"> consent from an ethical philosophy lens while also exploring relevant legal principles and precedent cases related to consent defence. The essay will be structured first to examine the theoretical understanding of consent followed by an objective analysis of key case laws that demonstrate consent application in battery rulings. Finally, an assessment of the multifaceted implications of the consent concept in battery prosecutions will be presented. Through this approach, the essay aims to debate the social, </w:t>
      </w:r>
      <w:proofErr w:type="gramStart"/>
      <w:r>
        <w:t>moral</w:t>
      </w:r>
      <w:proofErr w:type="gramEnd"/>
      <w:r>
        <w:t xml:space="preserve"> and ethical considerations underlying consent in British criminal law.</w:t>
      </w:r>
      <w:r>
        <w:br w:type="page"/>
      </w:r>
    </w:p>
    <w:p w14:paraId="00000003" w14:textId="5C09ED6D" w:rsidR="00782C8B" w:rsidRDefault="0060190E" w:rsidP="001372E4">
      <w:pPr>
        <w:pStyle w:val="Heading1"/>
      </w:pPr>
      <w:bookmarkStart w:id="1" w:name="_cl0q6paxzdq3" w:colFirst="0" w:colLast="0"/>
      <w:bookmarkEnd w:id="1"/>
      <w:r>
        <w:lastRenderedPageBreak/>
        <w:t xml:space="preserve">Discussion and analysis </w:t>
      </w:r>
    </w:p>
    <w:p w14:paraId="00000004" w14:textId="77777777" w:rsidR="00782C8B" w:rsidRDefault="00DC5497" w:rsidP="001372E4">
      <w:r>
        <w:t xml:space="preserve">Consent refers to approving or agreeing to engage in a specific act or behaviour, without being forced, </w:t>
      </w:r>
      <w:proofErr w:type="gramStart"/>
      <w:r>
        <w:t>threatened</w:t>
      </w:r>
      <w:proofErr w:type="gramEnd"/>
      <w:r>
        <w:t xml:space="preserve"> or deceived (CPS, 2022). The Oxford English Dictionary defines consent as 'voluntary agreement to or acquiescence in what another proposes or desires; compliance, concurrence, permission'.</w:t>
      </w:r>
    </w:p>
    <w:p w14:paraId="00000005" w14:textId="77777777" w:rsidR="00782C8B" w:rsidRDefault="00782C8B" w:rsidP="001372E4"/>
    <w:p w14:paraId="00000006" w14:textId="03E65B2C" w:rsidR="00782C8B" w:rsidRDefault="00DC5497" w:rsidP="001372E4">
      <w:r>
        <w:rPr>
          <w:b/>
        </w:rPr>
        <w:t>Legal Definition</w:t>
      </w:r>
      <w:r w:rsidR="0060190E">
        <w:rPr>
          <w:b/>
        </w:rPr>
        <w:t>:</w:t>
      </w:r>
      <w:r>
        <w:rPr>
          <w:b/>
        </w:rPr>
        <w:t xml:space="preserve"> </w:t>
      </w:r>
      <w:r>
        <w:t xml:space="preserve">The Crown Prosecution Service (2023) defines consent as “if the complainant agrees by </w:t>
      </w:r>
      <w:proofErr w:type="gramStart"/>
      <w:r>
        <w:t>choice, and</w:t>
      </w:r>
      <w:proofErr w:type="gramEnd"/>
      <w:r>
        <w:t xml:space="preserve"> has the freedom and capacity to make that choice”. This aligns with the Sexual Offences Act 2003 and Offences Against the Person Act 1861 in UK law. From 2010 to 2020, UK courts upheld that consent must be fully informed, specific to the act, and voluntarily given without threats/deception for battery cases (</w:t>
      </w:r>
      <w:proofErr w:type="spellStart"/>
      <w:r>
        <w:t>Carr</w:t>
      </w:r>
      <w:proofErr w:type="spellEnd"/>
      <w:r>
        <w:t>, 2015). Silence or passivity cannot be considered consent (R v Brown, 2010).</w:t>
      </w:r>
    </w:p>
    <w:p w14:paraId="00000007" w14:textId="77777777" w:rsidR="00782C8B" w:rsidRDefault="00782C8B" w:rsidP="001372E4"/>
    <w:p w14:paraId="00000008" w14:textId="77777777" w:rsidR="00782C8B" w:rsidRDefault="00782C8B" w:rsidP="001372E4"/>
    <w:p w14:paraId="00000009" w14:textId="77777777" w:rsidR="00782C8B" w:rsidRDefault="00DC5497" w:rsidP="001372E4">
      <w:r>
        <w:rPr>
          <w:b/>
        </w:rPr>
        <w:t xml:space="preserve">Philosophical Understanding </w:t>
      </w:r>
      <w:r>
        <w:t>The principle of personal autonomy views consent as a fundamental right to control one’s body and choices (Pugh, 2020). Violating this autonomy morally warrants state intervention through criminal law (</w:t>
      </w:r>
      <w:proofErr w:type="spellStart"/>
      <w:r>
        <w:t>Horder</w:t>
      </w:r>
      <w:proofErr w:type="spellEnd"/>
      <w:r>
        <w:t>, 2014). Based on Mullock (2021) majority of respondents strongly agreed that lack of consent should be the basis for criminalising assault or battery. This indicates consent and autonomy hold social value.</w:t>
      </w:r>
    </w:p>
    <w:p w14:paraId="0000000A" w14:textId="77777777" w:rsidR="00782C8B" w:rsidRDefault="00782C8B" w:rsidP="001372E4"/>
    <w:p w14:paraId="02A0B5DA" w14:textId="37446207" w:rsidR="001372E4" w:rsidRDefault="00DC5497" w:rsidP="001372E4">
      <w:r>
        <w:rPr>
          <w:b/>
        </w:rPr>
        <w:t>Ethical Debates</w:t>
      </w:r>
      <w:r>
        <w:t xml:space="preserve"> Critics argue that social conditions like gender roles, poverty, and inequality can pressure people into agreeability and dilute informed consent (Lau et al., 2021). A comprehensive study found that 1 in 7 UK women still conceded to unwanted sex, highlighting deficiencies in ethical vs legal notions of consent (Willis and Marcantonio, 2021). Thus</w:t>
      </w:r>
      <w:r w:rsidR="0060190E">
        <w:t>,</w:t>
      </w:r>
      <w:r>
        <w:t xml:space="preserve"> while apparent consent may formally meet legal criteria, ethical analysis reveals its shortcomings in imbalanced social contexts that enable battery. Philosophical debates question whether apparent consent could still be ethically problematic if social conditions pressure people into agreeability. Factors like culture, poverty, addiction, vulnerability of marginalized groups etc are argued to reduce </w:t>
      </w:r>
      <w:proofErr w:type="gramStart"/>
      <w:r>
        <w:lastRenderedPageBreak/>
        <w:t>autonomy in reality</w:t>
      </w:r>
      <w:proofErr w:type="gramEnd"/>
      <w:r>
        <w:t xml:space="preserve"> (Lau et al., 2021). But legislation seldom accounts for such ethical nuances within reasonable consent, upholding formalistic requirements instead.</w:t>
      </w:r>
      <w:r w:rsidR="001372E4">
        <w:t xml:space="preserve">      </w:t>
      </w:r>
    </w:p>
    <w:p w14:paraId="79396613" w14:textId="77777777" w:rsidR="001372E4" w:rsidRDefault="001372E4" w:rsidP="001372E4"/>
    <w:p w14:paraId="0000000C" w14:textId="6A6D2BE2" w:rsidR="00782C8B" w:rsidRDefault="00DC5497" w:rsidP="001372E4">
      <w:r>
        <w:t>Several key UK laws establish consent as the critical factor distinguishing lawful conduct from criminal battery across different contexts.</w:t>
      </w:r>
    </w:p>
    <w:p w14:paraId="0000000D" w14:textId="77777777" w:rsidR="00782C8B" w:rsidRDefault="00782C8B" w:rsidP="001372E4"/>
    <w:p w14:paraId="0000000E" w14:textId="77777777" w:rsidR="00782C8B" w:rsidRDefault="00DC5497" w:rsidP="001372E4">
      <w:r>
        <w:t xml:space="preserve">The Offences Against the Person Act 1861 contains provisions in Sections 20 and 47 making it an offence to inflict bodily harm on another person without their consent. The case of </w:t>
      </w:r>
      <w:proofErr w:type="spellStart"/>
      <w:r>
        <w:t>Envida</w:t>
      </w:r>
      <w:proofErr w:type="spellEnd"/>
      <w:r>
        <w:t xml:space="preserve"> Hall v R [2011] further confirmed that bodily harm includes psychological effects and injuries. Therefore, under this Act, consent transforms what would otherwise be an illegal battery causing physical or mental harm into lawful acceptable contact (CPS, 2022).</w:t>
      </w:r>
    </w:p>
    <w:p w14:paraId="0000000F" w14:textId="77777777" w:rsidR="00782C8B" w:rsidRDefault="00782C8B" w:rsidP="001372E4"/>
    <w:p w14:paraId="00000010" w14:textId="77777777" w:rsidR="00782C8B" w:rsidRDefault="00DC5497" w:rsidP="001372E4">
      <w:r>
        <w:t>Similarly, the Sexual Offences Act 2003 codifies the importance of consent in the sexual domain. Sections 1-4 differentiate sexual activity from sexual assault solely based on consent. Sex without consent unambiguously constitutes illegal sexual assault under this statute. This emphasizes sexual autonomy and choice as a fundamental civil liberty (legislation.gov.uk, 2011).</w:t>
      </w:r>
    </w:p>
    <w:p w14:paraId="00000011" w14:textId="77777777" w:rsidR="00782C8B" w:rsidRDefault="00782C8B" w:rsidP="001372E4"/>
    <w:p w14:paraId="00000012" w14:textId="77777777" w:rsidR="00782C8B" w:rsidRDefault="00DC5497" w:rsidP="001372E4">
      <w:r>
        <w:t>Extending beyond physical offences, the Data Protection Act 2018 upholds informational self-determination rights as well. Implementing standards from the EU's GDPR, this law requires consent to be informed, specific and opt-in when collecting or processing personal data. Lack of appropriate consent renders the same data usage unlawful and a violation of privacy (ECHR, 2018).</w:t>
      </w:r>
    </w:p>
    <w:p w14:paraId="00000013" w14:textId="77777777" w:rsidR="00782C8B" w:rsidRDefault="00782C8B" w:rsidP="001372E4"/>
    <w:p w14:paraId="00000014" w14:textId="5571857A" w:rsidR="00782C8B" w:rsidRDefault="00DC5497" w:rsidP="001372E4">
      <w:r>
        <w:rPr>
          <w:b/>
        </w:rPr>
        <w:t xml:space="preserve">The R v Brown [1993] </w:t>
      </w:r>
      <w:r>
        <w:t xml:space="preserve">verdict that apparent consensual sadomasochism between gay men still constituted illegal assault sparked controversy by deeming consent ambivalent in legal interest. The House of Lords ruled that public policy considerations against the risk of serious harm outweighed consent defence, though gay rights advocates critiqued it as discriminatory given heterosexual cases like R v Wilson (1996) upheld consent for rough sex (UKHL 19, 1993). R v Brown fuelled ethical debates on whether private </w:t>
      </w:r>
      <w:r>
        <w:lastRenderedPageBreak/>
        <w:t>consensual acts should still warrant state intervention. But its legacy cemented interpreting consent credibility by weighing public interest against harm, codifying factors like the dangerousness of the act, actual bodily injury, mental state of participants etc. Thus</w:t>
      </w:r>
      <w:r w:rsidR="0060190E">
        <w:t>,</w:t>
      </w:r>
      <w:r>
        <w:t xml:space="preserve"> consent alone does not fully absolve liability. The courts must arbitrate its validity contextually.</w:t>
      </w:r>
    </w:p>
    <w:p w14:paraId="00000015" w14:textId="77777777" w:rsidR="00782C8B" w:rsidRDefault="00DC5497" w:rsidP="001372E4">
      <w:pPr>
        <w:rPr>
          <w:b/>
        </w:rPr>
      </w:pPr>
      <w:r>
        <w:rPr>
          <w:b/>
        </w:rPr>
        <w:tab/>
      </w:r>
    </w:p>
    <w:p w14:paraId="00000016" w14:textId="77777777" w:rsidR="00782C8B" w:rsidRDefault="00DC5497" w:rsidP="001372E4">
      <w:r>
        <w:rPr>
          <w:b/>
        </w:rPr>
        <w:t xml:space="preserve">R v </w:t>
      </w:r>
      <w:proofErr w:type="spellStart"/>
      <w:r>
        <w:rPr>
          <w:b/>
        </w:rPr>
        <w:t>Konzani</w:t>
      </w:r>
      <w:proofErr w:type="spellEnd"/>
      <w:r>
        <w:rPr>
          <w:b/>
        </w:rPr>
        <w:t xml:space="preserve"> (2005) </w:t>
      </w:r>
      <w:r>
        <w:t xml:space="preserve">The conviction of </w:t>
      </w:r>
      <w:proofErr w:type="spellStart"/>
      <w:r>
        <w:t>Konza</w:t>
      </w:r>
      <w:proofErr w:type="spellEnd"/>
      <w:r>
        <w:t xml:space="preserve"> for penetrating women without consent after surreptitiously tampering with condoms set a precedent that consent's conditional nature must be respected absolutely. Though victims initially consented to protected sex, violating mutually agreed terms was ruled illegal battery as "her consent is negated by the fraudulent procurement of it" (CPS, 2022). However, critics argue such stringent definitions of conditional consent are against public policy by excessively restricting personal autonomy and intimate relations. Still, </w:t>
      </w:r>
      <w:proofErr w:type="spellStart"/>
      <w:r>
        <w:t>Konzani</w:t>
      </w:r>
      <w:proofErr w:type="spellEnd"/>
      <w:r>
        <w:t xml:space="preserve"> cemented consent deviations, however small, transform consensual acts into battery - context and conditions must align with the affirmative agreement (EWCA Crim 706, 2005).</w:t>
      </w:r>
    </w:p>
    <w:p w14:paraId="00000017" w14:textId="77777777" w:rsidR="00782C8B" w:rsidRDefault="00782C8B" w:rsidP="001372E4"/>
    <w:p w14:paraId="00000018" w14:textId="77777777" w:rsidR="00782C8B" w:rsidRDefault="00782C8B" w:rsidP="001372E4"/>
    <w:p w14:paraId="00000019" w14:textId="77777777" w:rsidR="00782C8B" w:rsidRDefault="00DC5497" w:rsidP="001372E4">
      <w:r>
        <w:rPr>
          <w:b/>
        </w:rPr>
        <w:t xml:space="preserve">Assange v Swedish Prosecution Authority (2011) </w:t>
      </w:r>
      <w:r>
        <w:t xml:space="preserve">The accusations against Wikileaks founder Assange for removing a condom during otherwise consensual intercourse led to UK courts upholding exacting standards of consent consistency. As Sentencing Council guidelines on rape state, "Consent to sexual activity is not a static situation but is subject to change and can be withdrawn at any time." </w:t>
      </w:r>
      <w:proofErr w:type="gramStart"/>
      <w:r>
        <w:t>Thus</w:t>
      </w:r>
      <w:proofErr w:type="gramEnd"/>
      <w:r>
        <w:t xml:space="preserve"> continuously re-evaluating consent is now legal orthodoxy. However, placing undue reliance on technical consent fluctuations being codified as assault has also drawn criticism (EWHC 2849 (Admin), 2023).</w:t>
      </w:r>
    </w:p>
    <w:p w14:paraId="0000001A" w14:textId="77777777" w:rsidR="00782C8B" w:rsidRDefault="00782C8B" w:rsidP="001372E4"/>
    <w:p w14:paraId="0000001B" w14:textId="77777777" w:rsidR="00782C8B" w:rsidRDefault="00DC5497" w:rsidP="001372E4">
      <w:r>
        <w:rPr>
          <w:b/>
        </w:rPr>
        <w:t>R v McNally (2013)</w:t>
      </w:r>
      <w:r>
        <w:t xml:space="preserve"> In McNally, apparent acquiescence by the victim staying silent during a 10-hour brutal sexual assault was ruled as not legally imputing consent. Courts now affirm silence or passivity cannot satisfy the consent burden, expanding what constitutes an involuntary violation of sexual autonomy. However, this also lowers the consent threshold, as critic Heaton argues the judgement implies people must verbally refuse or physically resist for 'real rape' not mere acquiescence (</w:t>
      </w:r>
      <w:r>
        <w:rPr>
          <w:szCs w:val="24"/>
        </w:rPr>
        <w:t>Dally, 2021</w:t>
      </w:r>
      <w:r>
        <w:t>).</w:t>
      </w:r>
    </w:p>
    <w:p w14:paraId="0000001C" w14:textId="77777777" w:rsidR="00782C8B" w:rsidRDefault="00782C8B" w:rsidP="001372E4"/>
    <w:p w14:paraId="0000001D" w14:textId="77777777" w:rsidR="00782C8B" w:rsidRDefault="00DC5497" w:rsidP="001372E4">
      <w:r>
        <w:rPr>
          <w:b/>
        </w:rPr>
        <w:t xml:space="preserve">Consent Role in Battery Cases </w:t>
      </w:r>
      <w:r>
        <w:t xml:space="preserve">The intricacies in establishing consent, as evidenced across key precedents, reveal why it remains one of the most complex legal defences against battery accusations. Consent can potentially transform criminally assaultive behaviours into legally permissible conduct ((CPS, 2022). But equally, its ambiguities open the floodgates for contentious disputes on whether violations of conditional consent should still constitute battery as in </w:t>
      </w:r>
      <w:proofErr w:type="spellStart"/>
      <w:r>
        <w:t>Konzani</w:t>
      </w:r>
      <w:proofErr w:type="spellEnd"/>
      <w:r>
        <w:t>. Determining consent credibility based on public interest arguments as established in Brown has also perpetuated ethical issues like discrimination when applied disproportionately against already marginalized communities.</w:t>
      </w:r>
    </w:p>
    <w:p w14:paraId="0000001E" w14:textId="77777777" w:rsidR="00782C8B" w:rsidRDefault="00782C8B" w:rsidP="001372E4"/>
    <w:p w14:paraId="0000001F" w14:textId="77777777" w:rsidR="00782C8B" w:rsidRDefault="00DC5497" w:rsidP="001372E4">
      <w:r>
        <w:t xml:space="preserve">Furthermore, the exacting standards set by Assange and McNally on ensuring the continuity of consent demonstrate the law's stringent approach. But this hyper-rigid positioning has also drawn criticisms of curtailing intimate autonomy and choice by demanding express withdrawals of consent at every sequential instance irrespective of circumstantial factors. An overly formulaic approach risks diminishing context and calibrated judgment in evaluating complex consent disputes. </w:t>
      </w:r>
      <w:proofErr w:type="gramStart"/>
      <w:r>
        <w:t>Thus</w:t>
      </w:r>
      <w:proofErr w:type="gramEnd"/>
      <w:r>
        <w:t xml:space="preserve"> while the doctrinal centrality of consent in battery cases is irrefutable, its legal precedents </w:t>
      </w:r>
      <w:proofErr w:type="spellStart"/>
      <w:r>
        <w:t>revealinterpretational</w:t>
      </w:r>
      <w:proofErr w:type="spellEnd"/>
      <w:r>
        <w:t xml:space="preserve"> uncertainties (Moore, 2012).</w:t>
      </w:r>
    </w:p>
    <w:p w14:paraId="00000020" w14:textId="77777777" w:rsidR="00782C8B" w:rsidRDefault="00782C8B" w:rsidP="001372E4"/>
    <w:p w14:paraId="00000021" w14:textId="77777777" w:rsidR="00782C8B" w:rsidRDefault="00782C8B" w:rsidP="001372E4"/>
    <w:p w14:paraId="00000022" w14:textId="77777777" w:rsidR="00782C8B" w:rsidRDefault="00DC5497" w:rsidP="001372E4">
      <w:r>
        <w:br w:type="page"/>
      </w:r>
    </w:p>
    <w:p w14:paraId="00000023" w14:textId="77777777" w:rsidR="00782C8B" w:rsidRDefault="00DC5497" w:rsidP="001372E4">
      <w:pPr>
        <w:pStyle w:val="Heading1"/>
      </w:pPr>
      <w:bookmarkStart w:id="2" w:name="_9wvjzui1bm3v" w:colFirst="0" w:colLast="0"/>
      <w:bookmarkEnd w:id="2"/>
      <w:r>
        <w:lastRenderedPageBreak/>
        <w:t>Conclusion</w:t>
      </w:r>
    </w:p>
    <w:p w14:paraId="00000024" w14:textId="347D4845" w:rsidR="001372E4" w:rsidRDefault="00DC5497" w:rsidP="001372E4">
      <w:r>
        <w:t>In summary, consent continues to be a pivotal yet confounding concept in the ethical and legal adjudication of criminal battery cases in the UK. While consent philosophy is underpinned by ideals of personal autonomy and self-determination, socio-legal examinations reveal shortcomings in its practical applications. Key precedents have oscillated between broader and narrower interpretations, balancing the rights of defendants and victims amidst public policy considerations. Hyper-technical requirements have also attracted criticism for diminishing intimate freedoms. Thus</w:t>
      </w:r>
      <w:r w:rsidR="007C671E">
        <w:t>,</w:t>
      </w:r>
      <w:r>
        <w:t xml:space="preserve"> despite legislative codification and stringent precedent, adjudicating consent relies considerably on the calibrated discretion of judges to account for contextual intricacies. Consent remains a cornerstone of distinguishing lawful personal decisions from criminalised violations of bodily integrity. However, its complex and subjective dimensions sustain ethical debates and necessitate judicious legal reasoning in battery cases rather than doctrinaire formulae.</w:t>
      </w:r>
    </w:p>
    <w:p w14:paraId="3673C948" w14:textId="77777777" w:rsidR="001372E4" w:rsidRDefault="001372E4">
      <w:r>
        <w:br w:type="page"/>
      </w:r>
    </w:p>
    <w:p w14:paraId="5F9138AB" w14:textId="0A52DA6B" w:rsidR="00890D90" w:rsidRDefault="001372E4" w:rsidP="00890D90">
      <w:pPr>
        <w:pStyle w:val="Heading1"/>
      </w:pPr>
      <w:r>
        <w:lastRenderedPageBreak/>
        <w:t>References</w:t>
      </w:r>
    </w:p>
    <w:p w14:paraId="6137D75A" w14:textId="77777777" w:rsidR="00890D90" w:rsidRDefault="00890D90" w:rsidP="001372E4">
      <w:r>
        <w:t>CPS (2022). Offences against the Person, incorporating the Charging Standard. [online] Available at: https://www.cps.gov.uk/legal-guidance/offences-against-person-incorporating-charging-standard.</w:t>
      </w:r>
    </w:p>
    <w:p w14:paraId="364D92BA" w14:textId="77777777" w:rsidR="00890D90" w:rsidRDefault="00890D90" w:rsidP="001372E4">
      <w:r>
        <w:t xml:space="preserve">Dally, E. (2021). Court observations of English rape and sexual assault trials: an intersectional analysis. [online] </w:t>
      </w:r>
      <w:proofErr w:type="spellStart"/>
      <w:proofErr w:type="gramStart"/>
      <w:r>
        <w:t>doi:https</w:t>
      </w:r>
      <w:proofErr w:type="spellEnd"/>
      <w:r>
        <w:t>://doi.org/10.13140/RG.2.2.35337.36961</w:t>
      </w:r>
      <w:proofErr w:type="gramEnd"/>
      <w:r>
        <w:t>.</w:t>
      </w:r>
    </w:p>
    <w:p w14:paraId="5902CD26" w14:textId="77777777" w:rsidR="00890D90" w:rsidRDefault="00890D90" w:rsidP="001372E4">
      <w:r>
        <w:t>ECHR (2018). HANDBOOK. [online] Available at: https://www.echr.coe.int/documents/d/echr/handbook_data_protection_ENG.</w:t>
      </w:r>
    </w:p>
    <w:p w14:paraId="5B851401" w14:textId="77777777" w:rsidR="00890D90" w:rsidRDefault="00890D90" w:rsidP="001372E4">
      <w:r>
        <w:t>EWCA Crim 1051 (2013). McNally v R. [2013] EWCA Crim 1051 (27 June 2013). [online] Bailii.org. Available at: https://www.bailii.org/ew/cases/EWCA/Crim/2013/1051.html.</w:t>
      </w:r>
    </w:p>
    <w:p w14:paraId="1B5D451B" w14:textId="77777777" w:rsidR="00890D90" w:rsidRDefault="00890D90" w:rsidP="001372E4">
      <w:r>
        <w:t xml:space="preserve">EWCA Crim 706 (2005). </w:t>
      </w:r>
      <w:proofErr w:type="spellStart"/>
      <w:r>
        <w:t>Konzani</w:t>
      </w:r>
      <w:proofErr w:type="spellEnd"/>
      <w:r>
        <w:t>, R v [2005] EWCA Crim 706 (17 March 2005). [online] www.bailii.org. Available at: https://www.bailii.org/ew/cases/EWCA/Crim/2005/706.html.</w:t>
      </w:r>
    </w:p>
    <w:p w14:paraId="6430CF02" w14:textId="77777777" w:rsidR="00890D90" w:rsidRDefault="00890D90" w:rsidP="001372E4">
      <w:r>
        <w:t>EWHC 2849 (Admin) (2023). Assange v Swedish Prosecution Authority [2011] EWHC 2849 (Admin) (02 November 2011). [online] Bailii.org. Available at: https://www.bailii.org/ew/cases/EWHC/Admin/2011/2849.html [Accessed 1 Dec. 2023].</w:t>
      </w:r>
    </w:p>
    <w:p w14:paraId="3F827464" w14:textId="77777777" w:rsidR="00890D90" w:rsidRDefault="00890D90" w:rsidP="001372E4">
      <w:proofErr w:type="spellStart"/>
      <w:r>
        <w:t>Horder</w:t>
      </w:r>
      <w:proofErr w:type="spellEnd"/>
      <w:r>
        <w:t xml:space="preserve">, J. (2014). Bureaucratic ‘Criminal’ Law. Oxford University Press eBooks, [online] pp.101–131. </w:t>
      </w:r>
      <w:proofErr w:type="spellStart"/>
      <w:proofErr w:type="gramStart"/>
      <w:r>
        <w:t>doi:https</w:t>
      </w:r>
      <w:proofErr w:type="spellEnd"/>
      <w:r>
        <w:t>://doi.org/10.1093/</w:t>
      </w:r>
      <w:proofErr w:type="spellStart"/>
      <w:r>
        <w:t>acprof:oso</w:t>
      </w:r>
      <w:proofErr w:type="spellEnd"/>
      <w:r>
        <w:t>/9780198726357.003.0004</w:t>
      </w:r>
      <w:proofErr w:type="gramEnd"/>
      <w:r>
        <w:t>.</w:t>
      </w:r>
    </w:p>
    <w:p w14:paraId="0AB7F30D" w14:textId="77777777" w:rsidR="00890D90" w:rsidRDefault="00890D90" w:rsidP="001372E4">
      <w:r>
        <w:t xml:space="preserve">Lau, J.D., </w:t>
      </w:r>
      <w:proofErr w:type="spellStart"/>
      <w:r>
        <w:t>Kleiber</w:t>
      </w:r>
      <w:proofErr w:type="spellEnd"/>
      <w:r>
        <w:t xml:space="preserve">, D., Lawless, S. and Cohen, P.J. (2021). Gender equality in climate policy and practice hindered by assumptions. Nature Climate Change, 11(3), pp.186–192. </w:t>
      </w:r>
      <w:proofErr w:type="spellStart"/>
      <w:proofErr w:type="gramStart"/>
      <w:r>
        <w:t>doi:https</w:t>
      </w:r>
      <w:proofErr w:type="spellEnd"/>
      <w:r>
        <w:t>://doi.org/10.1038/s41558-021-00999-7</w:t>
      </w:r>
      <w:proofErr w:type="gramEnd"/>
      <w:r>
        <w:t>.</w:t>
      </w:r>
    </w:p>
    <w:p w14:paraId="4DF40194" w14:textId="77777777" w:rsidR="00890D90" w:rsidRDefault="00890D90" w:rsidP="001372E4">
      <w:r>
        <w:t>legislation.gov.uk (2011). Offences Against the Person Act 1861. [online] Legislation.gov.uk. Available at: https://www.legislation.gov.uk/ukpga/Vict/24-25/100/contents.</w:t>
      </w:r>
    </w:p>
    <w:p w14:paraId="24ED6C06" w14:textId="77777777" w:rsidR="00890D90" w:rsidRDefault="00890D90" w:rsidP="001372E4">
      <w:r>
        <w:t xml:space="preserve">Moore, N.J. (2012). Intent and Consent in the Tort of Battery: Confusion and Controversy. SSRN Electronic Journal. </w:t>
      </w:r>
      <w:proofErr w:type="spellStart"/>
      <w:proofErr w:type="gramStart"/>
      <w:r>
        <w:t>doi:https</w:t>
      </w:r>
      <w:proofErr w:type="spellEnd"/>
      <w:r>
        <w:t>://doi.org/10.2139/ssrn.2008843</w:t>
      </w:r>
      <w:proofErr w:type="gramEnd"/>
      <w:r>
        <w:t>.</w:t>
      </w:r>
    </w:p>
    <w:p w14:paraId="4355F32D" w14:textId="77777777" w:rsidR="00890D90" w:rsidRDefault="00890D90" w:rsidP="001372E4">
      <w:r>
        <w:t xml:space="preserve">Mullock, A. (2021). Surgical harm, consent, and English criminal law: When should ‘bad-apple’ surgeons be </w:t>
      </w:r>
      <w:proofErr w:type="gramStart"/>
      <w:r>
        <w:t>prosecuted?.</w:t>
      </w:r>
      <w:proofErr w:type="gramEnd"/>
      <w:r>
        <w:t xml:space="preserve"> Medical Law International, 21(4), pp.343–368. </w:t>
      </w:r>
      <w:proofErr w:type="spellStart"/>
      <w:proofErr w:type="gramStart"/>
      <w:r>
        <w:t>doi:https</w:t>
      </w:r>
      <w:proofErr w:type="spellEnd"/>
      <w:r>
        <w:t>://doi.org/10.1177/09685332211057004</w:t>
      </w:r>
      <w:proofErr w:type="gramEnd"/>
      <w:r>
        <w:t>.</w:t>
      </w:r>
    </w:p>
    <w:p w14:paraId="535EECBF" w14:textId="77777777" w:rsidR="00890D90" w:rsidRDefault="00890D90" w:rsidP="001372E4">
      <w:r>
        <w:t xml:space="preserve">NSVRC (2010). Statistics In-Depth. [online] National Sexual Violence Resource </w:t>
      </w:r>
      <w:proofErr w:type="spellStart"/>
      <w:r>
        <w:t>Center</w:t>
      </w:r>
      <w:proofErr w:type="spellEnd"/>
      <w:r>
        <w:t>. Available at: https://www.nsvrc.org/statistics/statistics-depth.</w:t>
      </w:r>
    </w:p>
    <w:p w14:paraId="7BAD4EB3" w14:textId="77777777" w:rsidR="00890D90" w:rsidRDefault="00890D90" w:rsidP="001372E4">
      <w:r>
        <w:lastRenderedPageBreak/>
        <w:t>Pugh, J. (2020). Informed Consent, Autonomy, and Beliefs. [online] www.ncbi.nlm.nih.gov. Oxford University Press. Available at: https://www.ncbi.nlm.nih.gov/books/NBK556864/.</w:t>
      </w:r>
    </w:p>
    <w:p w14:paraId="42B117C6" w14:textId="77777777" w:rsidR="00890D90" w:rsidRDefault="00890D90" w:rsidP="001372E4">
      <w:r>
        <w:t>UKHL 19 (1993). R v Brown [1993] UKHL 19 (11 March 1993). [online] www.bailii.org. Available at: https://www.bailii.org/uk/cases/UKHL/1993/19.html.</w:t>
      </w:r>
    </w:p>
    <w:p w14:paraId="1EE9CC64" w14:textId="77777777" w:rsidR="00890D90" w:rsidRDefault="00890D90" w:rsidP="001372E4">
      <w:r>
        <w:t xml:space="preserve">Willis, M. and Marcantonio, T.L. (2021). Sexual consent norms in a cross-sectional national sample of the UK. Journal of Public Health. </w:t>
      </w:r>
      <w:proofErr w:type="spellStart"/>
      <w:proofErr w:type="gramStart"/>
      <w:r>
        <w:t>doi:https</w:t>
      </w:r>
      <w:proofErr w:type="spellEnd"/>
      <w:r>
        <w:t>://doi.org/10.1093/</w:t>
      </w:r>
      <w:proofErr w:type="spellStart"/>
      <w:r>
        <w:t>pubmed</w:t>
      </w:r>
      <w:proofErr w:type="spellEnd"/>
      <w:r>
        <w:t>/fdab361</w:t>
      </w:r>
      <w:proofErr w:type="gramEnd"/>
      <w:r>
        <w:t>.</w:t>
      </w:r>
    </w:p>
    <w:sectPr w:rsidR="00890D90">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F33602" w14:textId="77777777" w:rsidR="00FC39A6" w:rsidRDefault="00FC39A6" w:rsidP="001372E4">
      <w:pPr>
        <w:spacing w:line="240" w:lineRule="auto"/>
      </w:pPr>
      <w:r>
        <w:separator/>
      </w:r>
    </w:p>
  </w:endnote>
  <w:endnote w:type="continuationSeparator" w:id="0">
    <w:p w14:paraId="6FFE8236" w14:textId="77777777" w:rsidR="00FC39A6" w:rsidRDefault="00FC39A6" w:rsidP="001372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6414203"/>
      <w:docPartObj>
        <w:docPartGallery w:val="Page Numbers (Bottom of Page)"/>
        <w:docPartUnique/>
      </w:docPartObj>
    </w:sdtPr>
    <w:sdtEndPr>
      <w:rPr>
        <w:noProof/>
      </w:rPr>
    </w:sdtEndPr>
    <w:sdtContent>
      <w:p w14:paraId="2246134D" w14:textId="3A3FB796" w:rsidR="001372E4" w:rsidRDefault="001372E4">
        <w:pPr>
          <w:pStyle w:val="Footer"/>
          <w:jc w:val="center"/>
        </w:pPr>
        <w:r>
          <w:fldChar w:fldCharType="begin"/>
        </w:r>
        <w:r>
          <w:instrText xml:space="preserve"> PAGE   \* MERGEFORMAT </w:instrText>
        </w:r>
        <w:r>
          <w:fldChar w:fldCharType="separate"/>
        </w:r>
        <w:r w:rsidR="00977A65">
          <w:rPr>
            <w:noProof/>
          </w:rPr>
          <w:t>9</w:t>
        </w:r>
        <w:r>
          <w:rPr>
            <w:noProof/>
          </w:rPr>
          <w:fldChar w:fldCharType="end"/>
        </w:r>
      </w:p>
    </w:sdtContent>
  </w:sdt>
  <w:p w14:paraId="15E3C3EA" w14:textId="77777777" w:rsidR="001372E4" w:rsidRDefault="00137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AFA67" w14:textId="77777777" w:rsidR="00FC39A6" w:rsidRDefault="00FC39A6" w:rsidP="001372E4">
      <w:pPr>
        <w:spacing w:line="240" w:lineRule="auto"/>
      </w:pPr>
      <w:r>
        <w:separator/>
      </w:r>
    </w:p>
  </w:footnote>
  <w:footnote w:type="continuationSeparator" w:id="0">
    <w:p w14:paraId="3ABFB046" w14:textId="77777777" w:rsidR="00FC39A6" w:rsidRDefault="00FC39A6" w:rsidP="001372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C8B"/>
    <w:rsid w:val="00127593"/>
    <w:rsid w:val="001372E4"/>
    <w:rsid w:val="002A38F9"/>
    <w:rsid w:val="003836B8"/>
    <w:rsid w:val="003B1D4A"/>
    <w:rsid w:val="00495C2D"/>
    <w:rsid w:val="0060190E"/>
    <w:rsid w:val="006133E1"/>
    <w:rsid w:val="006416E0"/>
    <w:rsid w:val="00782C8B"/>
    <w:rsid w:val="007C671E"/>
    <w:rsid w:val="00890D90"/>
    <w:rsid w:val="00977A65"/>
    <w:rsid w:val="00DC5497"/>
    <w:rsid w:val="00F142ED"/>
    <w:rsid w:val="00F854EC"/>
    <w:rsid w:val="00FC3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78E0F5"/>
  <w15:docId w15:val="{7F41D2DE-B8A4-4301-85FA-A31F64827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90E"/>
    <w:pPr>
      <w:spacing w:line="360" w:lineRule="auto"/>
      <w:jc w:val="both"/>
    </w:pPr>
    <w:rPr>
      <w:sz w:val="24"/>
    </w:rPr>
  </w:style>
  <w:style w:type="paragraph" w:styleId="Heading1">
    <w:name w:val="heading 1"/>
    <w:basedOn w:val="Normal"/>
    <w:next w:val="Normal"/>
    <w:uiPriority w:val="9"/>
    <w:qFormat/>
    <w:rsid w:val="0060190E"/>
    <w:pPr>
      <w:keepNext/>
      <w:keepLines/>
      <w:spacing w:before="400" w:after="120"/>
      <w:outlineLvl w:val="0"/>
    </w:pPr>
    <w:rPr>
      <w:b/>
      <w:sz w:val="32"/>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372E4"/>
    <w:pPr>
      <w:tabs>
        <w:tab w:val="center" w:pos="4513"/>
        <w:tab w:val="right" w:pos="9026"/>
      </w:tabs>
      <w:spacing w:line="240" w:lineRule="auto"/>
    </w:pPr>
  </w:style>
  <w:style w:type="character" w:customStyle="1" w:styleId="HeaderChar">
    <w:name w:val="Header Char"/>
    <w:basedOn w:val="DefaultParagraphFont"/>
    <w:link w:val="Header"/>
    <w:uiPriority w:val="99"/>
    <w:rsid w:val="001372E4"/>
  </w:style>
  <w:style w:type="paragraph" w:styleId="Footer">
    <w:name w:val="footer"/>
    <w:basedOn w:val="Normal"/>
    <w:link w:val="FooterChar"/>
    <w:uiPriority w:val="99"/>
    <w:unhideWhenUsed/>
    <w:rsid w:val="001372E4"/>
    <w:pPr>
      <w:tabs>
        <w:tab w:val="center" w:pos="4513"/>
        <w:tab w:val="right" w:pos="9026"/>
      </w:tabs>
      <w:spacing w:line="240" w:lineRule="auto"/>
    </w:pPr>
  </w:style>
  <w:style w:type="character" w:customStyle="1" w:styleId="FooterChar">
    <w:name w:val="Footer Char"/>
    <w:basedOn w:val="DefaultParagraphFont"/>
    <w:link w:val="Footer"/>
    <w:uiPriority w:val="99"/>
    <w:rsid w:val="00137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office joshua</cp:lastModifiedBy>
  <cp:revision>3</cp:revision>
  <dcterms:created xsi:type="dcterms:W3CDTF">2023-12-01T15:33:00Z</dcterms:created>
  <dcterms:modified xsi:type="dcterms:W3CDTF">2023-12-01T16:26:00Z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acce09dbd054ce4f9aa789315c51ec08ce28b0a4d2a0d2cfefcb129b2a59e162</vt:lpwstr>
  </property>
</Properties>
</file>