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9A6B6" w14:textId="3377A69A" w:rsidR="001851C4" w:rsidRDefault="00DA3B47" w:rsidP="54DBFBAC">
      <w:pPr>
        <w:tabs>
          <w:tab w:val="left" w:pos="720"/>
        </w:tabs>
        <w:jc w:val="right"/>
      </w:pPr>
      <w:r>
        <w:t>/\</w:t>
      </w:r>
      <w:r w:rsidR="00066725">
        <w:t xml:space="preserve"> </w:t>
      </w:r>
      <w:r>
        <w:br/>
      </w:r>
      <w:r w:rsidR="69FC6C69" w:rsidRPr="54DBFBAC">
        <w:rPr>
          <w:rFonts w:ascii="Arial" w:eastAsia="Arial" w:hAnsi="Arial" w:cs="Arial"/>
          <w:sz w:val="20"/>
          <w:szCs w:val="20"/>
        </w:rPr>
        <w:t xml:space="preserve"> </w:t>
      </w:r>
      <w:r w:rsidR="69FC6C69" w:rsidRPr="54DBFBAC">
        <w:rPr>
          <w:rFonts w:ascii="Arial" w:eastAsia="Arial" w:hAnsi="Arial" w:cs="Arial"/>
          <w:b/>
          <w:bCs/>
          <w:sz w:val="28"/>
          <w:szCs w:val="28"/>
        </w:rPr>
        <w:t>APPENDIX GA36a</w:t>
      </w:r>
    </w:p>
    <w:p w14:paraId="14350F7A" w14:textId="717E9BBD" w:rsidR="001851C4" w:rsidRDefault="69FC6C69">
      <w:r w:rsidRPr="54DBFBAC">
        <w:rPr>
          <w:rFonts w:ascii="Arial" w:eastAsia="Arial" w:hAnsi="Arial" w:cs="Arial"/>
          <w:sz w:val="20"/>
          <w:szCs w:val="20"/>
        </w:rPr>
        <w:t xml:space="preserve"> </w:t>
      </w:r>
    </w:p>
    <w:tbl>
      <w:tblPr>
        <w:tblW w:w="0" w:type="auto"/>
        <w:tblInd w:w="390" w:type="dxa"/>
        <w:tblLayout w:type="fixed"/>
        <w:tblLook w:val="01E0" w:firstRow="1" w:lastRow="1" w:firstColumn="1" w:lastColumn="1" w:noHBand="0" w:noVBand="0"/>
      </w:tblPr>
      <w:tblGrid>
        <w:gridCol w:w="9015"/>
      </w:tblGrid>
      <w:tr w:rsidR="54DBFBAC" w14:paraId="6B054C15" w14:textId="77777777" w:rsidTr="54DBFBAC">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31120A83" w14:textId="000259E2" w:rsidR="54DBFBAC" w:rsidRDefault="54DBFBAC" w:rsidP="54DBFBAC">
            <w:pPr>
              <w:pStyle w:val="Heading4"/>
            </w:pPr>
            <w:r w:rsidRPr="54DBFBAC">
              <w:rPr>
                <w:rFonts w:ascii="Arial" w:eastAsia="Arial" w:hAnsi="Arial" w:cs="Arial"/>
                <w:b/>
                <w:bCs/>
                <w:color w:val="000000" w:themeColor="text1"/>
                <w:sz w:val="40"/>
                <w:szCs w:val="40"/>
              </w:rPr>
              <w:t xml:space="preserve">LEVEL 4 ASSESSMENT SPECIFICATION </w:t>
            </w:r>
          </w:p>
        </w:tc>
      </w:tr>
    </w:tbl>
    <w:p w14:paraId="59B49E16" w14:textId="18561F02" w:rsidR="001851C4" w:rsidRDefault="69FC6C69" w:rsidP="54DBFBAC">
      <w:pPr>
        <w:jc w:val="center"/>
      </w:pPr>
      <w:r w:rsidRPr="54DBFBAC">
        <w:rPr>
          <w:rFonts w:ascii="Arial" w:eastAsia="Arial" w:hAnsi="Arial" w:cs="Arial"/>
          <w:b/>
          <w:bCs/>
          <w:i/>
          <w:iCs/>
          <w:sz w:val="32"/>
          <w:szCs w:val="32"/>
        </w:rPr>
        <w:t xml:space="preserve"> </w:t>
      </w:r>
    </w:p>
    <w:tbl>
      <w:tblPr>
        <w:tblW w:w="0" w:type="auto"/>
        <w:tblInd w:w="390" w:type="dxa"/>
        <w:tblLayout w:type="fixed"/>
        <w:tblLook w:val="06A0" w:firstRow="1" w:lastRow="0" w:firstColumn="1" w:lastColumn="0" w:noHBand="1" w:noVBand="1"/>
      </w:tblPr>
      <w:tblGrid>
        <w:gridCol w:w="1906"/>
        <w:gridCol w:w="2996"/>
        <w:gridCol w:w="2056"/>
        <w:gridCol w:w="2056"/>
      </w:tblGrid>
      <w:tr w:rsidR="54DBFBAC" w14:paraId="75BAE285"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571D186" w14:textId="7EA84BAA" w:rsidR="54DBFBAC" w:rsidRDefault="54DBFBAC" w:rsidP="54DBFBAC">
            <w:pPr>
              <w:jc w:val="both"/>
            </w:pPr>
            <w:r w:rsidRPr="54DBFBAC">
              <w:rPr>
                <w:rFonts w:ascii="Arial" w:eastAsia="Arial" w:hAnsi="Arial" w:cs="Arial"/>
                <w:b/>
                <w:bCs/>
                <w:color w:val="000000" w:themeColor="text1"/>
              </w:rPr>
              <w:t>Student name: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1B250B4D" w14:textId="66D6D70E" w:rsidR="54DBFBAC" w:rsidRDefault="54DBFBAC" w:rsidP="54DBFBAC">
            <w:pPr>
              <w:jc w:val="both"/>
            </w:pPr>
            <w:r w:rsidRPr="54DBFBAC">
              <w:rPr>
                <w:rFonts w:ascii="Arial" w:eastAsia="Arial" w:hAnsi="Arial" w:cs="Arial"/>
                <w:b/>
                <w:bCs/>
              </w:rPr>
              <w:t xml:space="preserve">     MARIANA VALENTINA MARCU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2B2564F" w14:textId="1D08218A" w:rsidR="54DBFBAC" w:rsidRDefault="54DBFBAC" w:rsidP="54DBFBAC">
            <w:pPr>
              <w:jc w:val="both"/>
            </w:pPr>
            <w:r w:rsidRPr="54DBFBAC">
              <w:rPr>
                <w:rFonts w:ascii="Arial" w:eastAsia="Arial" w:hAnsi="Arial" w:cs="Arial"/>
                <w:b/>
                <w:bCs/>
                <w:color w:val="000000" w:themeColor="text1"/>
              </w:rPr>
              <w:t>Student ID number: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15301BC1" w14:textId="06E8A78B" w:rsidR="54DBFBAC" w:rsidRDefault="54DBFBAC" w:rsidP="54DBFBAC">
            <w:pPr>
              <w:jc w:val="both"/>
            </w:pPr>
            <w:r w:rsidRPr="54DBFBAC">
              <w:rPr>
                <w:rFonts w:ascii="Arial" w:eastAsia="Arial" w:hAnsi="Arial" w:cs="Arial"/>
                <w:b/>
                <w:bCs/>
              </w:rPr>
              <w:t>2211972</w:t>
            </w:r>
          </w:p>
        </w:tc>
      </w:tr>
      <w:tr w:rsidR="54DBFBAC" w14:paraId="420DDC60"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4E38F45" w14:textId="44886320" w:rsidR="54DBFBAC" w:rsidRDefault="54DBFBAC" w:rsidP="54DBFBAC">
            <w:pPr>
              <w:jc w:val="both"/>
            </w:pPr>
            <w:r w:rsidRPr="54DBFBAC">
              <w:rPr>
                <w:rFonts w:ascii="Arial" w:eastAsia="Arial" w:hAnsi="Arial" w:cs="Arial"/>
                <w:b/>
                <w:bCs/>
                <w:color w:val="000000" w:themeColor="text1"/>
              </w:rPr>
              <w:t>Programme: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256B9CC" w14:textId="0BA66DC4" w:rsidR="54DBFBAC" w:rsidRDefault="54DBFBAC" w:rsidP="54DBFBAC">
            <w:pPr>
              <w:jc w:val="both"/>
            </w:pPr>
            <w:r w:rsidRPr="54DBFBAC">
              <w:rPr>
                <w:rFonts w:ascii="Arial" w:eastAsia="Arial" w:hAnsi="Arial" w:cs="Arial"/>
                <w:b/>
                <w:bCs/>
              </w:rPr>
              <w:t>Law and Legal Practice</w:t>
            </w:r>
          </w:p>
        </w:tc>
      </w:tr>
      <w:tr w:rsidR="54DBFBAC" w14:paraId="160C9244"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F3F0F2" w14:textId="33A183BD" w:rsidR="54DBFBAC" w:rsidRDefault="54DBFBAC" w:rsidP="54DBFBAC">
            <w:pPr>
              <w:jc w:val="both"/>
            </w:pPr>
            <w:r w:rsidRPr="54DBFBAC">
              <w:rPr>
                <w:rFonts w:ascii="Arial" w:eastAsia="Arial" w:hAnsi="Arial" w:cs="Arial"/>
                <w:b/>
                <w:bCs/>
                <w:color w:val="000000" w:themeColor="text1"/>
              </w:rPr>
              <w:t>Module:</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1566FFE" w14:textId="68F946C5" w:rsidR="54DBFBAC" w:rsidRDefault="54DBFBAC" w:rsidP="54DBFBAC">
            <w:pPr>
              <w:jc w:val="both"/>
            </w:pPr>
            <w:r w:rsidRPr="54DBFBAC">
              <w:rPr>
                <w:rFonts w:ascii="Arial" w:eastAsia="Arial" w:hAnsi="Arial" w:cs="Arial"/>
                <w:b/>
                <w:bCs/>
              </w:rPr>
              <w:t>Criminal Litigation</w:t>
            </w:r>
          </w:p>
        </w:tc>
      </w:tr>
      <w:tr w:rsidR="54DBFBAC" w14:paraId="7D2EB052"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63002A5" w14:textId="0E2B4D90" w:rsidR="54DBFBAC" w:rsidRDefault="54DBFBAC" w:rsidP="54DBFBAC">
            <w:pPr>
              <w:jc w:val="both"/>
            </w:pPr>
            <w:r w:rsidRPr="54DBFBAC">
              <w:rPr>
                <w:rFonts w:ascii="Arial" w:eastAsia="Arial" w:hAnsi="Arial" w:cs="Arial"/>
                <w:b/>
                <w:bCs/>
                <w:color w:val="000000" w:themeColor="text1"/>
              </w:rPr>
              <w:t>Module code: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7EC9FECF" w14:textId="1EC24819" w:rsidR="54DBFBAC" w:rsidRDefault="54DBFBAC" w:rsidP="54DBFBAC">
            <w:pPr>
              <w:jc w:val="both"/>
            </w:pPr>
            <w:r w:rsidRPr="54DBFBAC">
              <w:rPr>
                <w:rFonts w:ascii="Arial" w:eastAsia="Arial" w:hAnsi="Arial" w:cs="Arial"/>
                <w:b/>
                <w:bCs/>
              </w:rPr>
              <w:t>BMLW4000</w:t>
            </w:r>
          </w:p>
        </w:tc>
        <w:tc>
          <w:tcPr>
            <w:tcW w:w="2056"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35EC24E" w14:textId="7ADC38FD" w:rsidR="54DBFBAC" w:rsidRDefault="54DBFBAC" w:rsidP="54DBFBAC">
            <w:pPr>
              <w:pStyle w:val="Heading2"/>
            </w:pPr>
            <w:r w:rsidRPr="54DBFBAC">
              <w:rPr>
                <w:rFonts w:ascii="Arial" w:eastAsia="Arial" w:hAnsi="Arial" w:cs="Arial"/>
                <w:color w:val="000000" w:themeColor="text1"/>
                <w:sz w:val="22"/>
                <w:szCs w:val="22"/>
              </w:rPr>
              <w:t>Contribution to Overall Module Assessment (%):</w:t>
            </w:r>
          </w:p>
        </w:tc>
        <w:tc>
          <w:tcPr>
            <w:tcW w:w="2056" w:type="dxa"/>
            <w:tcBorders>
              <w:top w:val="nil"/>
              <w:left w:val="single" w:sz="8" w:space="0" w:color="auto"/>
              <w:bottom w:val="single" w:sz="8" w:space="0" w:color="auto"/>
              <w:right w:val="single" w:sz="8" w:space="0" w:color="auto"/>
            </w:tcBorders>
            <w:tcMar>
              <w:left w:w="108" w:type="dxa"/>
              <w:right w:w="108" w:type="dxa"/>
            </w:tcMar>
          </w:tcPr>
          <w:p w14:paraId="48E8B02A" w14:textId="01F1FEC0" w:rsidR="54DBFBAC" w:rsidRDefault="54DBFBAC" w:rsidP="54DBFBAC">
            <w:pPr>
              <w:jc w:val="both"/>
            </w:pPr>
            <w:r w:rsidRPr="54DBFBAC">
              <w:rPr>
                <w:rFonts w:ascii="Arial" w:eastAsia="Arial" w:hAnsi="Arial" w:cs="Arial"/>
                <w:b/>
                <w:bCs/>
              </w:rPr>
              <w:t>50%</w:t>
            </w:r>
          </w:p>
        </w:tc>
      </w:tr>
      <w:tr w:rsidR="54DBFBAC" w14:paraId="4019E556"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3B00ED1" w14:textId="10BAD9D4" w:rsidR="54DBFBAC" w:rsidRDefault="54DBFBAC" w:rsidP="54DBFBAC">
            <w:pPr>
              <w:jc w:val="both"/>
            </w:pPr>
            <w:r w:rsidRPr="54DBFBAC">
              <w:rPr>
                <w:rFonts w:ascii="Arial" w:eastAsia="Arial" w:hAnsi="Arial" w:cs="Arial"/>
                <w:b/>
                <w:bCs/>
                <w:color w:val="000000" w:themeColor="text1"/>
              </w:rPr>
              <w:t>Lecturer:</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4B333438" w14:textId="556659B5" w:rsidR="54DBFBAC" w:rsidRDefault="54DBFBAC" w:rsidP="54DBFBAC">
            <w:pPr>
              <w:jc w:val="both"/>
            </w:pPr>
            <w:r w:rsidRPr="54DBFBAC">
              <w:rPr>
                <w:rFonts w:ascii="Arial" w:eastAsia="Arial" w:hAnsi="Arial" w:cs="Arial"/>
                <w:b/>
                <w:bCs/>
              </w:rPr>
              <w:t>James Drew</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8A74BFE" w14:textId="5519DC6E" w:rsidR="54DBFBAC" w:rsidRDefault="54DBFBAC" w:rsidP="54DBFBAC">
            <w:pPr>
              <w:jc w:val="both"/>
            </w:pPr>
            <w:r w:rsidRPr="54DBFBAC">
              <w:rPr>
                <w:rFonts w:ascii="Arial" w:eastAsia="Arial" w:hAnsi="Arial" w:cs="Arial"/>
                <w:b/>
                <w:bCs/>
                <w:color w:val="000000" w:themeColor="text1"/>
              </w:rPr>
              <w:t>Internal Verifier:</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707C42A1" w14:textId="248BC6F9" w:rsidR="54DBFBAC" w:rsidRDefault="54DBFBAC" w:rsidP="54DBFBAC">
            <w:pPr>
              <w:jc w:val="both"/>
            </w:pPr>
            <w:r w:rsidRPr="54DBFBAC">
              <w:rPr>
                <w:rFonts w:ascii="Arial" w:eastAsia="Arial" w:hAnsi="Arial" w:cs="Arial"/>
                <w:b/>
                <w:bCs/>
              </w:rPr>
              <w:t>Sian Turvey</w:t>
            </w:r>
          </w:p>
        </w:tc>
      </w:tr>
      <w:tr w:rsidR="54DBFBAC" w14:paraId="1F89F246"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19D295D" w14:textId="5895C352" w:rsidR="54DBFBAC" w:rsidRDefault="54DBFBAC" w:rsidP="54DBFBAC">
            <w:pPr>
              <w:jc w:val="both"/>
            </w:pPr>
            <w:r w:rsidRPr="54DBFBAC">
              <w:rPr>
                <w:rFonts w:ascii="Arial" w:eastAsia="Arial" w:hAnsi="Arial" w:cs="Arial"/>
                <w:b/>
                <w:bCs/>
                <w:color w:val="000000" w:themeColor="text1"/>
              </w:rPr>
              <w:t>Assignment Title: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276D18A1" w14:textId="3D942CEB" w:rsidR="54DBFBAC" w:rsidRDefault="54DBFBAC" w:rsidP="54DBFBAC">
            <w:pPr>
              <w:jc w:val="both"/>
            </w:pPr>
            <w:r w:rsidRPr="54DBFBAC">
              <w:rPr>
                <w:rFonts w:ascii="Arial" w:eastAsia="Arial" w:hAnsi="Arial" w:cs="Arial"/>
                <w:b/>
                <w:bCs/>
              </w:rPr>
              <w:t xml:space="preserve">The Case of Miss Sarah Jones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814738B" w14:textId="60C5A580" w:rsidR="54DBFBAC" w:rsidRDefault="54DBFBAC" w:rsidP="54DBFBAC">
            <w:pPr>
              <w:jc w:val="both"/>
            </w:pPr>
            <w:r w:rsidRPr="54DBFBAC">
              <w:rPr>
                <w:rFonts w:ascii="Arial" w:eastAsia="Arial" w:hAnsi="Arial" w:cs="Arial"/>
                <w:b/>
                <w:bCs/>
                <w:color w:val="000000" w:themeColor="text1"/>
              </w:rPr>
              <w:t>Word count (or equivalent):</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73B12C86" w14:textId="6D57DA5D" w:rsidR="54DBFBAC" w:rsidRDefault="54DBFBAC" w:rsidP="54DBFBAC">
            <w:pPr>
              <w:jc w:val="both"/>
            </w:pPr>
            <w:r w:rsidRPr="54DBFBAC">
              <w:rPr>
                <w:rFonts w:ascii="Arial" w:eastAsia="Arial" w:hAnsi="Arial" w:cs="Arial"/>
                <w:b/>
                <w:bCs/>
              </w:rPr>
              <w:t>1500</w:t>
            </w:r>
          </w:p>
        </w:tc>
      </w:tr>
      <w:tr w:rsidR="54DBFBAC" w14:paraId="0AD9DAAB"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2CD001F" w14:textId="0D7A7AD3" w:rsidR="54DBFBAC" w:rsidRDefault="54DBFBAC" w:rsidP="54DBFBAC">
            <w:pPr>
              <w:jc w:val="both"/>
            </w:pPr>
            <w:r w:rsidRPr="54DBFBAC">
              <w:rPr>
                <w:rFonts w:ascii="Arial" w:eastAsia="Arial" w:hAnsi="Arial" w:cs="Arial"/>
                <w:b/>
                <w:bCs/>
                <w:color w:val="000000" w:themeColor="text1"/>
              </w:rPr>
              <w:t>Submission deadline:</w:t>
            </w:r>
          </w:p>
        </w:tc>
        <w:tc>
          <w:tcPr>
            <w:tcW w:w="2996" w:type="dxa"/>
            <w:tcBorders>
              <w:top w:val="single" w:sz="8" w:space="0" w:color="auto"/>
              <w:left w:val="single" w:sz="8" w:space="0" w:color="auto"/>
              <w:bottom w:val="single" w:sz="8" w:space="0" w:color="auto"/>
              <w:right w:val="single" w:sz="8" w:space="0" w:color="auto"/>
            </w:tcBorders>
            <w:tcMar>
              <w:left w:w="108" w:type="dxa"/>
              <w:right w:w="108" w:type="dxa"/>
            </w:tcMar>
          </w:tcPr>
          <w:p w14:paraId="1F5B807C" w14:textId="5E027F86" w:rsidR="54DBFBAC" w:rsidRDefault="54DBFBAC" w:rsidP="54DBFBAC">
            <w:pPr>
              <w:jc w:val="both"/>
            </w:pPr>
            <w:r w:rsidRPr="54DBFBAC">
              <w:rPr>
                <w:rFonts w:ascii="Arial" w:eastAsia="Arial" w:hAnsi="Arial" w:cs="Arial"/>
                <w:b/>
                <w:bCs/>
              </w:rPr>
              <w:t xml:space="preserve"> </w:t>
            </w:r>
          </w:p>
        </w:tc>
        <w:tc>
          <w:tcPr>
            <w:tcW w:w="205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ADE9FE7" w14:textId="50ABBFF9" w:rsidR="54DBFBAC" w:rsidRDefault="00DB4CBF" w:rsidP="54DBFBAC">
            <w:pPr>
              <w:jc w:val="both"/>
            </w:pPr>
            <w:r>
              <w:rPr>
                <w:rFonts w:ascii="Arial" w:eastAsia="Arial" w:hAnsi="Arial" w:cs="Arial"/>
                <w:b/>
                <w:bCs/>
                <w:color w:val="000000" w:themeColor="text1"/>
              </w:rPr>
              <w:t>The return</w:t>
            </w:r>
            <w:r w:rsidR="54DBFBAC" w:rsidRPr="54DBFBAC">
              <w:rPr>
                <w:rFonts w:ascii="Arial" w:eastAsia="Arial" w:hAnsi="Arial" w:cs="Arial"/>
                <w:b/>
                <w:bCs/>
                <w:color w:val="000000" w:themeColor="text1"/>
              </w:rPr>
              <w:t xml:space="preserve"> date of provisional marks &amp; written feedback:</w:t>
            </w:r>
          </w:p>
        </w:tc>
        <w:tc>
          <w:tcPr>
            <w:tcW w:w="2056" w:type="dxa"/>
            <w:tcBorders>
              <w:top w:val="single" w:sz="8" w:space="0" w:color="auto"/>
              <w:left w:val="single" w:sz="8" w:space="0" w:color="auto"/>
              <w:bottom w:val="single" w:sz="8" w:space="0" w:color="auto"/>
              <w:right w:val="single" w:sz="8" w:space="0" w:color="auto"/>
            </w:tcBorders>
            <w:tcMar>
              <w:left w:w="108" w:type="dxa"/>
              <w:right w:w="108" w:type="dxa"/>
            </w:tcMar>
          </w:tcPr>
          <w:p w14:paraId="55D6B596" w14:textId="273A171C" w:rsidR="54DBFBAC" w:rsidRDefault="54DBFBAC" w:rsidP="54DBFBAC">
            <w:pPr>
              <w:jc w:val="both"/>
            </w:pPr>
            <w:r w:rsidRPr="54DBFBAC">
              <w:rPr>
                <w:rFonts w:ascii="Arial" w:eastAsia="Arial" w:hAnsi="Arial" w:cs="Arial"/>
                <w:b/>
                <w:bCs/>
              </w:rPr>
              <w:t xml:space="preserve"> </w:t>
            </w:r>
          </w:p>
        </w:tc>
      </w:tr>
      <w:tr w:rsidR="54DBFBAC" w14:paraId="6A2973FF"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9E9454C" w14:textId="45BC00C8" w:rsidR="54DBFBAC" w:rsidRDefault="54DBFBAC" w:rsidP="54DBFBAC">
            <w:pPr>
              <w:jc w:val="both"/>
            </w:pPr>
            <w:r w:rsidRPr="54DBFBAC">
              <w:rPr>
                <w:rFonts w:ascii="Arial" w:eastAsia="Arial" w:hAnsi="Arial" w:cs="Arial"/>
                <w:b/>
                <w:bCs/>
                <w:color w:val="000000" w:themeColor="text1"/>
              </w:rPr>
              <w:t>Submission method:</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79C751C" w14:textId="20A5DC81" w:rsidR="54DBFBAC" w:rsidRDefault="54DBFBAC">
            <w:r w:rsidRPr="54DBFBAC">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3433BD" w14:textId="7F2CA113" w:rsidR="54DBFBAC" w:rsidRDefault="54DBFBAC" w:rsidP="54DBFBAC">
            <w:pPr>
              <w:jc w:val="both"/>
            </w:pPr>
            <w:r w:rsidRPr="54DBFBAC">
              <w:rPr>
                <w:rFonts w:ascii="Arial" w:eastAsia="Arial" w:hAnsi="Arial" w:cs="Arial"/>
                <w:b/>
                <w:bCs/>
              </w:rPr>
              <w:t xml:space="preserve">Alternative submission method (if applicable): </w:t>
            </w:r>
          </w:p>
          <w:p w14:paraId="077BEE15" w14:textId="3BE663D1" w:rsidR="54DBFBAC" w:rsidRDefault="54DBFBAC" w:rsidP="54DBFBAC">
            <w:pPr>
              <w:jc w:val="both"/>
            </w:pPr>
            <w:r w:rsidRPr="54DBFBAC">
              <w:rPr>
                <w:rFonts w:ascii="Arial" w:eastAsia="Arial" w:hAnsi="Arial" w:cs="Arial"/>
                <w:b/>
                <w:bCs/>
              </w:rPr>
              <w:t xml:space="preserve">Late submission of the assessment will result in a late penalty mark.  </w:t>
            </w:r>
            <w:r w:rsidRPr="54DBFBAC">
              <w:rPr>
                <w:rFonts w:ascii="Arial" w:eastAsia="Arial" w:hAnsi="Arial" w:cs="Arial"/>
              </w:rPr>
              <w:t xml:space="preserve">Penalties for late submission: Up to one week late, </w:t>
            </w:r>
            <w:r w:rsidR="00DB4CBF">
              <w:rPr>
                <w:rFonts w:ascii="Arial" w:eastAsia="Arial" w:hAnsi="Arial" w:cs="Arial"/>
              </w:rPr>
              <w:t xml:space="preserve">the </w:t>
            </w:r>
            <w:r w:rsidRPr="54DBFBAC">
              <w:rPr>
                <w:rFonts w:ascii="Arial" w:eastAsia="Arial" w:hAnsi="Arial" w:cs="Arial"/>
              </w:rPr>
              <w:t>maximum mark of 40%.  Over one week late, 0%.  Only the Extenuating Circumstances Panel may approve a change to submission dates.</w:t>
            </w:r>
          </w:p>
        </w:tc>
      </w:tr>
      <w:tr w:rsidR="54DBFBAC" w14:paraId="7656692D" w14:textId="77777777" w:rsidTr="54DBFBAC">
        <w:tc>
          <w:tcPr>
            <w:tcW w:w="190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D4ED40" w14:textId="3A8F63D7" w:rsidR="54DBFBAC" w:rsidRDefault="54DBFBAC">
            <w:r w:rsidRPr="54DBFBAC">
              <w:rPr>
                <w:rFonts w:ascii="Arial" w:eastAsia="Arial" w:hAnsi="Arial" w:cs="Arial"/>
                <w:b/>
                <w:bCs/>
                <w:color w:val="000000" w:themeColor="text1"/>
              </w:rPr>
              <w:t xml:space="preserve">Academic </w:t>
            </w:r>
            <w:r w:rsidR="00DB4CBF">
              <w:rPr>
                <w:rFonts w:ascii="Arial" w:eastAsia="Arial" w:hAnsi="Arial" w:cs="Arial"/>
                <w:b/>
                <w:bCs/>
                <w:color w:val="000000" w:themeColor="text1"/>
              </w:rPr>
              <w:t>honesty/referencing</w:t>
            </w:r>
            <w:r w:rsidRPr="54DBFBAC">
              <w:rPr>
                <w:rFonts w:ascii="Arial" w:eastAsia="Arial" w:hAnsi="Arial" w:cs="Arial"/>
                <w:b/>
                <w:bCs/>
                <w:color w:val="000000" w:themeColor="text1"/>
              </w:rPr>
              <w:t>:</w:t>
            </w:r>
          </w:p>
        </w:tc>
        <w:tc>
          <w:tcPr>
            <w:tcW w:w="7108"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F73BEC1" w14:textId="29F609D8" w:rsidR="54DBFBAC" w:rsidRDefault="54DBFBAC" w:rsidP="54DBFBAC">
            <w:pPr>
              <w:jc w:val="both"/>
            </w:pPr>
            <w:r w:rsidRPr="54DBFBAC">
              <w:rPr>
                <w:rFonts w:ascii="Arial" w:eastAsia="Arial" w:hAnsi="Arial" w:cs="Arial"/>
              </w:rPr>
              <w:t>Academic honesty is required. In the main body of your submission</w:t>
            </w:r>
            <w:r w:rsidR="00DB4CBF">
              <w:rPr>
                <w:rFonts w:ascii="Arial" w:eastAsia="Arial" w:hAnsi="Arial" w:cs="Arial"/>
              </w:rPr>
              <w:t>,</w:t>
            </w:r>
            <w:r w:rsidRPr="54DBFBAC">
              <w:rPr>
                <w:rFonts w:ascii="Arial" w:eastAsia="Arial" w:hAnsi="Arial" w:cs="Arial"/>
              </w:rPr>
              <w:t xml:space="preserve"> you must give credit to authors on whose research and ideas your work is based. Append to your submission a reference list that indicates the books, articles, etc. that you have used, </w:t>
            </w:r>
            <w:proofErr w:type="gramStart"/>
            <w:r w:rsidRPr="54DBFBAC">
              <w:rPr>
                <w:rFonts w:ascii="Arial" w:eastAsia="Arial" w:hAnsi="Arial" w:cs="Arial"/>
              </w:rPr>
              <w:t>cited</w:t>
            </w:r>
            <w:proofErr w:type="gramEnd"/>
            <w:r w:rsidRPr="54DBFBAC">
              <w:rPr>
                <w:rFonts w:ascii="Arial" w:eastAsia="Arial" w:hAnsi="Arial" w:cs="Arial"/>
              </w:rPr>
              <w:t xml:space="preserve"> or quoted </w:t>
            </w:r>
            <w:r w:rsidR="00DB4CBF">
              <w:rPr>
                <w:rFonts w:ascii="Arial" w:eastAsia="Arial" w:hAnsi="Arial" w:cs="Arial"/>
              </w:rPr>
              <w:t>to</w:t>
            </w:r>
            <w:r w:rsidRPr="54DBFBAC">
              <w:rPr>
                <w:rFonts w:ascii="Arial" w:eastAsia="Arial" w:hAnsi="Arial" w:cs="Arial"/>
              </w:rPr>
              <w:t xml:space="preserve"> complete this assessment.  </w:t>
            </w:r>
          </w:p>
        </w:tc>
      </w:tr>
    </w:tbl>
    <w:p w14:paraId="0EEBAB44" w14:textId="6D980845" w:rsidR="001851C4" w:rsidRDefault="69FC6C69">
      <w:r w:rsidRPr="54DBFBAC">
        <w:rPr>
          <w:rFonts w:ascii="Arial" w:eastAsia="Arial" w:hAnsi="Arial" w:cs="Arial"/>
          <w:sz w:val="32"/>
          <w:szCs w:val="32"/>
        </w:rPr>
        <w:t xml:space="preserve"> </w:t>
      </w:r>
    </w:p>
    <w:p w14:paraId="781EFC8C" w14:textId="26C9983B" w:rsidR="001851C4" w:rsidRDefault="69FC6C69">
      <w:r w:rsidRPr="54DBFBAC">
        <w:rPr>
          <w:rFonts w:ascii="Arial" w:eastAsia="Arial" w:hAnsi="Arial" w:cs="Arial"/>
          <w:sz w:val="32"/>
          <w:szCs w:val="32"/>
        </w:rPr>
        <w:t xml:space="preserve"> </w:t>
      </w:r>
    </w:p>
    <w:p w14:paraId="1BD195B1" w14:textId="56F34A99" w:rsidR="001851C4" w:rsidRDefault="69FC6C69">
      <w:r w:rsidRPr="54DBFBAC">
        <w:rPr>
          <w:rFonts w:ascii="Arial" w:eastAsia="Arial" w:hAnsi="Arial" w:cs="Arial"/>
          <w:sz w:val="32"/>
          <w:szCs w:val="32"/>
        </w:rPr>
        <w:t xml:space="preserve"> </w:t>
      </w:r>
    </w:p>
    <w:p w14:paraId="0A31E345" w14:textId="4054576A" w:rsidR="001851C4" w:rsidRDefault="69FC6C69">
      <w:r w:rsidRPr="54DBFBAC">
        <w:rPr>
          <w:rFonts w:ascii="Arial" w:eastAsia="Arial" w:hAnsi="Arial" w:cs="Arial"/>
          <w:sz w:val="32"/>
          <w:szCs w:val="32"/>
        </w:rPr>
        <w:t xml:space="preserve"> </w:t>
      </w:r>
    </w:p>
    <w:p w14:paraId="0FEB0877" w14:textId="71E7F702" w:rsidR="001851C4" w:rsidRDefault="69FC6C69">
      <w:r w:rsidRPr="54DBFBAC">
        <w:rPr>
          <w:rFonts w:ascii="Arial" w:eastAsia="Arial" w:hAnsi="Arial" w:cs="Arial"/>
          <w:sz w:val="32"/>
          <w:szCs w:val="32"/>
        </w:rPr>
        <w:t xml:space="preserve"> </w:t>
      </w:r>
    </w:p>
    <w:p w14:paraId="2100DA1F" w14:textId="18DF9FAD" w:rsidR="001851C4" w:rsidRDefault="69FC6C69">
      <w:r w:rsidRPr="54DBFBAC">
        <w:rPr>
          <w:rFonts w:ascii="Arial" w:eastAsia="Arial" w:hAnsi="Arial" w:cs="Arial"/>
          <w:sz w:val="32"/>
          <w:szCs w:val="32"/>
        </w:rPr>
        <w:lastRenderedPageBreak/>
        <w:t xml:space="preserve"> </w:t>
      </w:r>
    </w:p>
    <w:p w14:paraId="5F2E55C1" w14:textId="1C61231D" w:rsidR="001851C4" w:rsidRDefault="00000000">
      <w:r>
        <w:br/>
      </w:r>
    </w:p>
    <w:p w14:paraId="69AC90F2" w14:textId="2A535C17" w:rsidR="001851C4" w:rsidRDefault="001851C4" w:rsidP="54DBFBAC">
      <w:pPr>
        <w:rPr>
          <w:rFonts w:ascii="Arial" w:eastAsia="Arial" w:hAnsi="Arial" w:cs="Arial"/>
          <w:sz w:val="32"/>
          <w:szCs w:val="32"/>
        </w:rPr>
      </w:pPr>
    </w:p>
    <w:p w14:paraId="5E5787A5" w14:textId="08863104" w:rsidR="001851C4"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This is the case of Miss Sarah Jones </w:t>
      </w:r>
    </w:p>
    <w:p w14:paraId="446326A7" w14:textId="6ED189E1"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I will set out </w:t>
      </w:r>
      <w:r w:rsidR="00DB4CBF">
        <w:rPr>
          <w:rFonts w:ascii="Bahnschrift" w:eastAsia="Bahnschrift" w:hAnsi="Bahnschrift" w:cs="Bahnschrift"/>
          <w:sz w:val="24"/>
          <w:szCs w:val="24"/>
        </w:rPr>
        <w:t>below</w:t>
      </w:r>
      <w:r w:rsidRPr="54DBFBAC">
        <w:rPr>
          <w:rFonts w:ascii="Bahnschrift" w:eastAsia="Bahnschrift" w:hAnsi="Bahnschrift" w:cs="Bahnschrift"/>
          <w:sz w:val="24"/>
          <w:szCs w:val="24"/>
        </w:rPr>
        <w:t xml:space="preserve"> the </w:t>
      </w:r>
      <w:r w:rsidR="060F57B9" w:rsidRPr="54DBFBAC">
        <w:rPr>
          <w:rFonts w:ascii="Bahnschrift" w:eastAsia="Bahnschrift" w:hAnsi="Bahnschrift" w:cs="Bahnschrift"/>
          <w:sz w:val="24"/>
          <w:szCs w:val="24"/>
        </w:rPr>
        <w:t>following list</w:t>
      </w:r>
      <w:r w:rsidRPr="54DBFBAC">
        <w:rPr>
          <w:rFonts w:ascii="Bahnschrift" w:eastAsia="Bahnschrift" w:hAnsi="Bahnschrift" w:cs="Bahnschrift"/>
          <w:sz w:val="24"/>
          <w:szCs w:val="24"/>
        </w:rPr>
        <w:t xml:space="preserve"> of offences:</w:t>
      </w:r>
    </w:p>
    <w:p w14:paraId="4D047AE7" w14:textId="3DCF7FAA"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Theft </w:t>
      </w:r>
    </w:p>
    <w:p w14:paraId="1FD932C9" w14:textId="40403110"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Assault </w:t>
      </w:r>
    </w:p>
    <w:p w14:paraId="23774DF5" w14:textId="479AD372"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Robbery 5 years ago</w:t>
      </w:r>
    </w:p>
    <w:p w14:paraId="57CBE7D4" w14:textId="075FF868"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Miss Jones says she is innocent of both charges </w:t>
      </w:r>
    </w:p>
    <w:p w14:paraId="0EC6D720" w14:textId="0C823D2E" w:rsidR="54DBFBAC" w:rsidRDefault="54DBFBAC" w:rsidP="54DBFBAC">
      <w:pPr>
        <w:rPr>
          <w:rFonts w:ascii="Bahnschrift" w:eastAsia="Bahnschrift" w:hAnsi="Bahnschrift" w:cs="Bahnschrift"/>
          <w:sz w:val="24"/>
          <w:szCs w:val="24"/>
        </w:rPr>
      </w:pPr>
    </w:p>
    <w:p w14:paraId="4F807EAC" w14:textId="075E2AC6" w:rsidR="69FC6C69" w:rsidRDefault="69FC6C69" w:rsidP="54DBFBAC">
      <w:pPr>
        <w:rPr>
          <w:rFonts w:ascii="Bahnschrift" w:eastAsia="Bahnschrift" w:hAnsi="Bahnschrift" w:cs="Bahnschrift"/>
          <w:sz w:val="24"/>
          <w:szCs w:val="24"/>
        </w:rPr>
      </w:pPr>
      <w:r w:rsidRPr="54DBFBAC">
        <w:rPr>
          <w:rFonts w:ascii="Bahnschrift" w:eastAsia="Bahnschrift" w:hAnsi="Bahnschrift" w:cs="Bahnschrift"/>
          <w:sz w:val="24"/>
          <w:szCs w:val="24"/>
        </w:rPr>
        <w:t xml:space="preserve">Suspect options at the </w:t>
      </w:r>
      <w:r w:rsidR="22FF011D" w:rsidRPr="54DBFBAC">
        <w:rPr>
          <w:rFonts w:ascii="Bahnschrift" w:eastAsia="Bahnschrift" w:hAnsi="Bahnschrift" w:cs="Bahnschrift"/>
          <w:sz w:val="24"/>
          <w:szCs w:val="24"/>
        </w:rPr>
        <w:t>interview:</w:t>
      </w:r>
    </w:p>
    <w:p w14:paraId="143638A0" w14:textId="57CB3DB8"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Answer police questions fully </w:t>
      </w:r>
    </w:p>
    <w:p w14:paraId="692BA528" w14:textId="129F1E81"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Answer some questions and not others</w:t>
      </w:r>
    </w:p>
    <w:p w14:paraId="339CB586" w14:textId="7FF6BC89"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Give a </w:t>
      </w:r>
      <w:proofErr w:type="gramStart"/>
      <w:r w:rsidRPr="54DBFBAC">
        <w:rPr>
          <w:rFonts w:ascii="Bahnschrift" w:eastAsia="Bahnschrift" w:hAnsi="Bahnschrift" w:cs="Bahnschrift"/>
          <w:sz w:val="24"/>
          <w:szCs w:val="24"/>
        </w:rPr>
        <w:t>“</w:t>
      </w:r>
      <w:r w:rsidR="0839BD4B" w:rsidRPr="54DBFBAC">
        <w:rPr>
          <w:rFonts w:ascii="Bahnschrift" w:eastAsia="Bahnschrift" w:hAnsi="Bahnschrift" w:cs="Bahnschrift"/>
          <w:sz w:val="24"/>
          <w:szCs w:val="24"/>
        </w:rPr>
        <w:t xml:space="preserve"> </w:t>
      </w:r>
      <w:r w:rsidRPr="54DBFBAC">
        <w:rPr>
          <w:rFonts w:ascii="Bahnschrift" w:eastAsia="Bahnschrift" w:hAnsi="Bahnschrift" w:cs="Bahnschrift"/>
          <w:sz w:val="24"/>
          <w:szCs w:val="24"/>
        </w:rPr>
        <w:t xml:space="preserve"> full</w:t>
      </w:r>
      <w:proofErr w:type="gramEnd"/>
      <w:r w:rsidRPr="54DBFBAC">
        <w:rPr>
          <w:rFonts w:ascii="Bahnschrift" w:eastAsia="Bahnschrift" w:hAnsi="Bahnschrift" w:cs="Bahnschrift"/>
          <w:sz w:val="24"/>
          <w:szCs w:val="24"/>
        </w:rPr>
        <w:t xml:space="preserve"> no comment interview </w:t>
      </w:r>
      <w:r w:rsidR="7E70A5AD" w:rsidRPr="54DBFBAC">
        <w:rPr>
          <w:rFonts w:ascii="Bahnschrift" w:eastAsia="Bahnschrift" w:hAnsi="Bahnschrift" w:cs="Bahnschrift"/>
          <w:sz w:val="24"/>
          <w:szCs w:val="24"/>
        </w:rPr>
        <w:t>“most</w:t>
      </w:r>
      <w:r w:rsidRPr="54DBFBAC">
        <w:rPr>
          <w:rFonts w:ascii="Bahnschrift" w:eastAsia="Bahnschrift" w:hAnsi="Bahnschrift" w:cs="Bahnschrift"/>
          <w:sz w:val="24"/>
          <w:szCs w:val="24"/>
        </w:rPr>
        <w:t xml:space="preserve"> </w:t>
      </w:r>
      <w:r w:rsidR="4EB7A184" w:rsidRPr="54DBFBAC">
        <w:rPr>
          <w:rFonts w:ascii="Bahnschrift" w:eastAsia="Bahnschrift" w:hAnsi="Bahnschrift" w:cs="Bahnschrift"/>
          <w:sz w:val="24"/>
          <w:szCs w:val="24"/>
        </w:rPr>
        <w:t>appropriate</w:t>
      </w:r>
      <w:r w:rsidRPr="54DBFBAC">
        <w:rPr>
          <w:rFonts w:ascii="Bahnschrift" w:eastAsia="Bahnschrift" w:hAnsi="Bahnschrift" w:cs="Bahnschrift"/>
          <w:sz w:val="24"/>
          <w:szCs w:val="24"/>
        </w:rPr>
        <w:t xml:space="preserve"> in this case</w:t>
      </w:r>
    </w:p>
    <w:p w14:paraId="6A26AB0C" w14:textId="49D060A4"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Hand in </w:t>
      </w:r>
      <w:r w:rsidR="00DB4CBF">
        <w:rPr>
          <w:rFonts w:ascii="Bahnschrift" w:eastAsia="Bahnschrift" w:hAnsi="Bahnschrift" w:cs="Bahnschrift"/>
          <w:sz w:val="24"/>
          <w:szCs w:val="24"/>
        </w:rPr>
        <w:t xml:space="preserve">a </w:t>
      </w:r>
      <w:r w:rsidRPr="54DBFBAC">
        <w:rPr>
          <w:rFonts w:ascii="Bahnschrift" w:eastAsia="Bahnschrift" w:hAnsi="Bahnschrift" w:cs="Bahnschrift"/>
          <w:sz w:val="24"/>
          <w:szCs w:val="24"/>
        </w:rPr>
        <w:t xml:space="preserve">written statement </w:t>
      </w:r>
    </w:p>
    <w:p w14:paraId="364A7F1C" w14:textId="01DB2B00" w:rsidR="69FC6C69" w:rsidRDefault="69FC6C69" w:rsidP="54DBFBAC">
      <w:pPr>
        <w:pStyle w:val="ListParagraph"/>
        <w:numPr>
          <w:ilvl w:val="0"/>
          <w:numId w:val="3"/>
        </w:numPr>
        <w:rPr>
          <w:rFonts w:ascii="Bahnschrift" w:eastAsia="Bahnschrift" w:hAnsi="Bahnschrift" w:cs="Bahnschrift"/>
          <w:sz w:val="24"/>
          <w:szCs w:val="24"/>
        </w:rPr>
      </w:pPr>
      <w:r w:rsidRPr="54DBFBAC">
        <w:rPr>
          <w:rFonts w:ascii="Bahnschrift" w:eastAsia="Bahnschrift" w:hAnsi="Bahnschrift" w:cs="Bahnschrift"/>
          <w:sz w:val="24"/>
          <w:szCs w:val="24"/>
        </w:rPr>
        <w:t xml:space="preserve">This </w:t>
      </w:r>
      <w:r w:rsidR="6EDBC357" w:rsidRPr="54DBFBAC">
        <w:rPr>
          <w:rFonts w:ascii="Bahnschrift" w:eastAsia="Bahnschrift" w:hAnsi="Bahnschrift" w:cs="Bahnschrift"/>
          <w:sz w:val="24"/>
          <w:szCs w:val="24"/>
        </w:rPr>
        <w:t xml:space="preserve">is </w:t>
      </w:r>
      <w:r w:rsidR="00DB4CBF">
        <w:rPr>
          <w:rFonts w:ascii="Bahnschrift" w:eastAsia="Bahnschrift" w:hAnsi="Bahnschrift" w:cs="Bahnschrift"/>
          <w:sz w:val="24"/>
          <w:szCs w:val="24"/>
        </w:rPr>
        <w:t xml:space="preserve">the </w:t>
      </w:r>
      <w:r w:rsidR="6EDBC357" w:rsidRPr="54DBFBAC">
        <w:rPr>
          <w:rFonts w:ascii="Bahnschrift" w:eastAsia="Bahnschrift" w:hAnsi="Bahnschrift" w:cs="Bahnschrift"/>
          <w:sz w:val="24"/>
          <w:szCs w:val="24"/>
        </w:rPr>
        <w:t>NGAP</w:t>
      </w:r>
      <w:r w:rsidRPr="54DBFBAC">
        <w:rPr>
          <w:rFonts w:ascii="Bahnschrift" w:eastAsia="Bahnschrift" w:hAnsi="Bahnschrift" w:cs="Bahnschrift"/>
          <w:sz w:val="24"/>
          <w:szCs w:val="24"/>
        </w:rPr>
        <w:t xml:space="preserve"> </w:t>
      </w:r>
      <w:proofErr w:type="gramStart"/>
      <w:r w:rsidRPr="54DBFBAC">
        <w:rPr>
          <w:rFonts w:ascii="Bahnschrift" w:eastAsia="Bahnschrift" w:hAnsi="Bahnschrift" w:cs="Bahnschrift"/>
          <w:sz w:val="24"/>
          <w:szCs w:val="24"/>
        </w:rPr>
        <w:t>case</w:t>
      </w:r>
      <w:proofErr w:type="gramEnd"/>
      <w:r w:rsidRPr="54DBFBAC">
        <w:rPr>
          <w:rFonts w:ascii="Bahnschrift" w:eastAsia="Bahnschrift" w:hAnsi="Bahnschrift" w:cs="Bahnschrift"/>
          <w:sz w:val="24"/>
          <w:szCs w:val="24"/>
        </w:rPr>
        <w:t xml:space="preserve"> </w:t>
      </w:r>
    </w:p>
    <w:p w14:paraId="0D25E1AA" w14:textId="77777777" w:rsidR="00CA1FD0" w:rsidRPr="00CA1FD0" w:rsidRDefault="00CA1FD0" w:rsidP="00CA1FD0">
      <w:pPr>
        <w:ind w:left="360"/>
        <w:rPr>
          <w:rFonts w:ascii="Bahnschrift" w:eastAsia="Bahnschrift" w:hAnsi="Bahnschrift" w:cs="Bahnschrift"/>
          <w:sz w:val="24"/>
          <w:szCs w:val="24"/>
        </w:rPr>
      </w:pPr>
    </w:p>
    <w:p w14:paraId="46497D69" w14:textId="77777777" w:rsidR="0023064C" w:rsidRDefault="0023064C" w:rsidP="54DBFBAC">
      <w:pPr>
        <w:jc w:val="both"/>
        <w:rPr>
          <w:rFonts w:ascii="Bahnschrift" w:eastAsia="Bahnschrift" w:hAnsi="Bahnschrift" w:cs="Bahnschrift"/>
          <w:sz w:val="24"/>
          <w:szCs w:val="24"/>
        </w:rPr>
      </w:pPr>
    </w:p>
    <w:p w14:paraId="4799E9AD" w14:textId="77777777" w:rsidR="00CA1FD0" w:rsidRPr="00CA1FD0" w:rsidRDefault="00CA1FD0" w:rsidP="00CA1FD0">
      <w:pPr>
        <w:jc w:val="both"/>
        <w:rPr>
          <w:rFonts w:ascii="Bahnschrift" w:eastAsia="Bahnschrift" w:hAnsi="Bahnschrift" w:cs="Bahnschrift"/>
          <w:sz w:val="24"/>
          <w:szCs w:val="24"/>
        </w:rPr>
      </w:pPr>
      <w:r w:rsidRPr="00CA1FD0">
        <w:rPr>
          <w:rFonts w:ascii="Bahnschrift" w:eastAsia="Bahnschrift" w:hAnsi="Bahnschrift" w:cs="Bahnschrift"/>
          <w:sz w:val="24"/>
          <w:szCs w:val="24"/>
        </w:rPr>
        <w:t>(Taylor, Elliott, and Quinn, 2018, p. 14) Actus reus is more than just an act; all the other parts of the offence are completely different from the state of mind of the defendant.</w:t>
      </w:r>
    </w:p>
    <w:p w14:paraId="439816E8" w14:textId="77777777" w:rsidR="00CA1FD0" w:rsidRPr="00CA1FD0" w:rsidRDefault="00CA1FD0" w:rsidP="00CA1FD0">
      <w:pPr>
        <w:jc w:val="both"/>
        <w:rPr>
          <w:rFonts w:ascii="Bahnschrift" w:eastAsia="Bahnschrift" w:hAnsi="Bahnschrift" w:cs="Bahnschrift"/>
          <w:sz w:val="24"/>
          <w:szCs w:val="24"/>
        </w:rPr>
      </w:pPr>
      <w:r w:rsidRPr="00CA1FD0">
        <w:rPr>
          <w:rFonts w:ascii="Bahnschrift" w:eastAsia="Bahnschrift" w:hAnsi="Bahnschrift" w:cs="Bahnschrift"/>
          <w:sz w:val="24"/>
          <w:szCs w:val="24"/>
        </w:rPr>
        <w:t xml:space="preserve">The type of defence is important, as is the situation in which it was committed and the outcome of </w:t>
      </w:r>
      <w:proofErr w:type="gramStart"/>
      <w:r w:rsidRPr="00CA1FD0">
        <w:rPr>
          <w:rFonts w:ascii="Bahnschrift" w:eastAsia="Bahnschrift" w:hAnsi="Bahnschrift" w:cs="Bahnschrift"/>
          <w:sz w:val="24"/>
          <w:szCs w:val="24"/>
        </w:rPr>
        <w:t>that</w:t>
      </w:r>
      <w:proofErr w:type="gramEnd"/>
    </w:p>
    <w:p w14:paraId="780B40B6" w14:textId="77777777" w:rsidR="00CA1FD0" w:rsidRDefault="00CA1FD0" w:rsidP="00CA1FD0">
      <w:pPr>
        <w:jc w:val="both"/>
        <w:rPr>
          <w:rFonts w:ascii="Bahnschrift" w:eastAsia="Bahnschrift" w:hAnsi="Bahnschrift" w:cs="Bahnschrift"/>
          <w:sz w:val="24"/>
          <w:szCs w:val="24"/>
        </w:rPr>
      </w:pPr>
      <w:r w:rsidRPr="00CA1FD0">
        <w:rPr>
          <w:rFonts w:ascii="Bahnschrift" w:eastAsia="Bahnschrift" w:hAnsi="Bahnschrift" w:cs="Bahnschrift"/>
          <w:sz w:val="24"/>
          <w:szCs w:val="24"/>
        </w:rPr>
        <w:t xml:space="preserve">(Taylor, Elliott, and Quinn, 2018, p. 22) Mens rea comes from the Latin" guilty mind," and is about the person's mind status when committing the </w:t>
      </w:r>
      <w:proofErr w:type="gramStart"/>
      <w:r w:rsidRPr="00CA1FD0">
        <w:rPr>
          <w:rFonts w:ascii="Bahnschrift" w:eastAsia="Bahnschrift" w:hAnsi="Bahnschrift" w:cs="Bahnschrift"/>
          <w:sz w:val="24"/>
          <w:szCs w:val="24"/>
        </w:rPr>
        <w:t>crime</w:t>
      </w:r>
      <w:proofErr w:type="gramEnd"/>
    </w:p>
    <w:p w14:paraId="424228D1" w14:textId="77777777" w:rsidR="00CA1FD0" w:rsidRPr="00CA1FD0" w:rsidRDefault="00CA1FD0" w:rsidP="00CA1FD0">
      <w:pPr>
        <w:jc w:val="both"/>
        <w:rPr>
          <w:rFonts w:ascii="Bahnschrift" w:eastAsia="Bahnschrift" w:hAnsi="Bahnschrift" w:cs="Bahnschrift"/>
          <w:sz w:val="24"/>
          <w:szCs w:val="24"/>
        </w:rPr>
      </w:pPr>
      <w:r w:rsidRPr="00CA1FD0">
        <w:rPr>
          <w:rFonts w:ascii="Bahnschrift" w:eastAsia="Bahnschrift" w:hAnsi="Bahnschrift" w:cs="Bahnschrift"/>
          <w:sz w:val="24"/>
          <w:szCs w:val="24"/>
        </w:rPr>
        <w:t>T.A. 1968, S 1(1)</w:t>
      </w:r>
    </w:p>
    <w:p w14:paraId="2A4F2A91" w14:textId="77777777" w:rsidR="00CA1FD0" w:rsidRPr="00CA1FD0" w:rsidRDefault="00CA1FD0" w:rsidP="00CA1FD0">
      <w:pPr>
        <w:jc w:val="both"/>
        <w:rPr>
          <w:rFonts w:ascii="Bahnschrift" w:eastAsia="Bahnschrift" w:hAnsi="Bahnschrift" w:cs="Bahnschrift"/>
          <w:sz w:val="24"/>
          <w:szCs w:val="24"/>
        </w:rPr>
      </w:pPr>
      <w:r w:rsidRPr="00CA1FD0">
        <w:rPr>
          <w:rFonts w:ascii="Bahnschrift" w:eastAsia="Bahnschrift" w:hAnsi="Bahnschrift" w:cs="Bahnschrift"/>
          <w:sz w:val="24"/>
          <w:szCs w:val="24"/>
        </w:rPr>
        <w:t>Someone can be accused of theft if, in a dishonest way, he takes something from another person with the intention of not giving it back.</w:t>
      </w:r>
    </w:p>
    <w:p w14:paraId="049F30F4" w14:textId="77777777" w:rsidR="00CA1FD0" w:rsidRPr="00CA1FD0" w:rsidRDefault="00CA1FD0" w:rsidP="00CA1FD0">
      <w:pPr>
        <w:jc w:val="both"/>
        <w:rPr>
          <w:rFonts w:ascii="Bahnschrift" w:eastAsia="Bahnschrift" w:hAnsi="Bahnschrift" w:cs="Bahnschrift"/>
          <w:sz w:val="24"/>
          <w:szCs w:val="24"/>
        </w:rPr>
      </w:pPr>
      <w:r w:rsidRPr="00CA1FD0">
        <w:rPr>
          <w:rFonts w:ascii="Bahnschrift" w:eastAsia="Bahnschrift" w:hAnsi="Bahnschrift" w:cs="Bahnschrift"/>
          <w:sz w:val="24"/>
          <w:szCs w:val="24"/>
        </w:rPr>
        <w:t>There are three actus reus elements: appropriation, property, and belonging to another.</w:t>
      </w:r>
    </w:p>
    <w:p w14:paraId="540DB5A7" w14:textId="77777777" w:rsidR="00CA1FD0" w:rsidRPr="00CA1FD0" w:rsidRDefault="00CA1FD0" w:rsidP="00CA1FD0">
      <w:pPr>
        <w:jc w:val="both"/>
        <w:rPr>
          <w:rFonts w:ascii="Bahnschrift" w:eastAsia="Bahnschrift" w:hAnsi="Bahnschrift" w:cs="Bahnschrift"/>
          <w:sz w:val="24"/>
          <w:szCs w:val="24"/>
        </w:rPr>
      </w:pPr>
      <w:r w:rsidRPr="00CA1FD0">
        <w:rPr>
          <w:rFonts w:ascii="Bahnschrift" w:eastAsia="Bahnschrift" w:hAnsi="Bahnschrift" w:cs="Bahnschrift"/>
          <w:sz w:val="24"/>
          <w:szCs w:val="24"/>
        </w:rPr>
        <w:t>Dishonesty and the intent to permanently deprive are two men's fundamental elements.</w:t>
      </w:r>
    </w:p>
    <w:p w14:paraId="05B29CE3" w14:textId="77777777" w:rsidR="00C97D9C" w:rsidRDefault="00CA1FD0" w:rsidP="00647160">
      <w:pPr>
        <w:jc w:val="both"/>
        <w:rPr>
          <w:rFonts w:ascii="Bahnschrift" w:eastAsia="Bahnschrift" w:hAnsi="Bahnschrift" w:cs="Bahnschrift"/>
          <w:sz w:val="24"/>
          <w:szCs w:val="24"/>
        </w:rPr>
      </w:pPr>
      <w:r w:rsidRPr="00CA1FD0">
        <w:rPr>
          <w:rFonts w:ascii="Bahnschrift" w:eastAsia="Bahnschrift" w:hAnsi="Bahnschrift" w:cs="Bahnschrift"/>
          <w:sz w:val="24"/>
          <w:szCs w:val="24"/>
        </w:rPr>
        <w:t>(Finch, 2021, p. 156)</w:t>
      </w:r>
    </w:p>
    <w:p w14:paraId="7BCF4B72" w14:textId="563D38A3" w:rsidR="00647160" w:rsidRPr="00647160" w:rsidRDefault="00647160" w:rsidP="00647160">
      <w:pPr>
        <w:jc w:val="both"/>
        <w:rPr>
          <w:rFonts w:ascii="Bahnschrift" w:eastAsia="Bahnschrift" w:hAnsi="Bahnschrift" w:cs="Bahnschrift"/>
          <w:sz w:val="24"/>
          <w:szCs w:val="24"/>
        </w:rPr>
      </w:pPr>
      <w:r w:rsidRPr="00647160">
        <w:rPr>
          <w:rFonts w:ascii="Bahnschrift" w:eastAsia="Bahnschrift" w:hAnsi="Bahnschrift" w:cs="Bahnschrift"/>
          <w:sz w:val="24"/>
          <w:szCs w:val="24"/>
        </w:rPr>
        <w:lastRenderedPageBreak/>
        <w:t>APPROPRIATION</w:t>
      </w:r>
    </w:p>
    <w:p w14:paraId="5A8E3CF0" w14:textId="77777777" w:rsidR="00647160" w:rsidRPr="00647160" w:rsidRDefault="00647160" w:rsidP="00647160">
      <w:pPr>
        <w:jc w:val="both"/>
        <w:rPr>
          <w:rFonts w:ascii="Bahnschrift" w:eastAsia="Bahnschrift" w:hAnsi="Bahnschrift" w:cs="Bahnschrift"/>
          <w:sz w:val="24"/>
          <w:szCs w:val="24"/>
        </w:rPr>
      </w:pPr>
    </w:p>
    <w:p w14:paraId="1DC4AC04" w14:textId="07A46DB1" w:rsidR="00647160" w:rsidRPr="00647160" w:rsidRDefault="00647160" w:rsidP="00647160">
      <w:pPr>
        <w:jc w:val="both"/>
        <w:rPr>
          <w:rFonts w:ascii="Bahnschrift" w:eastAsia="Bahnschrift" w:hAnsi="Bahnschrift" w:cs="Bahnschrift"/>
          <w:sz w:val="24"/>
          <w:szCs w:val="24"/>
        </w:rPr>
      </w:pPr>
      <w:r w:rsidRPr="00647160">
        <w:rPr>
          <w:rFonts w:ascii="Bahnschrift" w:eastAsia="Bahnschrift" w:hAnsi="Bahnschrift" w:cs="Bahnschrift"/>
          <w:sz w:val="24"/>
          <w:szCs w:val="24"/>
        </w:rPr>
        <w:t xml:space="preserve">Appropriation occurs when a person claims the rights of the proprietor, even if they received the property lawfully. This includes keeping the property or behaving as if it were their own, </w:t>
      </w:r>
      <w:r w:rsidRPr="00647160">
        <w:rPr>
          <w:rFonts w:ascii="Bahnschrift" w:eastAsia="Bahnschrift" w:hAnsi="Bahnschrift" w:cs="Bahnschrift"/>
          <w:sz w:val="24"/>
          <w:szCs w:val="24"/>
        </w:rPr>
        <w:t>even though</w:t>
      </w:r>
      <w:r w:rsidRPr="00647160">
        <w:rPr>
          <w:rFonts w:ascii="Bahnschrift" w:eastAsia="Bahnschrift" w:hAnsi="Bahnschrift" w:cs="Bahnschrift"/>
          <w:sz w:val="24"/>
          <w:szCs w:val="24"/>
        </w:rPr>
        <w:t xml:space="preserve"> they obtained it by error. (Finch, 2021, p. 158â</w:t>
      </w:r>
      <w:proofErr w:type="gramStart"/>
      <w:r w:rsidRPr="00647160">
        <w:rPr>
          <w:rFonts w:ascii="Bahnschrift" w:eastAsia="Bahnschrift" w:hAnsi="Bahnschrift" w:cs="Bahnschrift"/>
          <w:sz w:val="24"/>
          <w:szCs w:val="24"/>
        </w:rPr>
        <w:t>€“</w:t>
      </w:r>
      <w:proofErr w:type="gramEnd"/>
      <w:r w:rsidRPr="00647160">
        <w:rPr>
          <w:rFonts w:ascii="Bahnschrift" w:eastAsia="Bahnschrift" w:hAnsi="Bahnschrift" w:cs="Bahnschrift"/>
          <w:sz w:val="24"/>
          <w:szCs w:val="24"/>
        </w:rPr>
        <w:t>159)</w:t>
      </w:r>
    </w:p>
    <w:p w14:paraId="4F5DBC80" w14:textId="77777777" w:rsidR="00647160" w:rsidRPr="00647160" w:rsidRDefault="00647160" w:rsidP="00647160">
      <w:pPr>
        <w:jc w:val="both"/>
        <w:rPr>
          <w:rFonts w:ascii="Bahnschrift" w:eastAsia="Bahnschrift" w:hAnsi="Bahnschrift" w:cs="Bahnschrift"/>
          <w:sz w:val="24"/>
          <w:szCs w:val="24"/>
        </w:rPr>
      </w:pPr>
      <w:r w:rsidRPr="00647160">
        <w:rPr>
          <w:rFonts w:ascii="Bahnschrift" w:eastAsia="Bahnschrift" w:hAnsi="Bahnschrift" w:cs="Bahnschrift"/>
          <w:sz w:val="24"/>
          <w:szCs w:val="24"/>
        </w:rPr>
        <w:t>Property</w:t>
      </w:r>
    </w:p>
    <w:p w14:paraId="030E9437" w14:textId="77777777" w:rsidR="00647160" w:rsidRPr="00647160" w:rsidRDefault="00647160" w:rsidP="00647160">
      <w:pPr>
        <w:jc w:val="both"/>
        <w:rPr>
          <w:rFonts w:ascii="Bahnschrift" w:eastAsia="Bahnschrift" w:hAnsi="Bahnschrift" w:cs="Bahnschrift"/>
          <w:sz w:val="24"/>
          <w:szCs w:val="24"/>
        </w:rPr>
      </w:pPr>
      <w:r w:rsidRPr="00647160">
        <w:rPr>
          <w:rFonts w:ascii="Bahnschrift" w:eastAsia="Bahnschrift" w:hAnsi="Bahnschrift" w:cs="Bahnschrift"/>
          <w:sz w:val="24"/>
          <w:szCs w:val="24"/>
        </w:rPr>
        <w:t>In Taylor, Elliott, and Quinn (2018), page 220, "property" is defined as "monetary wealth along with all other possessions, either private or real, such as items in action as well as immaterial property."</w:t>
      </w:r>
    </w:p>
    <w:p w14:paraId="6DE58F84" w14:textId="24752CD3" w:rsidR="00CA1FD0" w:rsidRDefault="00647160" w:rsidP="00647160">
      <w:pPr>
        <w:jc w:val="both"/>
        <w:rPr>
          <w:rFonts w:ascii="Bahnschrift" w:eastAsia="Bahnschrift" w:hAnsi="Bahnschrift" w:cs="Bahnschrift"/>
          <w:sz w:val="24"/>
          <w:szCs w:val="24"/>
        </w:rPr>
      </w:pPr>
      <w:r w:rsidRPr="00647160">
        <w:rPr>
          <w:rFonts w:ascii="Bahnschrift" w:eastAsia="Bahnschrift" w:hAnsi="Bahnschrift" w:cs="Bahnschrift"/>
          <w:sz w:val="24"/>
          <w:szCs w:val="24"/>
        </w:rPr>
        <w:t>"Intangible property" is a property that doesn't exist physically, and "something in operation" is a property that doesn't exist physically but provides its possessor with legal authority.</w:t>
      </w:r>
    </w:p>
    <w:p w14:paraId="2D90D25E" w14:textId="77777777" w:rsidR="00F607EB" w:rsidRPr="00F607EB" w:rsidRDefault="00F607EB" w:rsidP="00F607EB">
      <w:pPr>
        <w:jc w:val="both"/>
        <w:rPr>
          <w:rFonts w:ascii="Bahnschrift" w:eastAsia="Bahnschrift" w:hAnsi="Bahnschrift" w:cs="Bahnschrift"/>
          <w:sz w:val="24"/>
          <w:szCs w:val="24"/>
        </w:rPr>
      </w:pPr>
      <w:r w:rsidRPr="00F607EB">
        <w:rPr>
          <w:rFonts w:ascii="Bahnschrift" w:eastAsia="Bahnschrift" w:hAnsi="Bahnschrift" w:cs="Bahnschrift"/>
          <w:sz w:val="24"/>
          <w:szCs w:val="24"/>
        </w:rPr>
        <w:t>Belonging to Someone Else</w:t>
      </w:r>
    </w:p>
    <w:p w14:paraId="5096AEB7" w14:textId="77777777" w:rsidR="00F607EB" w:rsidRPr="00F607EB" w:rsidRDefault="00F607EB" w:rsidP="00F607EB">
      <w:pPr>
        <w:jc w:val="both"/>
        <w:rPr>
          <w:rFonts w:ascii="Bahnschrift" w:eastAsia="Bahnschrift" w:hAnsi="Bahnschrift" w:cs="Bahnschrift"/>
          <w:sz w:val="24"/>
          <w:szCs w:val="24"/>
        </w:rPr>
      </w:pPr>
      <w:r w:rsidRPr="00F607EB">
        <w:rPr>
          <w:rFonts w:ascii="Bahnschrift" w:eastAsia="Bahnschrift" w:hAnsi="Bahnschrift" w:cs="Bahnschrift"/>
          <w:sz w:val="24"/>
          <w:szCs w:val="24"/>
        </w:rPr>
        <w:t>Section 5(1) of the Theft Act of 1968 says that property is thought to belong to anyone who has it in their name or possession or has property rights or interests in it. (Finch, 2021, p. 157)</w:t>
      </w:r>
    </w:p>
    <w:p w14:paraId="49FD064C" w14:textId="77777777" w:rsidR="00F607EB" w:rsidRPr="00F607EB" w:rsidRDefault="00F607EB" w:rsidP="00F607EB">
      <w:pPr>
        <w:jc w:val="both"/>
        <w:rPr>
          <w:rFonts w:ascii="Bahnschrift" w:eastAsia="Bahnschrift" w:hAnsi="Bahnschrift" w:cs="Bahnschrift"/>
          <w:sz w:val="24"/>
          <w:szCs w:val="24"/>
        </w:rPr>
      </w:pPr>
      <w:r w:rsidRPr="00F607EB">
        <w:rPr>
          <w:rFonts w:ascii="Bahnschrift" w:eastAsia="Bahnschrift" w:hAnsi="Bahnschrift" w:cs="Bahnschrift"/>
          <w:sz w:val="24"/>
          <w:szCs w:val="24"/>
        </w:rPr>
        <w:t>Section 2(1) of the Dishonesty Act T.A 1968</w:t>
      </w:r>
    </w:p>
    <w:p w14:paraId="6B318B06" w14:textId="77777777" w:rsidR="00F607EB" w:rsidRPr="00F607EB" w:rsidRDefault="00F607EB" w:rsidP="00F607EB">
      <w:pPr>
        <w:jc w:val="both"/>
        <w:rPr>
          <w:rFonts w:ascii="Bahnschrift" w:eastAsia="Bahnschrift" w:hAnsi="Bahnschrift" w:cs="Bahnschrift"/>
          <w:sz w:val="24"/>
          <w:szCs w:val="24"/>
        </w:rPr>
      </w:pPr>
      <w:r w:rsidRPr="00F607EB">
        <w:rPr>
          <w:rFonts w:ascii="Bahnschrift" w:eastAsia="Bahnschrift" w:hAnsi="Bahnschrift" w:cs="Bahnschrift"/>
          <w:sz w:val="24"/>
          <w:szCs w:val="24"/>
        </w:rPr>
        <w:t xml:space="preserve">When a person uses the property of another person, it's not regarded as untrue if: • He uses the asset because he believes that the law grants him the right to do so, neither for himself nor for somebody </w:t>
      </w:r>
      <w:proofErr w:type="gramStart"/>
      <w:r w:rsidRPr="00F607EB">
        <w:rPr>
          <w:rFonts w:ascii="Bahnschrift" w:eastAsia="Bahnschrift" w:hAnsi="Bahnschrift" w:cs="Bahnschrift"/>
          <w:sz w:val="24"/>
          <w:szCs w:val="24"/>
        </w:rPr>
        <w:t>else;</w:t>
      </w:r>
      <w:proofErr w:type="gramEnd"/>
    </w:p>
    <w:p w14:paraId="66AF5DF6" w14:textId="77777777" w:rsidR="00F607EB" w:rsidRPr="00F607EB" w:rsidRDefault="00F607EB" w:rsidP="00F607EB">
      <w:pPr>
        <w:jc w:val="both"/>
        <w:rPr>
          <w:rFonts w:ascii="Bahnschrift" w:eastAsia="Bahnschrift" w:hAnsi="Bahnschrift" w:cs="Bahnschrift"/>
          <w:sz w:val="24"/>
          <w:szCs w:val="24"/>
        </w:rPr>
      </w:pPr>
    </w:p>
    <w:p w14:paraId="50A1D63C" w14:textId="70B49F13" w:rsidR="00647160" w:rsidRDefault="00F607EB" w:rsidP="00F607EB">
      <w:pPr>
        <w:jc w:val="both"/>
        <w:rPr>
          <w:rFonts w:ascii="Bahnschrift" w:eastAsia="Bahnschrift" w:hAnsi="Bahnschrift" w:cs="Bahnschrift"/>
          <w:sz w:val="24"/>
          <w:szCs w:val="24"/>
        </w:rPr>
      </w:pPr>
      <w:r w:rsidRPr="00F607EB">
        <w:rPr>
          <w:rFonts w:ascii="Bahnschrift" w:eastAsia="Bahnschrift" w:hAnsi="Bahnschrift" w:cs="Bahnschrift"/>
          <w:sz w:val="24"/>
          <w:szCs w:val="24"/>
        </w:rPr>
        <w:t>• If he gets the asset with the belief that the other party would have granted consent because he believed they knew what he was doing as well as the reason why</w:t>
      </w:r>
    </w:p>
    <w:p w14:paraId="41E2AF32" w14:textId="77777777" w:rsidR="00F607EB" w:rsidRPr="00F607EB" w:rsidRDefault="00F607EB" w:rsidP="00F607EB">
      <w:pPr>
        <w:jc w:val="both"/>
        <w:rPr>
          <w:rFonts w:ascii="Bahnschrift" w:eastAsia="Bahnschrift" w:hAnsi="Bahnschrift" w:cs="Bahnschrift"/>
          <w:sz w:val="24"/>
          <w:szCs w:val="24"/>
        </w:rPr>
      </w:pPr>
    </w:p>
    <w:p w14:paraId="7CEF4870" w14:textId="31555C96" w:rsidR="54DBFBAC" w:rsidRDefault="00DB4CBF" w:rsidP="54DBFBAC">
      <w:pPr>
        <w:jc w:val="both"/>
        <w:rPr>
          <w:rFonts w:ascii="Abadi" w:eastAsia="Arial" w:hAnsi="Abadi" w:cstheme="minorHAnsi"/>
          <w:sz w:val="24"/>
          <w:szCs w:val="24"/>
        </w:rPr>
      </w:pPr>
      <w:r>
        <w:rPr>
          <w:rFonts w:ascii="Abadi" w:eastAsia="Arial" w:hAnsi="Abadi" w:cstheme="minorHAnsi"/>
          <w:sz w:val="24"/>
          <w:szCs w:val="24"/>
        </w:rPr>
        <w:t>Men’s</w:t>
      </w:r>
      <w:r w:rsidR="00D96061">
        <w:rPr>
          <w:rFonts w:ascii="Abadi" w:eastAsia="Arial" w:hAnsi="Abadi" w:cstheme="minorHAnsi"/>
          <w:sz w:val="24"/>
          <w:szCs w:val="24"/>
        </w:rPr>
        <w:t xml:space="preserve"> rea of the assault is </w:t>
      </w:r>
      <w:r>
        <w:rPr>
          <w:rFonts w:ascii="Abadi" w:eastAsia="Arial" w:hAnsi="Abadi" w:cstheme="minorHAnsi"/>
          <w:sz w:val="24"/>
          <w:szCs w:val="24"/>
        </w:rPr>
        <w:t xml:space="preserve">the </w:t>
      </w:r>
      <w:r w:rsidR="00D96061">
        <w:rPr>
          <w:rFonts w:ascii="Abadi" w:eastAsia="Arial" w:hAnsi="Abadi" w:cstheme="minorHAnsi"/>
          <w:sz w:val="24"/>
          <w:szCs w:val="24"/>
        </w:rPr>
        <w:t>intention or subjective recklessness as to causing the victim to apprehend the immediate infliction of unlawful force.</w:t>
      </w:r>
      <w:r>
        <w:rPr>
          <w:rFonts w:ascii="Abadi" w:eastAsia="Arial" w:hAnsi="Abadi" w:cstheme="minorHAnsi"/>
          <w:sz w:val="24"/>
          <w:szCs w:val="24"/>
        </w:rPr>
        <w:t xml:space="preserve"> </w:t>
      </w:r>
      <w:r w:rsidR="00D96061">
        <w:rPr>
          <w:rFonts w:ascii="Abadi" w:eastAsia="Arial" w:hAnsi="Abadi" w:cstheme="minorHAnsi"/>
          <w:sz w:val="24"/>
          <w:szCs w:val="24"/>
        </w:rPr>
        <w:t>(Taylor</w:t>
      </w:r>
      <w:r w:rsidR="00AA7F3F">
        <w:rPr>
          <w:rFonts w:ascii="Abadi" w:eastAsia="Arial" w:hAnsi="Abadi" w:cstheme="minorHAnsi"/>
          <w:sz w:val="24"/>
          <w:szCs w:val="24"/>
        </w:rPr>
        <w:t>,</w:t>
      </w:r>
      <w:r w:rsidR="00D96061">
        <w:rPr>
          <w:rFonts w:ascii="Abadi" w:eastAsia="Arial" w:hAnsi="Abadi" w:cstheme="minorHAnsi"/>
          <w:sz w:val="24"/>
          <w:szCs w:val="24"/>
        </w:rPr>
        <w:t>2018,</w:t>
      </w:r>
      <w:r>
        <w:rPr>
          <w:rFonts w:ascii="Abadi" w:eastAsia="Arial" w:hAnsi="Abadi" w:cstheme="minorHAnsi"/>
          <w:sz w:val="24"/>
          <w:szCs w:val="24"/>
        </w:rPr>
        <w:t xml:space="preserve"> </w:t>
      </w:r>
      <w:proofErr w:type="spellStart"/>
      <w:r w:rsidR="00D96061">
        <w:rPr>
          <w:rFonts w:ascii="Abadi" w:eastAsia="Arial" w:hAnsi="Abadi" w:cstheme="minorHAnsi"/>
          <w:sz w:val="24"/>
          <w:szCs w:val="24"/>
        </w:rPr>
        <w:t>pg</w:t>
      </w:r>
      <w:proofErr w:type="spellEnd"/>
      <w:r w:rsidR="00D96061">
        <w:rPr>
          <w:rFonts w:ascii="Abadi" w:eastAsia="Arial" w:hAnsi="Abadi" w:cstheme="minorHAnsi"/>
          <w:sz w:val="24"/>
          <w:szCs w:val="24"/>
        </w:rPr>
        <w:t xml:space="preserve"> 154)</w:t>
      </w:r>
    </w:p>
    <w:p w14:paraId="5A38F386" w14:textId="77777777"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If he gets the property because he believes that its proper owner cannot be located by taking rational steps. (Finch, p. 160–161, 2021)</w:t>
      </w:r>
    </w:p>
    <w:p w14:paraId="0ABC67A5" w14:textId="126BD465"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 xml:space="preserve">This is not an explanation of what it means to be dishonest. However, it is an exhaustive list of things that are not untrue. Since they are all subjective examinations, the outcomes depend on what the defendant believed, not on how other people would see the case. If none of these </w:t>
      </w:r>
      <w:r>
        <w:rPr>
          <w:rFonts w:ascii="Abadi" w:eastAsia="Arial" w:hAnsi="Abadi" w:cstheme="minorHAnsi"/>
          <w:sz w:val="24"/>
          <w:szCs w:val="24"/>
        </w:rPr>
        <w:t>applies</w:t>
      </w:r>
      <w:r w:rsidRPr="0047577F">
        <w:rPr>
          <w:rFonts w:ascii="Abadi" w:eastAsia="Arial" w:hAnsi="Abadi" w:cstheme="minorHAnsi"/>
          <w:sz w:val="24"/>
          <w:szCs w:val="24"/>
        </w:rPr>
        <w:t>, you should use the general rule for being dishonest.</w:t>
      </w:r>
    </w:p>
    <w:p w14:paraId="647996F0" w14:textId="48159E74"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 xml:space="preserve">Ghosh has been the best source </w:t>
      </w:r>
      <w:r>
        <w:rPr>
          <w:rFonts w:ascii="Abadi" w:eastAsia="Arial" w:hAnsi="Abadi" w:cstheme="minorHAnsi"/>
          <w:sz w:val="24"/>
          <w:szCs w:val="24"/>
        </w:rPr>
        <w:t>of</w:t>
      </w:r>
      <w:r w:rsidRPr="0047577F">
        <w:rPr>
          <w:rFonts w:ascii="Abadi" w:eastAsia="Arial" w:hAnsi="Abadi" w:cstheme="minorHAnsi"/>
          <w:sz w:val="24"/>
          <w:szCs w:val="24"/>
        </w:rPr>
        <w:t xml:space="preserve"> dishonesty for over 35 years. Outside of Section 2, the Court of Appeal said that dishonesty shouldn't be judged by a standard that is only based on what people think. Instead, it came up with a two-step test that asked: (1) Was what was done </w:t>
      </w:r>
      <w:r>
        <w:rPr>
          <w:rFonts w:ascii="Abadi" w:eastAsia="Arial" w:hAnsi="Abadi" w:cstheme="minorHAnsi"/>
          <w:sz w:val="24"/>
          <w:szCs w:val="24"/>
        </w:rPr>
        <w:t>dishonestly</w:t>
      </w:r>
      <w:r w:rsidRPr="0047577F">
        <w:rPr>
          <w:rFonts w:ascii="Abadi" w:eastAsia="Arial" w:hAnsi="Abadi" w:cstheme="minorHAnsi"/>
          <w:sz w:val="24"/>
          <w:szCs w:val="24"/>
        </w:rPr>
        <w:t xml:space="preserve"> by the standards of honest, sensible people?</w:t>
      </w:r>
    </w:p>
    <w:p w14:paraId="4FB366CC" w14:textId="77777777"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lastRenderedPageBreak/>
        <w:t>(2) Did the defendant understand that reasonable and honest people think what he did was dishonest?</w:t>
      </w:r>
    </w:p>
    <w:p w14:paraId="0795FBCD" w14:textId="1DAE656E"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 xml:space="preserve">If the answer to both questions is "yes," the suspect has been dishonest. If the answer to either question is "no," the suspect is not lying. Basically, the Ghosh test showed that a suspect was lying if he knew that other people would think he was lying. This case was highly criticised by commentators, but it stayed on the books until the Supreme Court questioned its legality in the Ivey </w:t>
      </w:r>
      <w:r w:rsidR="00C97D9C" w:rsidRPr="0047577F">
        <w:rPr>
          <w:rFonts w:ascii="Abadi" w:eastAsia="Arial" w:hAnsi="Abadi" w:cstheme="minorHAnsi"/>
          <w:sz w:val="24"/>
          <w:szCs w:val="24"/>
        </w:rPr>
        <w:t>case. (</w:t>
      </w:r>
      <w:r w:rsidRPr="0047577F">
        <w:rPr>
          <w:rFonts w:ascii="Abadi" w:eastAsia="Arial" w:hAnsi="Abadi" w:cstheme="minorHAnsi"/>
          <w:sz w:val="24"/>
          <w:szCs w:val="24"/>
        </w:rPr>
        <w:t>Finch, p. 161, 2021)</w:t>
      </w:r>
    </w:p>
    <w:p w14:paraId="25FFCD84" w14:textId="65074F67"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INTENTION TO DEPRIVE FOREVER</w:t>
      </w:r>
    </w:p>
    <w:p w14:paraId="617C0F07" w14:textId="77777777"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Theft Act of 1968, Section 6(1) A person is thought to have the intent to permanently deprive if he wants to treat the thing as his own and get rid of it regardless of the other person's rights. Borrowing or lending it may be the same as treating it as his own, but only if the borrowing or lending is for a long enough time and under conditions that make it the same as an outright taking or disposal. (Finch, p. 163–164, 2021)</w:t>
      </w:r>
    </w:p>
    <w:p w14:paraId="5353846D" w14:textId="77777777"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Assault</w:t>
      </w:r>
    </w:p>
    <w:p w14:paraId="3A73BDD2" w14:textId="714AB17E" w:rsidR="0047577F" w:rsidRPr="0047577F" w:rsidRDefault="0047577F" w:rsidP="0047577F">
      <w:pPr>
        <w:jc w:val="both"/>
        <w:rPr>
          <w:rFonts w:ascii="Abadi" w:eastAsia="Arial" w:hAnsi="Abadi" w:cstheme="minorHAnsi"/>
          <w:sz w:val="24"/>
          <w:szCs w:val="24"/>
        </w:rPr>
      </w:pPr>
      <w:r w:rsidRPr="0047577F">
        <w:rPr>
          <w:rFonts w:ascii="Abadi" w:eastAsia="Arial" w:hAnsi="Abadi" w:cstheme="minorHAnsi"/>
          <w:sz w:val="24"/>
          <w:szCs w:val="24"/>
        </w:rPr>
        <w:t xml:space="preserve">Section 39 of the Criminal Justice Act of 1988 states that assaulting someone is a summary offence for which you may receive a penalty or a six-month sentence of imprisonment if you are convicted. It is typical misconduct, and as of 2003, approximately 12,000 adults were identified as being liable for it. The actus reus is anything that makes the person in question "apprehend" that unlawful force will have to be used against him or </w:t>
      </w:r>
      <w:r w:rsidR="00C97D9C" w:rsidRPr="0047577F">
        <w:rPr>
          <w:rFonts w:ascii="Abadi" w:eastAsia="Arial" w:hAnsi="Abadi" w:cstheme="minorHAnsi"/>
          <w:sz w:val="24"/>
          <w:szCs w:val="24"/>
        </w:rPr>
        <w:t>her. Although</w:t>
      </w:r>
      <w:r w:rsidRPr="0047577F">
        <w:rPr>
          <w:rFonts w:ascii="Abadi" w:eastAsia="Arial" w:hAnsi="Abadi" w:cstheme="minorHAnsi"/>
          <w:sz w:val="24"/>
          <w:szCs w:val="24"/>
        </w:rPr>
        <w:t xml:space="preserve"> the courts have spoken regarding the perpetrator of the crime "apprehending" aggression, the term signifies "expect" or "anticipate" instead of "fear." </w:t>
      </w:r>
      <w:proofErr w:type="gramStart"/>
      <w:r w:rsidRPr="0047577F">
        <w:rPr>
          <w:rFonts w:ascii="Abadi" w:eastAsia="Arial" w:hAnsi="Abadi" w:cstheme="minorHAnsi"/>
          <w:sz w:val="24"/>
          <w:szCs w:val="24"/>
        </w:rPr>
        <w:t>So</w:t>
      </w:r>
      <w:proofErr w:type="gramEnd"/>
      <w:r w:rsidRPr="0047577F">
        <w:rPr>
          <w:rFonts w:ascii="Abadi" w:eastAsia="Arial" w:hAnsi="Abadi" w:cstheme="minorHAnsi"/>
          <w:sz w:val="24"/>
          <w:szCs w:val="24"/>
        </w:rPr>
        <w:t xml:space="preserve"> individuals are unlikely to be scared if they've got adequate cause to believe aggression might be employed against them as well. (Taylor,2018pg 151)</w:t>
      </w:r>
    </w:p>
    <w:p w14:paraId="56527BD7" w14:textId="4B329FFE" w:rsidR="005573A5" w:rsidRDefault="005573A5" w:rsidP="54DBFBAC">
      <w:pPr>
        <w:jc w:val="both"/>
        <w:rPr>
          <w:rFonts w:ascii="Abadi" w:eastAsia="Arial" w:hAnsi="Abadi" w:cstheme="minorHAnsi"/>
          <w:sz w:val="24"/>
          <w:szCs w:val="24"/>
        </w:rPr>
      </w:pPr>
      <w:r>
        <w:rPr>
          <w:rFonts w:ascii="Abadi" w:eastAsia="Arial" w:hAnsi="Abadi" w:cstheme="minorHAnsi"/>
          <w:sz w:val="24"/>
          <w:szCs w:val="24"/>
        </w:rPr>
        <w:t xml:space="preserve">The presumption of innocence </w:t>
      </w:r>
    </w:p>
    <w:p w14:paraId="49C4C264" w14:textId="7C56A91E" w:rsidR="005573A5" w:rsidRDefault="005573A5" w:rsidP="54DBFBAC">
      <w:pPr>
        <w:jc w:val="both"/>
        <w:rPr>
          <w:rFonts w:ascii="Abadi" w:eastAsia="Arial" w:hAnsi="Abadi" w:cstheme="minorHAnsi"/>
          <w:sz w:val="24"/>
          <w:szCs w:val="24"/>
        </w:rPr>
      </w:pPr>
      <w:r>
        <w:rPr>
          <w:rFonts w:ascii="Abadi" w:eastAsia="Arial" w:hAnsi="Abadi" w:cstheme="minorHAnsi"/>
          <w:sz w:val="24"/>
          <w:szCs w:val="24"/>
        </w:rPr>
        <w:t>The principles of legality and correspondence focus on how offences are defined.</w:t>
      </w:r>
      <w:r w:rsidR="00DB4CBF">
        <w:rPr>
          <w:rFonts w:ascii="Abadi" w:eastAsia="Arial" w:hAnsi="Abadi" w:cstheme="minorHAnsi"/>
          <w:sz w:val="24"/>
          <w:szCs w:val="24"/>
        </w:rPr>
        <w:t xml:space="preserve"> </w:t>
      </w:r>
      <w:proofErr w:type="gramStart"/>
      <w:r>
        <w:rPr>
          <w:rFonts w:ascii="Abadi" w:eastAsia="Arial" w:hAnsi="Abadi" w:cstheme="minorHAnsi"/>
          <w:sz w:val="24"/>
          <w:szCs w:val="24"/>
        </w:rPr>
        <w:t>Once</w:t>
      </w:r>
      <w:proofErr w:type="gramEnd"/>
      <w:r>
        <w:rPr>
          <w:rFonts w:ascii="Abadi" w:eastAsia="Arial" w:hAnsi="Abadi" w:cstheme="minorHAnsi"/>
          <w:sz w:val="24"/>
          <w:szCs w:val="24"/>
        </w:rPr>
        <w:t xml:space="preserve"> an offence has been established the next question will arise:</w:t>
      </w:r>
      <w:r w:rsidR="00DB4CBF">
        <w:rPr>
          <w:rFonts w:ascii="Abadi" w:eastAsia="Arial" w:hAnsi="Abadi" w:cstheme="minorHAnsi"/>
          <w:sz w:val="24"/>
          <w:szCs w:val="24"/>
        </w:rPr>
        <w:t xml:space="preserve"> </w:t>
      </w:r>
      <w:r>
        <w:rPr>
          <w:rFonts w:ascii="Abadi" w:eastAsia="Arial" w:hAnsi="Abadi" w:cstheme="minorHAnsi"/>
          <w:sz w:val="24"/>
          <w:szCs w:val="24"/>
        </w:rPr>
        <w:t xml:space="preserve">who should be responsible </w:t>
      </w:r>
      <w:r w:rsidR="00DB4CBF">
        <w:rPr>
          <w:rFonts w:ascii="Abadi" w:eastAsia="Arial" w:hAnsi="Abadi" w:cstheme="minorHAnsi"/>
          <w:sz w:val="24"/>
          <w:szCs w:val="24"/>
        </w:rPr>
        <w:t>for</w:t>
      </w:r>
      <w:r>
        <w:rPr>
          <w:rFonts w:ascii="Abadi" w:eastAsia="Arial" w:hAnsi="Abadi" w:cstheme="minorHAnsi"/>
          <w:sz w:val="24"/>
          <w:szCs w:val="24"/>
        </w:rPr>
        <w:t xml:space="preserve"> proving each element of the offence? The presumption of innocence is reflected in Article 6(2) of the European Convention on Human Rights.</w:t>
      </w:r>
      <w:r w:rsidR="00DB4CBF">
        <w:rPr>
          <w:rFonts w:ascii="Abadi" w:eastAsia="Arial" w:hAnsi="Abadi" w:cstheme="minorHAnsi"/>
          <w:sz w:val="24"/>
          <w:szCs w:val="24"/>
        </w:rPr>
        <w:t xml:space="preserve"> </w:t>
      </w:r>
      <w:r>
        <w:rPr>
          <w:rFonts w:ascii="Abadi" w:eastAsia="Arial" w:hAnsi="Abadi" w:cstheme="minorHAnsi"/>
          <w:sz w:val="24"/>
          <w:szCs w:val="24"/>
        </w:rPr>
        <w:t xml:space="preserve">However the European Court has accepted that states may reverse the burden of proof -as long as these reverse burden provisions are kept “within reasonable limits” and “take into consideration of what is at stake and maintain the rights of the defence </w:t>
      </w:r>
      <w:proofErr w:type="gramStart"/>
      <w:r>
        <w:rPr>
          <w:rFonts w:ascii="Abadi" w:eastAsia="Arial" w:hAnsi="Abadi" w:cstheme="minorHAnsi"/>
          <w:sz w:val="24"/>
          <w:szCs w:val="24"/>
        </w:rPr>
        <w:t>“.(</w:t>
      </w:r>
      <w:proofErr w:type="gramEnd"/>
      <w:r>
        <w:rPr>
          <w:rFonts w:ascii="Abadi" w:eastAsia="Arial" w:hAnsi="Abadi" w:cstheme="minorHAnsi"/>
          <w:sz w:val="24"/>
          <w:szCs w:val="24"/>
        </w:rPr>
        <w:t xml:space="preserve"> Macdonald,2018,</w:t>
      </w:r>
      <w:r w:rsidR="00DB4CBF">
        <w:rPr>
          <w:rFonts w:ascii="Abadi" w:eastAsia="Arial" w:hAnsi="Abadi" w:cstheme="minorHAnsi"/>
          <w:sz w:val="24"/>
          <w:szCs w:val="24"/>
        </w:rPr>
        <w:t xml:space="preserve"> </w:t>
      </w:r>
      <w:proofErr w:type="spellStart"/>
      <w:r>
        <w:rPr>
          <w:rFonts w:ascii="Abadi" w:eastAsia="Arial" w:hAnsi="Abadi" w:cstheme="minorHAnsi"/>
          <w:sz w:val="24"/>
          <w:szCs w:val="24"/>
        </w:rPr>
        <w:t>pg</w:t>
      </w:r>
      <w:proofErr w:type="spellEnd"/>
      <w:r>
        <w:rPr>
          <w:rFonts w:ascii="Abadi" w:eastAsia="Arial" w:hAnsi="Abadi" w:cstheme="minorHAnsi"/>
          <w:sz w:val="24"/>
          <w:szCs w:val="24"/>
        </w:rPr>
        <w:t xml:space="preserve"> 22-23)</w:t>
      </w:r>
    </w:p>
    <w:p w14:paraId="19DCB176" w14:textId="77777777" w:rsidR="005573A5" w:rsidRPr="00066725" w:rsidRDefault="005573A5" w:rsidP="54DBFBAC">
      <w:pPr>
        <w:jc w:val="both"/>
        <w:rPr>
          <w:rFonts w:ascii="Abadi" w:eastAsia="Arial" w:hAnsi="Abadi" w:cstheme="minorHAnsi"/>
          <w:sz w:val="24"/>
          <w:szCs w:val="24"/>
        </w:rPr>
      </w:pPr>
    </w:p>
    <w:p w14:paraId="0AA03E81" w14:textId="5B6C0979" w:rsidR="709EA18A" w:rsidRPr="00066725" w:rsidRDefault="709EA18A" w:rsidP="54DBFBAC">
      <w:pPr>
        <w:jc w:val="both"/>
        <w:rPr>
          <w:rFonts w:ascii="Abadi" w:hAnsi="Abadi" w:cstheme="minorHAnsi"/>
          <w:sz w:val="24"/>
          <w:szCs w:val="24"/>
        </w:rPr>
      </w:pPr>
      <w:r w:rsidRPr="00066725">
        <w:rPr>
          <w:rFonts w:ascii="Abadi" w:eastAsia="Arial" w:hAnsi="Abadi" w:cstheme="minorHAnsi"/>
          <w:sz w:val="24"/>
          <w:szCs w:val="24"/>
        </w:rPr>
        <w:t xml:space="preserve"> </w:t>
      </w:r>
    </w:p>
    <w:p w14:paraId="71F8007B" w14:textId="6F381B27" w:rsidR="709EA18A" w:rsidRPr="00066725" w:rsidRDefault="709EA18A" w:rsidP="54DBFBAC">
      <w:pPr>
        <w:jc w:val="both"/>
        <w:rPr>
          <w:rFonts w:ascii="Abadi" w:hAnsi="Abadi" w:cstheme="minorHAnsi"/>
          <w:sz w:val="24"/>
          <w:szCs w:val="24"/>
        </w:rPr>
      </w:pPr>
      <w:r w:rsidRPr="00066725">
        <w:rPr>
          <w:rFonts w:ascii="Abadi" w:eastAsia="Arial" w:hAnsi="Abadi" w:cstheme="minorHAnsi"/>
          <w:sz w:val="24"/>
          <w:szCs w:val="24"/>
        </w:rPr>
        <w:t xml:space="preserve"> </w:t>
      </w:r>
    </w:p>
    <w:p w14:paraId="24FE4CF7" w14:textId="5E261C89" w:rsidR="709EA18A" w:rsidRPr="00066725" w:rsidRDefault="709EA18A" w:rsidP="54DBFBAC">
      <w:pPr>
        <w:jc w:val="both"/>
        <w:rPr>
          <w:rFonts w:ascii="Abadi" w:hAnsi="Abadi" w:cstheme="minorHAnsi"/>
          <w:sz w:val="24"/>
          <w:szCs w:val="24"/>
        </w:rPr>
      </w:pPr>
      <w:r w:rsidRPr="00066725">
        <w:rPr>
          <w:rFonts w:ascii="Abadi" w:eastAsia="Arial" w:hAnsi="Abadi" w:cstheme="minorHAnsi"/>
          <w:sz w:val="24"/>
          <w:szCs w:val="24"/>
        </w:rPr>
        <w:t xml:space="preserve"> </w:t>
      </w:r>
    </w:p>
    <w:p w14:paraId="07CB66FB" w14:textId="7315AA02" w:rsidR="709EA18A" w:rsidRPr="00066725" w:rsidRDefault="709EA18A" w:rsidP="54DBFBAC">
      <w:pPr>
        <w:jc w:val="both"/>
        <w:rPr>
          <w:rFonts w:ascii="Abadi" w:hAnsi="Abadi" w:cstheme="minorHAnsi"/>
          <w:sz w:val="24"/>
          <w:szCs w:val="24"/>
        </w:rPr>
      </w:pPr>
      <w:r w:rsidRPr="00066725">
        <w:rPr>
          <w:rFonts w:ascii="Abadi" w:hAnsi="Abadi" w:cstheme="minorHAnsi"/>
          <w:sz w:val="24"/>
          <w:szCs w:val="24"/>
        </w:rPr>
        <w:br/>
      </w:r>
    </w:p>
    <w:p w14:paraId="2BF1BE92" w14:textId="61492188" w:rsidR="54DBFBAC" w:rsidRPr="00066725" w:rsidRDefault="54DBFBAC" w:rsidP="54DBFBAC">
      <w:pPr>
        <w:jc w:val="both"/>
        <w:rPr>
          <w:rFonts w:ascii="Abadi" w:eastAsia="Arial" w:hAnsi="Abadi" w:cs="Arial"/>
          <w:sz w:val="32"/>
          <w:szCs w:val="32"/>
        </w:rPr>
      </w:pPr>
    </w:p>
    <w:p w14:paraId="66A7D093" w14:textId="3B5EE322" w:rsidR="54DBFBAC" w:rsidRDefault="54DBFBAC" w:rsidP="54DBFBAC">
      <w:pPr>
        <w:jc w:val="both"/>
      </w:pPr>
    </w:p>
    <w:p w14:paraId="02A28029" w14:textId="79E64171" w:rsidR="54DBFBAC" w:rsidRDefault="54DBFBAC" w:rsidP="54DBFBAC">
      <w:pPr>
        <w:jc w:val="both"/>
      </w:pPr>
    </w:p>
    <w:p w14:paraId="3F4AE2BB" w14:textId="77777777" w:rsidR="007A3D42" w:rsidRDefault="007A3D42" w:rsidP="54DBFBAC"/>
    <w:p w14:paraId="24B71C1A" w14:textId="77777777" w:rsidR="007A3D42" w:rsidRDefault="007A3D42" w:rsidP="54DBFBAC"/>
    <w:p w14:paraId="4FED4FBF" w14:textId="77777777" w:rsidR="007A3D42" w:rsidRDefault="007A3D42" w:rsidP="54DBFBAC"/>
    <w:p w14:paraId="0A8E1309" w14:textId="77777777" w:rsidR="007A3D42" w:rsidRDefault="007A3D42" w:rsidP="54DBFBAC"/>
    <w:p w14:paraId="5DC84D44" w14:textId="77777777" w:rsidR="007A3D42" w:rsidRDefault="007A3D42" w:rsidP="54DBFBAC"/>
    <w:p w14:paraId="62C65BF1" w14:textId="077CE776" w:rsidR="54DBFBAC" w:rsidRDefault="00225CF7" w:rsidP="54DBFBAC">
      <w:r>
        <w:t>REFERENCES</w:t>
      </w:r>
    </w:p>
    <w:p w14:paraId="6115283C" w14:textId="359515FA" w:rsidR="00225CF7" w:rsidRDefault="00225CF7" w:rsidP="54DBFBAC">
      <w:pPr>
        <w:rPr>
          <w:rFonts w:ascii="Calibri" w:hAnsi="Calibri" w:cs="Calibri"/>
          <w:color w:val="2C3E50"/>
          <w:sz w:val="28"/>
          <w:szCs w:val="28"/>
          <w:shd w:val="clear" w:color="auto" w:fill="FEF1C4"/>
        </w:rPr>
      </w:pPr>
      <w:r w:rsidRPr="00225CF7">
        <w:rPr>
          <w:rFonts w:ascii="Calibri" w:hAnsi="Calibri" w:cs="Calibri"/>
          <w:color w:val="2C3E50"/>
          <w:sz w:val="28"/>
          <w:szCs w:val="28"/>
          <w:shd w:val="clear" w:color="auto" w:fill="FEF1C4"/>
        </w:rPr>
        <w:t>Taylor, L., Elliott, C. and Quinn, F. (2018). </w:t>
      </w:r>
      <w:r w:rsidRPr="00225CF7">
        <w:rPr>
          <w:rFonts w:ascii="Calibri" w:hAnsi="Calibri" w:cs="Calibri"/>
          <w:i/>
          <w:iCs/>
          <w:color w:val="2C3E50"/>
          <w:sz w:val="28"/>
          <w:szCs w:val="28"/>
          <w:shd w:val="clear" w:color="auto" w:fill="FEF1C4"/>
        </w:rPr>
        <w:t>Elliott and Quinn’s criminal law</w:t>
      </w:r>
      <w:r w:rsidRPr="00225CF7">
        <w:rPr>
          <w:rFonts w:ascii="Calibri" w:hAnsi="Calibri" w:cs="Calibri"/>
          <w:color w:val="2C3E50"/>
          <w:sz w:val="28"/>
          <w:szCs w:val="28"/>
          <w:shd w:val="clear" w:color="auto" w:fill="FEF1C4"/>
        </w:rPr>
        <w:t>. Harlow, England; New York: Pearson.</w:t>
      </w:r>
    </w:p>
    <w:p w14:paraId="586DE200" w14:textId="456CA014" w:rsidR="00AA7F3F" w:rsidRDefault="00AA7F3F" w:rsidP="54DBFBAC">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Finch, E. (2021). </w:t>
      </w:r>
      <w:r>
        <w:rPr>
          <w:rFonts w:ascii="Calibri" w:hAnsi="Calibri" w:cs="Calibri"/>
          <w:i/>
          <w:iCs/>
          <w:color w:val="2C3E50"/>
          <w:sz w:val="27"/>
          <w:szCs w:val="27"/>
          <w:shd w:val="clear" w:color="auto" w:fill="FEF1C4"/>
        </w:rPr>
        <w:t>Criminal Law</w:t>
      </w:r>
      <w:r>
        <w:rPr>
          <w:rFonts w:ascii="Calibri" w:hAnsi="Calibri" w:cs="Calibri"/>
          <w:color w:val="2C3E50"/>
          <w:sz w:val="27"/>
          <w:szCs w:val="27"/>
          <w:shd w:val="clear" w:color="auto" w:fill="FEF1C4"/>
        </w:rPr>
        <w:t>.</w:t>
      </w:r>
    </w:p>
    <w:p w14:paraId="7345F595" w14:textId="47927524" w:rsidR="005573A5" w:rsidRDefault="005573A5" w:rsidP="54DBFBAC">
      <w:pPr>
        <w:rPr>
          <w:rFonts w:ascii="Calibri" w:hAnsi="Calibri" w:cs="Calibri"/>
          <w:color w:val="2C3E50"/>
          <w:sz w:val="28"/>
          <w:szCs w:val="28"/>
          <w:shd w:val="clear" w:color="auto" w:fill="FEF1C4"/>
        </w:rPr>
      </w:pPr>
      <w:r>
        <w:rPr>
          <w:rFonts w:ascii="Calibri" w:hAnsi="Calibri" w:cs="Calibri"/>
          <w:color w:val="2C3E50"/>
          <w:sz w:val="27"/>
          <w:szCs w:val="27"/>
          <w:shd w:val="clear" w:color="auto" w:fill="FEF1C4"/>
        </w:rPr>
        <w:t>Macdonald, S. (2018). </w:t>
      </w:r>
      <w:r>
        <w:rPr>
          <w:rFonts w:ascii="Calibri" w:hAnsi="Calibri" w:cs="Calibri"/>
          <w:i/>
          <w:iCs/>
          <w:color w:val="2C3E50"/>
          <w:sz w:val="27"/>
          <w:szCs w:val="27"/>
          <w:shd w:val="clear" w:color="auto" w:fill="FEF1C4"/>
        </w:rPr>
        <w:t>Text, Cases and Materials on Criminal Law</w:t>
      </w:r>
      <w:r>
        <w:rPr>
          <w:rFonts w:ascii="Calibri" w:hAnsi="Calibri" w:cs="Calibri"/>
          <w:color w:val="2C3E50"/>
          <w:sz w:val="27"/>
          <w:szCs w:val="27"/>
          <w:shd w:val="clear" w:color="auto" w:fill="FEF1C4"/>
        </w:rPr>
        <w:t>. Harlow, United Kingdom: Pearson Education Limited.</w:t>
      </w:r>
    </w:p>
    <w:p w14:paraId="5424F09E" w14:textId="77777777" w:rsidR="00D96061" w:rsidRPr="00225CF7" w:rsidRDefault="00D96061" w:rsidP="54DBFBAC">
      <w:pPr>
        <w:rPr>
          <w:sz w:val="28"/>
          <w:szCs w:val="28"/>
        </w:rPr>
      </w:pPr>
    </w:p>
    <w:sectPr w:rsidR="00D96061" w:rsidRPr="00225CF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Abadi">
    <w:charset w:val="00"/>
    <w:family w:val="swiss"/>
    <w:pitch w:val="variable"/>
    <w:sig w:usb0="8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p1WwHkeHYhjXs8" int2:id="wi20kYC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45F2"/>
    <w:multiLevelType w:val="hybridMultilevel"/>
    <w:tmpl w:val="4B5C7638"/>
    <w:lvl w:ilvl="0" w:tplc="E012A1B6">
      <w:start w:val="1"/>
      <w:numFmt w:val="bullet"/>
      <w:lvlText w:val=""/>
      <w:lvlJc w:val="left"/>
      <w:pPr>
        <w:ind w:left="720" w:hanging="360"/>
      </w:pPr>
      <w:rPr>
        <w:rFonts w:ascii="Symbol" w:hAnsi="Symbol" w:hint="default"/>
      </w:rPr>
    </w:lvl>
    <w:lvl w:ilvl="1" w:tplc="5014858A">
      <w:start w:val="1"/>
      <w:numFmt w:val="bullet"/>
      <w:lvlText w:val="o"/>
      <w:lvlJc w:val="left"/>
      <w:pPr>
        <w:ind w:left="1440" w:hanging="360"/>
      </w:pPr>
      <w:rPr>
        <w:rFonts w:ascii="Courier New" w:hAnsi="Courier New" w:hint="default"/>
      </w:rPr>
    </w:lvl>
    <w:lvl w:ilvl="2" w:tplc="99364F22">
      <w:start w:val="1"/>
      <w:numFmt w:val="bullet"/>
      <w:lvlText w:val=""/>
      <w:lvlJc w:val="left"/>
      <w:pPr>
        <w:ind w:left="2160" w:hanging="360"/>
      </w:pPr>
      <w:rPr>
        <w:rFonts w:ascii="Wingdings" w:hAnsi="Wingdings" w:hint="default"/>
      </w:rPr>
    </w:lvl>
    <w:lvl w:ilvl="3" w:tplc="56C09486">
      <w:start w:val="1"/>
      <w:numFmt w:val="bullet"/>
      <w:lvlText w:val=""/>
      <w:lvlJc w:val="left"/>
      <w:pPr>
        <w:ind w:left="2880" w:hanging="360"/>
      </w:pPr>
      <w:rPr>
        <w:rFonts w:ascii="Symbol" w:hAnsi="Symbol" w:hint="default"/>
      </w:rPr>
    </w:lvl>
    <w:lvl w:ilvl="4" w:tplc="7AA80E16">
      <w:start w:val="1"/>
      <w:numFmt w:val="bullet"/>
      <w:lvlText w:val="o"/>
      <w:lvlJc w:val="left"/>
      <w:pPr>
        <w:ind w:left="3600" w:hanging="360"/>
      </w:pPr>
      <w:rPr>
        <w:rFonts w:ascii="Courier New" w:hAnsi="Courier New" w:hint="default"/>
      </w:rPr>
    </w:lvl>
    <w:lvl w:ilvl="5" w:tplc="9D58B6F4">
      <w:start w:val="1"/>
      <w:numFmt w:val="bullet"/>
      <w:lvlText w:val=""/>
      <w:lvlJc w:val="left"/>
      <w:pPr>
        <w:ind w:left="4320" w:hanging="360"/>
      </w:pPr>
      <w:rPr>
        <w:rFonts w:ascii="Wingdings" w:hAnsi="Wingdings" w:hint="default"/>
      </w:rPr>
    </w:lvl>
    <w:lvl w:ilvl="6" w:tplc="280484F0">
      <w:start w:val="1"/>
      <w:numFmt w:val="bullet"/>
      <w:lvlText w:val=""/>
      <w:lvlJc w:val="left"/>
      <w:pPr>
        <w:ind w:left="5040" w:hanging="360"/>
      </w:pPr>
      <w:rPr>
        <w:rFonts w:ascii="Symbol" w:hAnsi="Symbol" w:hint="default"/>
      </w:rPr>
    </w:lvl>
    <w:lvl w:ilvl="7" w:tplc="4B3218BA">
      <w:start w:val="1"/>
      <w:numFmt w:val="bullet"/>
      <w:lvlText w:val="o"/>
      <w:lvlJc w:val="left"/>
      <w:pPr>
        <w:ind w:left="5760" w:hanging="360"/>
      </w:pPr>
      <w:rPr>
        <w:rFonts w:ascii="Courier New" w:hAnsi="Courier New" w:hint="default"/>
      </w:rPr>
    </w:lvl>
    <w:lvl w:ilvl="8" w:tplc="099ADB26">
      <w:start w:val="1"/>
      <w:numFmt w:val="bullet"/>
      <w:lvlText w:val=""/>
      <w:lvlJc w:val="left"/>
      <w:pPr>
        <w:ind w:left="6480" w:hanging="360"/>
      </w:pPr>
      <w:rPr>
        <w:rFonts w:ascii="Wingdings" w:hAnsi="Wingdings" w:hint="default"/>
      </w:rPr>
    </w:lvl>
  </w:abstractNum>
  <w:abstractNum w:abstractNumId="1" w15:restartNumberingAfterBreak="0">
    <w:nsid w:val="2DAE5F1E"/>
    <w:multiLevelType w:val="hybridMultilevel"/>
    <w:tmpl w:val="D99CB2D0"/>
    <w:lvl w:ilvl="0" w:tplc="6C14CEDC">
      <w:start w:val="1"/>
      <w:numFmt w:val="bullet"/>
      <w:lvlText w:val=""/>
      <w:lvlJc w:val="left"/>
      <w:pPr>
        <w:ind w:left="720" w:hanging="360"/>
      </w:pPr>
      <w:rPr>
        <w:rFonts w:ascii="Symbol" w:hAnsi="Symbol" w:hint="default"/>
      </w:rPr>
    </w:lvl>
    <w:lvl w:ilvl="1" w:tplc="8A6252D6">
      <w:start w:val="1"/>
      <w:numFmt w:val="bullet"/>
      <w:lvlText w:val="o"/>
      <w:lvlJc w:val="left"/>
      <w:pPr>
        <w:ind w:left="1440" w:hanging="360"/>
      </w:pPr>
      <w:rPr>
        <w:rFonts w:ascii="Courier New" w:hAnsi="Courier New" w:hint="default"/>
      </w:rPr>
    </w:lvl>
    <w:lvl w:ilvl="2" w:tplc="4BC896FE">
      <w:start w:val="1"/>
      <w:numFmt w:val="bullet"/>
      <w:lvlText w:val=""/>
      <w:lvlJc w:val="left"/>
      <w:pPr>
        <w:ind w:left="2160" w:hanging="360"/>
      </w:pPr>
      <w:rPr>
        <w:rFonts w:ascii="Wingdings" w:hAnsi="Wingdings" w:hint="default"/>
      </w:rPr>
    </w:lvl>
    <w:lvl w:ilvl="3" w:tplc="0D8E8656">
      <w:start w:val="1"/>
      <w:numFmt w:val="bullet"/>
      <w:lvlText w:val=""/>
      <w:lvlJc w:val="left"/>
      <w:pPr>
        <w:ind w:left="2880" w:hanging="360"/>
      </w:pPr>
      <w:rPr>
        <w:rFonts w:ascii="Symbol" w:hAnsi="Symbol" w:hint="default"/>
      </w:rPr>
    </w:lvl>
    <w:lvl w:ilvl="4" w:tplc="3482A942">
      <w:start w:val="1"/>
      <w:numFmt w:val="bullet"/>
      <w:lvlText w:val="o"/>
      <w:lvlJc w:val="left"/>
      <w:pPr>
        <w:ind w:left="3600" w:hanging="360"/>
      </w:pPr>
      <w:rPr>
        <w:rFonts w:ascii="Courier New" w:hAnsi="Courier New" w:hint="default"/>
      </w:rPr>
    </w:lvl>
    <w:lvl w:ilvl="5" w:tplc="F86E297C">
      <w:start w:val="1"/>
      <w:numFmt w:val="bullet"/>
      <w:lvlText w:val=""/>
      <w:lvlJc w:val="left"/>
      <w:pPr>
        <w:ind w:left="4320" w:hanging="360"/>
      </w:pPr>
      <w:rPr>
        <w:rFonts w:ascii="Wingdings" w:hAnsi="Wingdings" w:hint="default"/>
      </w:rPr>
    </w:lvl>
    <w:lvl w:ilvl="6" w:tplc="031477CA">
      <w:start w:val="1"/>
      <w:numFmt w:val="bullet"/>
      <w:lvlText w:val=""/>
      <w:lvlJc w:val="left"/>
      <w:pPr>
        <w:ind w:left="5040" w:hanging="360"/>
      </w:pPr>
      <w:rPr>
        <w:rFonts w:ascii="Symbol" w:hAnsi="Symbol" w:hint="default"/>
      </w:rPr>
    </w:lvl>
    <w:lvl w:ilvl="7" w:tplc="12382B86">
      <w:start w:val="1"/>
      <w:numFmt w:val="bullet"/>
      <w:lvlText w:val="o"/>
      <w:lvlJc w:val="left"/>
      <w:pPr>
        <w:ind w:left="5760" w:hanging="360"/>
      </w:pPr>
      <w:rPr>
        <w:rFonts w:ascii="Courier New" w:hAnsi="Courier New" w:hint="default"/>
      </w:rPr>
    </w:lvl>
    <w:lvl w:ilvl="8" w:tplc="18AE5254">
      <w:start w:val="1"/>
      <w:numFmt w:val="bullet"/>
      <w:lvlText w:val=""/>
      <w:lvlJc w:val="left"/>
      <w:pPr>
        <w:ind w:left="6480" w:hanging="360"/>
      </w:pPr>
      <w:rPr>
        <w:rFonts w:ascii="Wingdings" w:hAnsi="Wingdings" w:hint="default"/>
      </w:rPr>
    </w:lvl>
  </w:abstractNum>
  <w:abstractNum w:abstractNumId="2" w15:restartNumberingAfterBreak="0">
    <w:nsid w:val="4E55A86F"/>
    <w:multiLevelType w:val="hybridMultilevel"/>
    <w:tmpl w:val="BF86FC7E"/>
    <w:lvl w:ilvl="0" w:tplc="19F4063A">
      <w:start w:val="1"/>
      <w:numFmt w:val="bullet"/>
      <w:lvlText w:val=""/>
      <w:lvlJc w:val="left"/>
      <w:pPr>
        <w:ind w:left="720" w:hanging="360"/>
      </w:pPr>
      <w:rPr>
        <w:rFonts w:ascii="Symbol" w:hAnsi="Symbol" w:hint="default"/>
      </w:rPr>
    </w:lvl>
    <w:lvl w:ilvl="1" w:tplc="4264835A">
      <w:start w:val="1"/>
      <w:numFmt w:val="bullet"/>
      <w:lvlText w:val="o"/>
      <w:lvlJc w:val="left"/>
      <w:pPr>
        <w:ind w:left="1440" w:hanging="360"/>
      </w:pPr>
      <w:rPr>
        <w:rFonts w:ascii="Courier New" w:hAnsi="Courier New" w:hint="default"/>
      </w:rPr>
    </w:lvl>
    <w:lvl w:ilvl="2" w:tplc="81262762">
      <w:start w:val="1"/>
      <w:numFmt w:val="bullet"/>
      <w:lvlText w:val=""/>
      <w:lvlJc w:val="left"/>
      <w:pPr>
        <w:ind w:left="2160" w:hanging="360"/>
      </w:pPr>
      <w:rPr>
        <w:rFonts w:ascii="Wingdings" w:hAnsi="Wingdings" w:hint="default"/>
      </w:rPr>
    </w:lvl>
    <w:lvl w:ilvl="3" w:tplc="21A4D4EE">
      <w:start w:val="1"/>
      <w:numFmt w:val="bullet"/>
      <w:lvlText w:val=""/>
      <w:lvlJc w:val="left"/>
      <w:pPr>
        <w:ind w:left="2880" w:hanging="360"/>
      </w:pPr>
      <w:rPr>
        <w:rFonts w:ascii="Symbol" w:hAnsi="Symbol" w:hint="default"/>
      </w:rPr>
    </w:lvl>
    <w:lvl w:ilvl="4" w:tplc="5E1CB78C">
      <w:start w:val="1"/>
      <w:numFmt w:val="bullet"/>
      <w:lvlText w:val="o"/>
      <w:lvlJc w:val="left"/>
      <w:pPr>
        <w:ind w:left="3600" w:hanging="360"/>
      </w:pPr>
      <w:rPr>
        <w:rFonts w:ascii="Courier New" w:hAnsi="Courier New" w:hint="default"/>
      </w:rPr>
    </w:lvl>
    <w:lvl w:ilvl="5" w:tplc="2A7A09F4">
      <w:start w:val="1"/>
      <w:numFmt w:val="bullet"/>
      <w:lvlText w:val=""/>
      <w:lvlJc w:val="left"/>
      <w:pPr>
        <w:ind w:left="4320" w:hanging="360"/>
      </w:pPr>
      <w:rPr>
        <w:rFonts w:ascii="Wingdings" w:hAnsi="Wingdings" w:hint="default"/>
      </w:rPr>
    </w:lvl>
    <w:lvl w:ilvl="6" w:tplc="53E4EB6A">
      <w:start w:val="1"/>
      <w:numFmt w:val="bullet"/>
      <w:lvlText w:val=""/>
      <w:lvlJc w:val="left"/>
      <w:pPr>
        <w:ind w:left="5040" w:hanging="360"/>
      </w:pPr>
      <w:rPr>
        <w:rFonts w:ascii="Symbol" w:hAnsi="Symbol" w:hint="default"/>
      </w:rPr>
    </w:lvl>
    <w:lvl w:ilvl="7" w:tplc="DBF4D4CA">
      <w:start w:val="1"/>
      <w:numFmt w:val="bullet"/>
      <w:lvlText w:val="o"/>
      <w:lvlJc w:val="left"/>
      <w:pPr>
        <w:ind w:left="5760" w:hanging="360"/>
      </w:pPr>
      <w:rPr>
        <w:rFonts w:ascii="Courier New" w:hAnsi="Courier New" w:hint="default"/>
      </w:rPr>
    </w:lvl>
    <w:lvl w:ilvl="8" w:tplc="E4D8B13A">
      <w:start w:val="1"/>
      <w:numFmt w:val="bullet"/>
      <w:lvlText w:val=""/>
      <w:lvlJc w:val="left"/>
      <w:pPr>
        <w:ind w:left="6480" w:hanging="360"/>
      </w:pPr>
      <w:rPr>
        <w:rFonts w:ascii="Wingdings" w:hAnsi="Wingdings" w:hint="default"/>
      </w:rPr>
    </w:lvl>
  </w:abstractNum>
  <w:num w:numId="1" w16cid:durableId="1953432799">
    <w:abstractNumId w:val="0"/>
  </w:num>
  <w:num w:numId="2" w16cid:durableId="649291127">
    <w:abstractNumId w:val="2"/>
  </w:num>
  <w:num w:numId="3" w16cid:durableId="2128237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17FE67"/>
    <w:rsid w:val="000063C1"/>
    <w:rsid w:val="00066725"/>
    <w:rsid w:val="0016077C"/>
    <w:rsid w:val="001851C4"/>
    <w:rsid w:val="00225CF7"/>
    <w:rsid w:val="0023064C"/>
    <w:rsid w:val="0047577F"/>
    <w:rsid w:val="005573A5"/>
    <w:rsid w:val="00647160"/>
    <w:rsid w:val="0067038D"/>
    <w:rsid w:val="00742AEB"/>
    <w:rsid w:val="007A3D42"/>
    <w:rsid w:val="00A43134"/>
    <w:rsid w:val="00AA7F3F"/>
    <w:rsid w:val="00B10FE7"/>
    <w:rsid w:val="00C97D9C"/>
    <w:rsid w:val="00CA1FD0"/>
    <w:rsid w:val="00D96061"/>
    <w:rsid w:val="00DA3B47"/>
    <w:rsid w:val="00DB4CBF"/>
    <w:rsid w:val="00E67990"/>
    <w:rsid w:val="00E91A4D"/>
    <w:rsid w:val="00EB0E2E"/>
    <w:rsid w:val="00F607EB"/>
    <w:rsid w:val="0165188A"/>
    <w:rsid w:val="020AB2E8"/>
    <w:rsid w:val="02258F9F"/>
    <w:rsid w:val="023DEDB3"/>
    <w:rsid w:val="028A238A"/>
    <w:rsid w:val="02CBE8B3"/>
    <w:rsid w:val="03676401"/>
    <w:rsid w:val="038D5AEC"/>
    <w:rsid w:val="03A68349"/>
    <w:rsid w:val="0467B914"/>
    <w:rsid w:val="0488D894"/>
    <w:rsid w:val="054253AA"/>
    <w:rsid w:val="060F57B9"/>
    <w:rsid w:val="063889AD"/>
    <w:rsid w:val="07DB18A4"/>
    <w:rsid w:val="08044155"/>
    <w:rsid w:val="0839BD4B"/>
    <w:rsid w:val="0860CC0F"/>
    <w:rsid w:val="09C0FD35"/>
    <w:rsid w:val="0A48FF98"/>
    <w:rsid w:val="0B16C985"/>
    <w:rsid w:val="0B2EADE7"/>
    <w:rsid w:val="0B6DFF05"/>
    <w:rsid w:val="0BE1298E"/>
    <w:rsid w:val="0BF285DF"/>
    <w:rsid w:val="0CE68DAE"/>
    <w:rsid w:val="0D9B8E24"/>
    <w:rsid w:val="0F1C70BB"/>
    <w:rsid w:val="10723525"/>
    <w:rsid w:val="109F18BF"/>
    <w:rsid w:val="1240FA13"/>
    <w:rsid w:val="16195330"/>
    <w:rsid w:val="16E30CFE"/>
    <w:rsid w:val="17C56249"/>
    <w:rsid w:val="18AA2AA4"/>
    <w:rsid w:val="1A17FE67"/>
    <w:rsid w:val="1B4CBF37"/>
    <w:rsid w:val="1C6F3A81"/>
    <w:rsid w:val="1CD58E59"/>
    <w:rsid w:val="1D95EF44"/>
    <w:rsid w:val="1E5900A6"/>
    <w:rsid w:val="22FF011D"/>
    <w:rsid w:val="2519CA3E"/>
    <w:rsid w:val="2533BFEF"/>
    <w:rsid w:val="27DB8613"/>
    <w:rsid w:val="29EA587A"/>
    <w:rsid w:val="29F1B242"/>
    <w:rsid w:val="2A59B356"/>
    <w:rsid w:val="2A93FE34"/>
    <w:rsid w:val="2B4FE1C2"/>
    <w:rsid w:val="2B9A5653"/>
    <w:rsid w:val="2D8991CC"/>
    <w:rsid w:val="2DD94DF8"/>
    <w:rsid w:val="2E430CE2"/>
    <w:rsid w:val="2EDF85F7"/>
    <w:rsid w:val="2F25622D"/>
    <w:rsid w:val="2F721A3E"/>
    <w:rsid w:val="2FC61E90"/>
    <w:rsid w:val="3011379A"/>
    <w:rsid w:val="304A50B2"/>
    <w:rsid w:val="325D02EF"/>
    <w:rsid w:val="32ACBF1B"/>
    <w:rsid w:val="33CF3A65"/>
    <w:rsid w:val="33F8D350"/>
    <w:rsid w:val="340CB408"/>
    <w:rsid w:val="356D78F9"/>
    <w:rsid w:val="35EDE3E7"/>
    <w:rsid w:val="3798C296"/>
    <w:rsid w:val="38CC4473"/>
    <w:rsid w:val="392CDFEF"/>
    <w:rsid w:val="39429657"/>
    <w:rsid w:val="3985BF89"/>
    <w:rsid w:val="39B8FA54"/>
    <w:rsid w:val="3A6718B5"/>
    <w:rsid w:val="3D68BD32"/>
    <w:rsid w:val="3E429900"/>
    <w:rsid w:val="3E755202"/>
    <w:rsid w:val="4005AFFF"/>
    <w:rsid w:val="40283BD8"/>
    <w:rsid w:val="4093DC6A"/>
    <w:rsid w:val="41005912"/>
    <w:rsid w:val="41191DF9"/>
    <w:rsid w:val="41C40C39"/>
    <w:rsid w:val="42A9BA88"/>
    <w:rsid w:val="4366E9AC"/>
    <w:rsid w:val="438B4685"/>
    <w:rsid w:val="44FBACFB"/>
    <w:rsid w:val="45394DDC"/>
    <w:rsid w:val="4550022E"/>
    <w:rsid w:val="456DE550"/>
    <w:rsid w:val="4591C757"/>
    <w:rsid w:val="4991AE1D"/>
    <w:rsid w:val="49BD18C2"/>
    <w:rsid w:val="49CF1E1E"/>
    <w:rsid w:val="49EA0BE8"/>
    <w:rsid w:val="4B1C1803"/>
    <w:rsid w:val="4CF30FFE"/>
    <w:rsid w:val="4D06BEE0"/>
    <w:rsid w:val="4EA454AE"/>
    <w:rsid w:val="4EB7A184"/>
    <w:rsid w:val="4F833ACA"/>
    <w:rsid w:val="5127D5B6"/>
    <w:rsid w:val="54A2ED57"/>
    <w:rsid w:val="54DBFBAC"/>
    <w:rsid w:val="54FFB57A"/>
    <w:rsid w:val="55901A60"/>
    <w:rsid w:val="569B714E"/>
    <w:rsid w:val="5731D7CE"/>
    <w:rsid w:val="58464FFD"/>
    <w:rsid w:val="58A9DF5F"/>
    <w:rsid w:val="590BAE09"/>
    <w:rsid w:val="5910F4B3"/>
    <w:rsid w:val="5A1D214D"/>
    <w:rsid w:val="5B122EDB"/>
    <w:rsid w:val="5C489575"/>
    <w:rsid w:val="5E84EC5B"/>
    <w:rsid w:val="5F803637"/>
    <w:rsid w:val="606EB280"/>
    <w:rsid w:val="611C0698"/>
    <w:rsid w:val="61B8CCC3"/>
    <w:rsid w:val="631C3445"/>
    <w:rsid w:val="639630A3"/>
    <w:rsid w:val="63A0F023"/>
    <w:rsid w:val="6407B764"/>
    <w:rsid w:val="6481AC8E"/>
    <w:rsid w:val="64F42DDF"/>
    <w:rsid w:val="6561CA51"/>
    <w:rsid w:val="6581E214"/>
    <w:rsid w:val="679E5F86"/>
    <w:rsid w:val="686A3BEA"/>
    <w:rsid w:val="68889F7F"/>
    <w:rsid w:val="688BFB5B"/>
    <w:rsid w:val="693B1BC7"/>
    <w:rsid w:val="69FC6C69"/>
    <w:rsid w:val="6B3ED51C"/>
    <w:rsid w:val="6C66A6C5"/>
    <w:rsid w:val="6D28D8AF"/>
    <w:rsid w:val="6DE253C5"/>
    <w:rsid w:val="6EA58C66"/>
    <w:rsid w:val="6EDBC357"/>
    <w:rsid w:val="6EFB3CDF"/>
    <w:rsid w:val="6F3A8DFD"/>
    <w:rsid w:val="6F7E2426"/>
    <w:rsid w:val="6FE150D0"/>
    <w:rsid w:val="709EA18A"/>
    <w:rsid w:val="71A500F0"/>
    <w:rsid w:val="72D5E849"/>
    <w:rsid w:val="7387722A"/>
    <w:rsid w:val="73CEAE02"/>
    <w:rsid w:val="7547932D"/>
    <w:rsid w:val="763DA7C7"/>
    <w:rsid w:val="7688362A"/>
    <w:rsid w:val="76BFB55F"/>
    <w:rsid w:val="77116C2A"/>
    <w:rsid w:val="792ECD29"/>
    <w:rsid w:val="795A06A4"/>
    <w:rsid w:val="7992DDB1"/>
    <w:rsid w:val="7B315530"/>
    <w:rsid w:val="7B9B7163"/>
    <w:rsid w:val="7C839B6B"/>
    <w:rsid w:val="7DB6B266"/>
    <w:rsid w:val="7E2D77C7"/>
    <w:rsid w:val="7E70A5AD"/>
    <w:rsid w:val="7F4C3AAE"/>
    <w:rsid w:val="7F5282C7"/>
    <w:rsid w:val="7FB46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FE67"/>
  <w15:chartTrackingRefBased/>
  <w15:docId w15:val="{273ED068-1CF5-4EC1-B6E0-997F0268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1250</Words>
  <Characters>6314</Characters>
  <Application>Microsoft Office Word</Application>
  <DocSecurity>0</DocSecurity>
  <Lines>191</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Marcu (2211972)</dc:creator>
  <cp:keywords/>
  <dc:description/>
  <cp:lastModifiedBy>Mariana Valentina Marcu</cp:lastModifiedBy>
  <cp:revision>2</cp:revision>
  <dcterms:created xsi:type="dcterms:W3CDTF">2023-04-24T08:32:00Z</dcterms:created>
  <dcterms:modified xsi:type="dcterms:W3CDTF">2023-04-24T08:32:00Z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5edb3a5c8344ffcd4f6a3ab5b4d965fa98480abef43f0e0e4b1b00ae16d9a111</vt:lpwstr>
  </property>
</Properties>
</file>