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08677F" w14:textId="77777777" w:rsidR="000C298B" w:rsidRPr="000C298B" w:rsidRDefault="000C298B" w:rsidP="000C298B">
      <w:pPr>
        <w:jc w:val="center"/>
        <w:rPr>
          <w:b/>
          <w:bCs/>
          <w:sz w:val="40"/>
          <w:szCs w:val="32"/>
        </w:rPr>
      </w:pPr>
      <w:r w:rsidRPr="000C298B">
        <w:rPr>
          <w:b/>
          <w:bCs/>
          <w:sz w:val="40"/>
          <w:szCs w:val="32"/>
        </w:rPr>
        <w:t>Module Title: Managing People</w:t>
      </w:r>
    </w:p>
    <w:p w14:paraId="37E03E2F" w14:textId="6869C550" w:rsidR="000C298B" w:rsidRPr="000C298B" w:rsidRDefault="000C298B" w:rsidP="000C298B">
      <w:pPr>
        <w:jc w:val="center"/>
        <w:rPr>
          <w:b/>
          <w:bCs/>
          <w:sz w:val="40"/>
          <w:szCs w:val="32"/>
        </w:rPr>
      </w:pPr>
      <w:r w:rsidRPr="000C298B">
        <w:rPr>
          <w:b/>
          <w:bCs/>
          <w:sz w:val="40"/>
          <w:szCs w:val="32"/>
        </w:rPr>
        <w:t>Module Code: LCBB5004</w:t>
      </w:r>
    </w:p>
    <w:p w14:paraId="3CC385CC" w14:textId="7CECBA13" w:rsidR="000C298B" w:rsidRPr="000C298B" w:rsidRDefault="000C298B" w:rsidP="000C298B">
      <w:pPr>
        <w:jc w:val="center"/>
        <w:rPr>
          <w:b/>
          <w:bCs/>
          <w:sz w:val="40"/>
          <w:szCs w:val="32"/>
        </w:rPr>
      </w:pPr>
      <w:r w:rsidRPr="000C298B">
        <w:rPr>
          <w:b/>
          <w:bCs/>
          <w:sz w:val="40"/>
          <w:szCs w:val="32"/>
        </w:rPr>
        <w:t>Assignment Title: Assessment 1</w:t>
      </w:r>
    </w:p>
    <w:p w14:paraId="20AB572D" w14:textId="1939D64B" w:rsidR="000C298B" w:rsidRPr="000C298B" w:rsidRDefault="000C298B" w:rsidP="000C298B">
      <w:pPr>
        <w:jc w:val="center"/>
        <w:rPr>
          <w:b/>
          <w:bCs/>
          <w:sz w:val="40"/>
          <w:szCs w:val="32"/>
        </w:rPr>
      </w:pPr>
      <w:r w:rsidRPr="000C298B">
        <w:rPr>
          <w:b/>
          <w:bCs/>
          <w:sz w:val="40"/>
          <w:szCs w:val="32"/>
        </w:rPr>
        <w:t xml:space="preserve">Student Name: </w:t>
      </w:r>
      <w:r w:rsidR="00E41153">
        <w:rPr>
          <w:b/>
          <w:bCs/>
          <w:sz w:val="40"/>
          <w:szCs w:val="32"/>
        </w:rPr>
        <w:t>Alui-Gheorghe Constantin</w:t>
      </w:r>
    </w:p>
    <w:p w14:paraId="53E255D5" w14:textId="27DEB234" w:rsidR="000C298B" w:rsidRPr="000C298B" w:rsidRDefault="000C298B" w:rsidP="000C298B">
      <w:pPr>
        <w:jc w:val="center"/>
        <w:rPr>
          <w:b/>
          <w:bCs/>
          <w:sz w:val="40"/>
          <w:szCs w:val="32"/>
        </w:rPr>
      </w:pPr>
      <w:r w:rsidRPr="000C298B">
        <w:rPr>
          <w:b/>
          <w:bCs/>
          <w:sz w:val="40"/>
          <w:szCs w:val="32"/>
        </w:rPr>
        <w:t>Student ID:</w:t>
      </w:r>
      <w:r w:rsidR="00E41153">
        <w:rPr>
          <w:b/>
          <w:bCs/>
          <w:sz w:val="40"/>
          <w:szCs w:val="32"/>
        </w:rPr>
        <w:t xml:space="preserve"> 2022647</w:t>
      </w:r>
    </w:p>
    <w:p w14:paraId="59926898" w14:textId="77777777" w:rsidR="000C298B" w:rsidRDefault="000C298B"/>
    <w:p w14:paraId="0705EEE7" w14:textId="6E94B28B" w:rsidR="000C298B" w:rsidRDefault="000C298B">
      <w:r>
        <w:br w:type="page"/>
      </w:r>
    </w:p>
    <w:sdt>
      <w:sdtPr>
        <w:rPr>
          <w:rFonts w:ascii="Times New Roman" w:eastAsiaTheme="minorHAnsi" w:hAnsi="Times New Roman" w:cstheme="minorBidi"/>
          <w:color w:val="auto"/>
          <w:sz w:val="24"/>
          <w:szCs w:val="20"/>
        </w:rPr>
        <w:id w:val="-772474616"/>
        <w:docPartObj>
          <w:docPartGallery w:val="Table of Contents"/>
          <w:docPartUnique/>
        </w:docPartObj>
      </w:sdtPr>
      <w:sdtEndPr>
        <w:rPr>
          <w:b/>
          <w:bCs/>
          <w:noProof/>
        </w:rPr>
      </w:sdtEndPr>
      <w:sdtContent>
        <w:p w14:paraId="7A0DA154" w14:textId="11517BCF" w:rsidR="005E2A65" w:rsidRPr="005E2A65" w:rsidRDefault="005E2A65" w:rsidP="00BB6E7A">
          <w:pPr>
            <w:pStyle w:val="TOCHeading"/>
            <w:spacing w:before="0" w:after="160" w:line="360" w:lineRule="auto"/>
          </w:pPr>
          <w:r w:rsidRPr="00BB6E7A">
            <w:rPr>
              <w:rFonts w:ascii="Times New Roman" w:hAnsi="Times New Roman" w:cs="Times New Roman"/>
              <w:b/>
              <w:bCs/>
              <w:color w:val="auto"/>
            </w:rPr>
            <w:t>Table of Contents</w:t>
          </w:r>
        </w:p>
        <w:p w14:paraId="0C51B5E5" w14:textId="475B68E4" w:rsidR="00755B04" w:rsidRDefault="005E2A65">
          <w:pPr>
            <w:pStyle w:val="TOC1"/>
            <w:tabs>
              <w:tab w:val="right" w:leader="dot" w:pos="9350"/>
            </w:tabs>
            <w:rPr>
              <w:rFonts w:asciiTheme="minorHAnsi" w:eastAsiaTheme="minorEastAsia" w:hAnsiTheme="minorHAnsi"/>
              <w:noProof/>
              <w:sz w:val="22"/>
              <w:szCs w:val="22"/>
            </w:rPr>
          </w:pPr>
          <w:r>
            <w:fldChar w:fldCharType="begin"/>
          </w:r>
          <w:r>
            <w:instrText xml:space="preserve"> TOC \o "1-3" \h \z \u </w:instrText>
          </w:r>
          <w:r>
            <w:fldChar w:fldCharType="separate"/>
          </w:r>
          <w:hyperlink w:anchor="_Toc102073896" w:history="1">
            <w:r w:rsidR="00755B04" w:rsidRPr="00F876DF">
              <w:rPr>
                <w:rStyle w:val="Hyperlink"/>
                <w:noProof/>
              </w:rPr>
              <w:t>Introduction</w:t>
            </w:r>
            <w:r w:rsidR="00755B04">
              <w:rPr>
                <w:noProof/>
                <w:webHidden/>
              </w:rPr>
              <w:tab/>
            </w:r>
            <w:r w:rsidR="00755B04">
              <w:rPr>
                <w:noProof/>
                <w:webHidden/>
              </w:rPr>
              <w:fldChar w:fldCharType="begin"/>
            </w:r>
            <w:r w:rsidR="00755B04">
              <w:rPr>
                <w:noProof/>
                <w:webHidden/>
              </w:rPr>
              <w:instrText xml:space="preserve"> PAGEREF _Toc102073896 \h </w:instrText>
            </w:r>
            <w:r w:rsidR="00755B04">
              <w:rPr>
                <w:noProof/>
                <w:webHidden/>
              </w:rPr>
            </w:r>
            <w:r w:rsidR="00755B04">
              <w:rPr>
                <w:noProof/>
                <w:webHidden/>
              </w:rPr>
              <w:fldChar w:fldCharType="separate"/>
            </w:r>
            <w:r w:rsidR="00755B04">
              <w:rPr>
                <w:noProof/>
                <w:webHidden/>
              </w:rPr>
              <w:t>3</w:t>
            </w:r>
            <w:r w:rsidR="00755B04">
              <w:rPr>
                <w:noProof/>
                <w:webHidden/>
              </w:rPr>
              <w:fldChar w:fldCharType="end"/>
            </w:r>
          </w:hyperlink>
        </w:p>
        <w:p w14:paraId="35BBB961" w14:textId="5E90807A" w:rsidR="00755B04" w:rsidRDefault="001A300E">
          <w:pPr>
            <w:pStyle w:val="TOC1"/>
            <w:tabs>
              <w:tab w:val="right" w:leader="dot" w:pos="9350"/>
            </w:tabs>
            <w:rPr>
              <w:rFonts w:asciiTheme="minorHAnsi" w:eastAsiaTheme="minorEastAsia" w:hAnsiTheme="minorHAnsi"/>
              <w:noProof/>
              <w:sz w:val="22"/>
              <w:szCs w:val="22"/>
            </w:rPr>
          </w:pPr>
          <w:hyperlink w:anchor="_Toc102073897" w:history="1">
            <w:r w:rsidR="00755B04" w:rsidRPr="00F876DF">
              <w:rPr>
                <w:rStyle w:val="Hyperlink"/>
                <w:noProof/>
              </w:rPr>
              <w:t>Case in favor of flexible working in relation to diversity and inclusion at work</w:t>
            </w:r>
            <w:r w:rsidR="00755B04">
              <w:rPr>
                <w:noProof/>
                <w:webHidden/>
              </w:rPr>
              <w:tab/>
            </w:r>
            <w:r w:rsidR="00755B04">
              <w:rPr>
                <w:noProof/>
                <w:webHidden/>
              </w:rPr>
              <w:fldChar w:fldCharType="begin"/>
            </w:r>
            <w:r w:rsidR="00755B04">
              <w:rPr>
                <w:noProof/>
                <w:webHidden/>
              </w:rPr>
              <w:instrText xml:space="preserve"> PAGEREF _Toc102073897 \h </w:instrText>
            </w:r>
            <w:r w:rsidR="00755B04">
              <w:rPr>
                <w:noProof/>
                <w:webHidden/>
              </w:rPr>
            </w:r>
            <w:r w:rsidR="00755B04">
              <w:rPr>
                <w:noProof/>
                <w:webHidden/>
              </w:rPr>
              <w:fldChar w:fldCharType="separate"/>
            </w:r>
            <w:r w:rsidR="00755B04">
              <w:rPr>
                <w:noProof/>
                <w:webHidden/>
              </w:rPr>
              <w:t>4</w:t>
            </w:r>
            <w:r w:rsidR="00755B04">
              <w:rPr>
                <w:noProof/>
                <w:webHidden/>
              </w:rPr>
              <w:fldChar w:fldCharType="end"/>
            </w:r>
          </w:hyperlink>
        </w:p>
        <w:p w14:paraId="7DC39800" w14:textId="0CF5941F" w:rsidR="00755B04" w:rsidRDefault="001A300E">
          <w:pPr>
            <w:pStyle w:val="TOC1"/>
            <w:tabs>
              <w:tab w:val="right" w:leader="dot" w:pos="9350"/>
            </w:tabs>
            <w:rPr>
              <w:rFonts w:asciiTheme="minorHAnsi" w:eastAsiaTheme="minorEastAsia" w:hAnsiTheme="minorHAnsi"/>
              <w:noProof/>
              <w:sz w:val="22"/>
              <w:szCs w:val="22"/>
            </w:rPr>
          </w:pPr>
          <w:hyperlink w:anchor="_Toc102073898" w:history="1">
            <w:r w:rsidR="00755B04" w:rsidRPr="00F876DF">
              <w:rPr>
                <w:rStyle w:val="Hyperlink"/>
                <w:noProof/>
              </w:rPr>
              <w:t>Role of Human Resources in promoting diversity and inclusion through flexible working</w:t>
            </w:r>
            <w:r w:rsidR="00755B04">
              <w:rPr>
                <w:noProof/>
                <w:webHidden/>
              </w:rPr>
              <w:tab/>
            </w:r>
            <w:r w:rsidR="00755B04">
              <w:rPr>
                <w:noProof/>
                <w:webHidden/>
              </w:rPr>
              <w:fldChar w:fldCharType="begin"/>
            </w:r>
            <w:r w:rsidR="00755B04">
              <w:rPr>
                <w:noProof/>
                <w:webHidden/>
              </w:rPr>
              <w:instrText xml:space="preserve"> PAGEREF _Toc102073898 \h </w:instrText>
            </w:r>
            <w:r w:rsidR="00755B04">
              <w:rPr>
                <w:noProof/>
                <w:webHidden/>
              </w:rPr>
            </w:r>
            <w:r w:rsidR="00755B04">
              <w:rPr>
                <w:noProof/>
                <w:webHidden/>
              </w:rPr>
              <w:fldChar w:fldCharType="separate"/>
            </w:r>
            <w:r w:rsidR="00755B04">
              <w:rPr>
                <w:noProof/>
                <w:webHidden/>
              </w:rPr>
              <w:t>5</w:t>
            </w:r>
            <w:r w:rsidR="00755B04">
              <w:rPr>
                <w:noProof/>
                <w:webHidden/>
              </w:rPr>
              <w:fldChar w:fldCharType="end"/>
            </w:r>
          </w:hyperlink>
        </w:p>
        <w:p w14:paraId="53AB2911" w14:textId="5E74D14A" w:rsidR="00755B04" w:rsidRDefault="001A300E">
          <w:pPr>
            <w:pStyle w:val="TOC2"/>
            <w:tabs>
              <w:tab w:val="right" w:leader="dot" w:pos="9350"/>
            </w:tabs>
            <w:rPr>
              <w:rFonts w:asciiTheme="minorHAnsi" w:eastAsiaTheme="minorEastAsia" w:hAnsiTheme="minorHAnsi"/>
              <w:noProof/>
              <w:sz w:val="22"/>
              <w:szCs w:val="22"/>
            </w:rPr>
          </w:pPr>
          <w:hyperlink w:anchor="_Toc102073899" w:history="1">
            <w:r w:rsidR="00755B04" w:rsidRPr="00F876DF">
              <w:rPr>
                <w:rStyle w:val="Hyperlink"/>
                <w:noProof/>
              </w:rPr>
              <w:t>Promoting Diversity</w:t>
            </w:r>
            <w:r w:rsidR="00755B04">
              <w:rPr>
                <w:noProof/>
                <w:webHidden/>
              </w:rPr>
              <w:tab/>
            </w:r>
            <w:r w:rsidR="00755B04">
              <w:rPr>
                <w:noProof/>
                <w:webHidden/>
              </w:rPr>
              <w:fldChar w:fldCharType="begin"/>
            </w:r>
            <w:r w:rsidR="00755B04">
              <w:rPr>
                <w:noProof/>
                <w:webHidden/>
              </w:rPr>
              <w:instrText xml:space="preserve"> PAGEREF _Toc102073899 \h </w:instrText>
            </w:r>
            <w:r w:rsidR="00755B04">
              <w:rPr>
                <w:noProof/>
                <w:webHidden/>
              </w:rPr>
            </w:r>
            <w:r w:rsidR="00755B04">
              <w:rPr>
                <w:noProof/>
                <w:webHidden/>
              </w:rPr>
              <w:fldChar w:fldCharType="separate"/>
            </w:r>
            <w:r w:rsidR="00755B04">
              <w:rPr>
                <w:noProof/>
                <w:webHidden/>
              </w:rPr>
              <w:t>5</w:t>
            </w:r>
            <w:r w:rsidR="00755B04">
              <w:rPr>
                <w:noProof/>
                <w:webHidden/>
              </w:rPr>
              <w:fldChar w:fldCharType="end"/>
            </w:r>
          </w:hyperlink>
        </w:p>
        <w:p w14:paraId="68534EC2" w14:textId="18258267" w:rsidR="00755B04" w:rsidRDefault="001A300E">
          <w:pPr>
            <w:pStyle w:val="TOC2"/>
            <w:tabs>
              <w:tab w:val="right" w:leader="dot" w:pos="9350"/>
            </w:tabs>
            <w:rPr>
              <w:rFonts w:asciiTheme="minorHAnsi" w:eastAsiaTheme="minorEastAsia" w:hAnsiTheme="minorHAnsi"/>
              <w:noProof/>
              <w:sz w:val="22"/>
              <w:szCs w:val="22"/>
            </w:rPr>
          </w:pPr>
          <w:hyperlink w:anchor="_Toc102073900" w:history="1">
            <w:r w:rsidR="00755B04" w:rsidRPr="00F876DF">
              <w:rPr>
                <w:rStyle w:val="Hyperlink"/>
                <w:noProof/>
              </w:rPr>
              <w:t>Promoting Inclusion</w:t>
            </w:r>
            <w:r w:rsidR="00755B04">
              <w:rPr>
                <w:noProof/>
                <w:webHidden/>
              </w:rPr>
              <w:tab/>
            </w:r>
            <w:r w:rsidR="00755B04">
              <w:rPr>
                <w:noProof/>
                <w:webHidden/>
              </w:rPr>
              <w:fldChar w:fldCharType="begin"/>
            </w:r>
            <w:r w:rsidR="00755B04">
              <w:rPr>
                <w:noProof/>
                <w:webHidden/>
              </w:rPr>
              <w:instrText xml:space="preserve"> PAGEREF _Toc102073900 \h </w:instrText>
            </w:r>
            <w:r w:rsidR="00755B04">
              <w:rPr>
                <w:noProof/>
                <w:webHidden/>
              </w:rPr>
            </w:r>
            <w:r w:rsidR="00755B04">
              <w:rPr>
                <w:noProof/>
                <w:webHidden/>
              </w:rPr>
              <w:fldChar w:fldCharType="separate"/>
            </w:r>
            <w:r w:rsidR="00755B04">
              <w:rPr>
                <w:noProof/>
                <w:webHidden/>
              </w:rPr>
              <w:t>6</w:t>
            </w:r>
            <w:r w:rsidR="00755B04">
              <w:rPr>
                <w:noProof/>
                <w:webHidden/>
              </w:rPr>
              <w:fldChar w:fldCharType="end"/>
            </w:r>
          </w:hyperlink>
        </w:p>
        <w:p w14:paraId="5F0163A8" w14:textId="2D8EBBCE" w:rsidR="00755B04" w:rsidRDefault="001A300E">
          <w:pPr>
            <w:pStyle w:val="TOC1"/>
            <w:tabs>
              <w:tab w:val="right" w:leader="dot" w:pos="9350"/>
            </w:tabs>
            <w:rPr>
              <w:rFonts w:asciiTheme="minorHAnsi" w:eastAsiaTheme="minorEastAsia" w:hAnsiTheme="minorHAnsi"/>
              <w:noProof/>
              <w:sz w:val="22"/>
              <w:szCs w:val="22"/>
            </w:rPr>
          </w:pPr>
          <w:hyperlink w:anchor="_Toc102073901" w:history="1">
            <w:r w:rsidR="00755B04" w:rsidRPr="00F876DF">
              <w:rPr>
                <w:rStyle w:val="Hyperlink"/>
                <w:noProof/>
              </w:rPr>
              <w:t>Case against flexible working in relation to inequality at work</w:t>
            </w:r>
            <w:r w:rsidR="00755B04">
              <w:rPr>
                <w:noProof/>
                <w:webHidden/>
              </w:rPr>
              <w:tab/>
            </w:r>
            <w:r w:rsidR="00755B04">
              <w:rPr>
                <w:noProof/>
                <w:webHidden/>
              </w:rPr>
              <w:fldChar w:fldCharType="begin"/>
            </w:r>
            <w:r w:rsidR="00755B04">
              <w:rPr>
                <w:noProof/>
                <w:webHidden/>
              </w:rPr>
              <w:instrText xml:space="preserve"> PAGEREF _Toc102073901 \h </w:instrText>
            </w:r>
            <w:r w:rsidR="00755B04">
              <w:rPr>
                <w:noProof/>
                <w:webHidden/>
              </w:rPr>
            </w:r>
            <w:r w:rsidR="00755B04">
              <w:rPr>
                <w:noProof/>
                <w:webHidden/>
              </w:rPr>
              <w:fldChar w:fldCharType="separate"/>
            </w:r>
            <w:r w:rsidR="00755B04">
              <w:rPr>
                <w:noProof/>
                <w:webHidden/>
              </w:rPr>
              <w:t>7</w:t>
            </w:r>
            <w:r w:rsidR="00755B04">
              <w:rPr>
                <w:noProof/>
                <w:webHidden/>
              </w:rPr>
              <w:fldChar w:fldCharType="end"/>
            </w:r>
          </w:hyperlink>
        </w:p>
        <w:p w14:paraId="5359158C" w14:textId="007436E4" w:rsidR="00755B04" w:rsidRDefault="001A300E">
          <w:pPr>
            <w:pStyle w:val="TOC1"/>
            <w:tabs>
              <w:tab w:val="right" w:leader="dot" w:pos="9350"/>
            </w:tabs>
            <w:rPr>
              <w:rFonts w:asciiTheme="minorHAnsi" w:eastAsiaTheme="minorEastAsia" w:hAnsiTheme="minorHAnsi"/>
              <w:noProof/>
              <w:sz w:val="22"/>
              <w:szCs w:val="22"/>
            </w:rPr>
          </w:pPr>
          <w:hyperlink w:anchor="_Toc102073902" w:history="1">
            <w:r w:rsidR="00755B04" w:rsidRPr="00F876DF">
              <w:rPr>
                <w:rStyle w:val="Hyperlink"/>
                <w:noProof/>
              </w:rPr>
              <w:t>Role of Human Resources in addressing the concerns of inequality that may arise from flexible working</w:t>
            </w:r>
            <w:r w:rsidR="00755B04">
              <w:rPr>
                <w:noProof/>
                <w:webHidden/>
              </w:rPr>
              <w:tab/>
            </w:r>
            <w:r w:rsidR="00755B04">
              <w:rPr>
                <w:noProof/>
                <w:webHidden/>
              </w:rPr>
              <w:fldChar w:fldCharType="begin"/>
            </w:r>
            <w:r w:rsidR="00755B04">
              <w:rPr>
                <w:noProof/>
                <w:webHidden/>
              </w:rPr>
              <w:instrText xml:space="preserve"> PAGEREF _Toc102073902 \h </w:instrText>
            </w:r>
            <w:r w:rsidR="00755B04">
              <w:rPr>
                <w:noProof/>
                <w:webHidden/>
              </w:rPr>
            </w:r>
            <w:r w:rsidR="00755B04">
              <w:rPr>
                <w:noProof/>
                <w:webHidden/>
              </w:rPr>
              <w:fldChar w:fldCharType="separate"/>
            </w:r>
            <w:r w:rsidR="00755B04">
              <w:rPr>
                <w:noProof/>
                <w:webHidden/>
              </w:rPr>
              <w:t>8</w:t>
            </w:r>
            <w:r w:rsidR="00755B04">
              <w:rPr>
                <w:noProof/>
                <w:webHidden/>
              </w:rPr>
              <w:fldChar w:fldCharType="end"/>
            </w:r>
          </w:hyperlink>
        </w:p>
        <w:p w14:paraId="1B9C7CD2" w14:textId="16FDF09C" w:rsidR="00755B04" w:rsidRDefault="001A300E">
          <w:pPr>
            <w:pStyle w:val="TOC2"/>
            <w:tabs>
              <w:tab w:val="right" w:leader="dot" w:pos="9350"/>
            </w:tabs>
            <w:rPr>
              <w:rFonts w:asciiTheme="minorHAnsi" w:eastAsiaTheme="minorEastAsia" w:hAnsiTheme="minorHAnsi"/>
              <w:noProof/>
              <w:sz w:val="22"/>
              <w:szCs w:val="22"/>
            </w:rPr>
          </w:pPr>
          <w:hyperlink w:anchor="_Toc102073903" w:history="1">
            <w:r w:rsidR="00755B04" w:rsidRPr="00F876DF">
              <w:rPr>
                <w:rStyle w:val="Hyperlink"/>
                <w:noProof/>
              </w:rPr>
              <w:t>Labor Laws</w:t>
            </w:r>
            <w:r w:rsidR="00755B04">
              <w:rPr>
                <w:noProof/>
                <w:webHidden/>
              </w:rPr>
              <w:tab/>
            </w:r>
            <w:r w:rsidR="00755B04">
              <w:rPr>
                <w:noProof/>
                <w:webHidden/>
              </w:rPr>
              <w:fldChar w:fldCharType="begin"/>
            </w:r>
            <w:r w:rsidR="00755B04">
              <w:rPr>
                <w:noProof/>
                <w:webHidden/>
              </w:rPr>
              <w:instrText xml:space="preserve"> PAGEREF _Toc102073903 \h </w:instrText>
            </w:r>
            <w:r w:rsidR="00755B04">
              <w:rPr>
                <w:noProof/>
                <w:webHidden/>
              </w:rPr>
            </w:r>
            <w:r w:rsidR="00755B04">
              <w:rPr>
                <w:noProof/>
                <w:webHidden/>
              </w:rPr>
              <w:fldChar w:fldCharType="separate"/>
            </w:r>
            <w:r w:rsidR="00755B04">
              <w:rPr>
                <w:noProof/>
                <w:webHidden/>
              </w:rPr>
              <w:t>8</w:t>
            </w:r>
            <w:r w:rsidR="00755B04">
              <w:rPr>
                <w:noProof/>
                <w:webHidden/>
              </w:rPr>
              <w:fldChar w:fldCharType="end"/>
            </w:r>
          </w:hyperlink>
        </w:p>
        <w:p w14:paraId="5D6D3969" w14:textId="184D5246" w:rsidR="00755B04" w:rsidRDefault="001A300E">
          <w:pPr>
            <w:pStyle w:val="TOC2"/>
            <w:tabs>
              <w:tab w:val="right" w:leader="dot" w:pos="9350"/>
            </w:tabs>
            <w:rPr>
              <w:rFonts w:asciiTheme="minorHAnsi" w:eastAsiaTheme="minorEastAsia" w:hAnsiTheme="minorHAnsi"/>
              <w:noProof/>
              <w:sz w:val="22"/>
              <w:szCs w:val="22"/>
            </w:rPr>
          </w:pPr>
          <w:hyperlink w:anchor="_Toc102073904" w:history="1">
            <w:r w:rsidR="00755B04" w:rsidRPr="00F876DF">
              <w:rPr>
                <w:rStyle w:val="Hyperlink"/>
                <w:noProof/>
              </w:rPr>
              <w:t>Gender Discrimination Laws</w:t>
            </w:r>
            <w:r w:rsidR="00755B04">
              <w:rPr>
                <w:noProof/>
                <w:webHidden/>
              </w:rPr>
              <w:tab/>
            </w:r>
            <w:r w:rsidR="00755B04">
              <w:rPr>
                <w:noProof/>
                <w:webHidden/>
              </w:rPr>
              <w:fldChar w:fldCharType="begin"/>
            </w:r>
            <w:r w:rsidR="00755B04">
              <w:rPr>
                <w:noProof/>
                <w:webHidden/>
              </w:rPr>
              <w:instrText xml:space="preserve"> PAGEREF _Toc102073904 \h </w:instrText>
            </w:r>
            <w:r w:rsidR="00755B04">
              <w:rPr>
                <w:noProof/>
                <w:webHidden/>
              </w:rPr>
            </w:r>
            <w:r w:rsidR="00755B04">
              <w:rPr>
                <w:noProof/>
                <w:webHidden/>
              </w:rPr>
              <w:fldChar w:fldCharType="separate"/>
            </w:r>
            <w:r w:rsidR="00755B04">
              <w:rPr>
                <w:noProof/>
                <w:webHidden/>
              </w:rPr>
              <w:t>9</w:t>
            </w:r>
            <w:r w:rsidR="00755B04">
              <w:rPr>
                <w:noProof/>
                <w:webHidden/>
              </w:rPr>
              <w:fldChar w:fldCharType="end"/>
            </w:r>
          </w:hyperlink>
        </w:p>
        <w:p w14:paraId="42406908" w14:textId="0A80EB8A" w:rsidR="00755B04" w:rsidRDefault="001A300E">
          <w:pPr>
            <w:pStyle w:val="TOC2"/>
            <w:tabs>
              <w:tab w:val="right" w:leader="dot" w:pos="9350"/>
            </w:tabs>
            <w:rPr>
              <w:rFonts w:asciiTheme="minorHAnsi" w:eastAsiaTheme="minorEastAsia" w:hAnsiTheme="minorHAnsi"/>
              <w:noProof/>
              <w:sz w:val="22"/>
              <w:szCs w:val="22"/>
            </w:rPr>
          </w:pPr>
          <w:hyperlink w:anchor="_Toc102073905" w:history="1">
            <w:r w:rsidR="00755B04" w:rsidRPr="00F876DF">
              <w:rPr>
                <w:rStyle w:val="Hyperlink"/>
                <w:noProof/>
              </w:rPr>
              <w:t>Paternity Leave</w:t>
            </w:r>
            <w:r w:rsidR="00755B04">
              <w:rPr>
                <w:noProof/>
                <w:webHidden/>
              </w:rPr>
              <w:tab/>
            </w:r>
            <w:r w:rsidR="00755B04">
              <w:rPr>
                <w:noProof/>
                <w:webHidden/>
              </w:rPr>
              <w:fldChar w:fldCharType="begin"/>
            </w:r>
            <w:r w:rsidR="00755B04">
              <w:rPr>
                <w:noProof/>
                <w:webHidden/>
              </w:rPr>
              <w:instrText xml:space="preserve"> PAGEREF _Toc102073905 \h </w:instrText>
            </w:r>
            <w:r w:rsidR="00755B04">
              <w:rPr>
                <w:noProof/>
                <w:webHidden/>
              </w:rPr>
            </w:r>
            <w:r w:rsidR="00755B04">
              <w:rPr>
                <w:noProof/>
                <w:webHidden/>
              </w:rPr>
              <w:fldChar w:fldCharType="separate"/>
            </w:r>
            <w:r w:rsidR="00755B04">
              <w:rPr>
                <w:noProof/>
                <w:webHidden/>
              </w:rPr>
              <w:t>9</w:t>
            </w:r>
            <w:r w:rsidR="00755B04">
              <w:rPr>
                <w:noProof/>
                <w:webHidden/>
              </w:rPr>
              <w:fldChar w:fldCharType="end"/>
            </w:r>
          </w:hyperlink>
        </w:p>
        <w:p w14:paraId="3C0A235C" w14:textId="1ACEED19" w:rsidR="00755B04" w:rsidRDefault="001A300E">
          <w:pPr>
            <w:pStyle w:val="TOC2"/>
            <w:tabs>
              <w:tab w:val="right" w:leader="dot" w:pos="9350"/>
            </w:tabs>
            <w:rPr>
              <w:rFonts w:asciiTheme="minorHAnsi" w:eastAsiaTheme="minorEastAsia" w:hAnsiTheme="minorHAnsi"/>
              <w:noProof/>
              <w:sz w:val="22"/>
              <w:szCs w:val="22"/>
            </w:rPr>
          </w:pPr>
          <w:hyperlink w:anchor="_Toc102073906" w:history="1">
            <w:r w:rsidR="00755B04" w:rsidRPr="00F876DF">
              <w:rPr>
                <w:rStyle w:val="Hyperlink"/>
                <w:noProof/>
              </w:rPr>
              <w:t>Risk Awareness</w:t>
            </w:r>
            <w:r w:rsidR="00755B04">
              <w:rPr>
                <w:noProof/>
                <w:webHidden/>
              </w:rPr>
              <w:tab/>
            </w:r>
            <w:r w:rsidR="00755B04">
              <w:rPr>
                <w:noProof/>
                <w:webHidden/>
              </w:rPr>
              <w:fldChar w:fldCharType="begin"/>
            </w:r>
            <w:r w:rsidR="00755B04">
              <w:rPr>
                <w:noProof/>
                <w:webHidden/>
              </w:rPr>
              <w:instrText xml:space="preserve"> PAGEREF _Toc102073906 \h </w:instrText>
            </w:r>
            <w:r w:rsidR="00755B04">
              <w:rPr>
                <w:noProof/>
                <w:webHidden/>
              </w:rPr>
            </w:r>
            <w:r w:rsidR="00755B04">
              <w:rPr>
                <w:noProof/>
                <w:webHidden/>
              </w:rPr>
              <w:fldChar w:fldCharType="separate"/>
            </w:r>
            <w:r w:rsidR="00755B04">
              <w:rPr>
                <w:noProof/>
                <w:webHidden/>
              </w:rPr>
              <w:t>9</w:t>
            </w:r>
            <w:r w:rsidR="00755B04">
              <w:rPr>
                <w:noProof/>
                <w:webHidden/>
              </w:rPr>
              <w:fldChar w:fldCharType="end"/>
            </w:r>
          </w:hyperlink>
        </w:p>
        <w:p w14:paraId="6BFB56E3" w14:textId="0164CCEB" w:rsidR="00755B04" w:rsidRDefault="001A300E">
          <w:pPr>
            <w:pStyle w:val="TOC2"/>
            <w:tabs>
              <w:tab w:val="right" w:leader="dot" w:pos="9350"/>
            </w:tabs>
            <w:rPr>
              <w:rFonts w:asciiTheme="minorHAnsi" w:eastAsiaTheme="minorEastAsia" w:hAnsiTheme="minorHAnsi"/>
              <w:noProof/>
              <w:sz w:val="22"/>
              <w:szCs w:val="22"/>
            </w:rPr>
          </w:pPr>
          <w:hyperlink w:anchor="_Toc102073907" w:history="1">
            <w:r w:rsidR="00755B04" w:rsidRPr="00F876DF">
              <w:rPr>
                <w:rStyle w:val="Hyperlink"/>
                <w:noProof/>
              </w:rPr>
              <w:t>Family Circumstances</w:t>
            </w:r>
            <w:r w:rsidR="00755B04">
              <w:rPr>
                <w:noProof/>
                <w:webHidden/>
              </w:rPr>
              <w:tab/>
            </w:r>
            <w:r w:rsidR="00755B04">
              <w:rPr>
                <w:noProof/>
                <w:webHidden/>
              </w:rPr>
              <w:fldChar w:fldCharType="begin"/>
            </w:r>
            <w:r w:rsidR="00755B04">
              <w:rPr>
                <w:noProof/>
                <w:webHidden/>
              </w:rPr>
              <w:instrText xml:space="preserve"> PAGEREF _Toc102073907 \h </w:instrText>
            </w:r>
            <w:r w:rsidR="00755B04">
              <w:rPr>
                <w:noProof/>
                <w:webHidden/>
              </w:rPr>
            </w:r>
            <w:r w:rsidR="00755B04">
              <w:rPr>
                <w:noProof/>
                <w:webHidden/>
              </w:rPr>
              <w:fldChar w:fldCharType="separate"/>
            </w:r>
            <w:r w:rsidR="00755B04">
              <w:rPr>
                <w:noProof/>
                <w:webHidden/>
              </w:rPr>
              <w:t>9</w:t>
            </w:r>
            <w:r w:rsidR="00755B04">
              <w:rPr>
                <w:noProof/>
                <w:webHidden/>
              </w:rPr>
              <w:fldChar w:fldCharType="end"/>
            </w:r>
          </w:hyperlink>
        </w:p>
        <w:p w14:paraId="244133D5" w14:textId="61DC0E79" w:rsidR="00755B04" w:rsidRDefault="001A300E">
          <w:pPr>
            <w:pStyle w:val="TOC2"/>
            <w:tabs>
              <w:tab w:val="right" w:leader="dot" w:pos="9350"/>
            </w:tabs>
            <w:rPr>
              <w:rFonts w:asciiTheme="minorHAnsi" w:eastAsiaTheme="minorEastAsia" w:hAnsiTheme="minorHAnsi"/>
              <w:noProof/>
              <w:sz w:val="22"/>
              <w:szCs w:val="22"/>
            </w:rPr>
          </w:pPr>
          <w:hyperlink w:anchor="_Toc102073908" w:history="1">
            <w:r w:rsidR="00755B04" w:rsidRPr="00F876DF">
              <w:rPr>
                <w:rStyle w:val="Hyperlink"/>
                <w:noProof/>
              </w:rPr>
              <w:t>Healthy Organization</w:t>
            </w:r>
            <w:r w:rsidR="00755B04">
              <w:rPr>
                <w:noProof/>
                <w:webHidden/>
              </w:rPr>
              <w:tab/>
            </w:r>
            <w:r w:rsidR="00755B04">
              <w:rPr>
                <w:noProof/>
                <w:webHidden/>
              </w:rPr>
              <w:fldChar w:fldCharType="begin"/>
            </w:r>
            <w:r w:rsidR="00755B04">
              <w:rPr>
                <w:noProof/>
                <w:webHidden/>
              </w:rPr>
              <w:instrText xml:space="preserve"> PAGEREF _Toc102073908 \h </w:instrText>
            </w:r>
            <w:r w:rsidR="00755B04">
              <w:rPr>
                <w:noProof/>
                <w:webHidden/>
              </w:rPr>
            </w:r>
            <w:r w:rsidR="00755B04">
              <w:rPr>
                <w:noProof/>
                <w:webHidden/>
              </w:rPr>
              <w:fldChar w:fldCharType="separate"/>
            </w:r>
            <w:r w:rsidR="00755B04">
              <w:rPr>
                <w:noProof/>
                <w:webHidden/>
              </w:rPr>
              <w:t>9</w:t>
            </w:r>
            <w:r w:rsidR="00755B04">
              <w:rPr>
                <w:noProof/>
                <w:webHidden/>
              </w:rPr>
              <w:fldChar w:fldCharType="end"/>
            </w:r>
          </w:hyperlink>
        </w:p>
        <w:p w14:paraId="746E4579" w14:textId="388B8588" w:rsidR="00755B04" w:rsidRDefault="001A300E">
          <w:pPr>
            <w:pStyle w:val="TOC1"/>
            <w:tabs>
              <w:tab w:val="right" w:leader="dot" w:pos="9350"/>
            </w:tabs>
            <w:rPr>
              <w:rFonts w:asciiTheme="minorHAnsi" w:eastAsiaTheme="minorEastAsia" w:hAnsiTheme="minorHAnsi"/>
              <w:noProof/>
              <w:sz w:val="22"/>
              <w:szCs w:val="22"/>
            </w:rPr>
          </w:pPr>
          <w:hyperlink w:anchor="_Toc102073909" w:history="1">
            <w:r w:rsidR="00755B04" w:rsidRPr="00F876DF">
              <w:rPr>
                <w:rStyle w:val="Hyperlink"/>
                <w:noProof/>
              </w:rPr>
              <w:t>Conclusion</w:t>
            </w:r>
            <w:r w:rsidR="00755B04">
              <w:rPr>
                <w:noProof/>
                <w:webHidden/>
              </w:rPr>
              <w:tab/>
            </w:r>
            <w:r w:rsidR="00755B04">
              <w:rPr>
                <w:noProof/>
                <w:webHidden/>
              </w:rPr>
              <w:fldChar w:fldCharType="begin"/>
            </w:r>
            <w:r w:rsidR="00755B04">
              <w:rPr>
                <w:noProof/>
                <w:webHidden/>
              </w:rPr>
              <w:instrText xml:space="preserve"> PAGEREF _Toc102073909 \h </w:instrText>
            </w:r>
            <w:r w:rsidR="00755B04">
              <w:rPr>
                <w:noProof/>
                <w:webHidden/>
              </w:rPr>
            </w:r>
            <w:r w:rsidR="00755B04">
              <w:rPr>
                <w:noProof/>
                <w:webHidden/>
              </w:rPr>
              <w:fldChar w:fldCharType="separate"/>
            </w:r>
            <w:r w:rsidR="00755B04">
              <w:rPr>
                <w:noProof/>
                <w:webHidden/>
              </w:rPr>
              <w:t>11</w:t>
            </w:r>
            <w:r w:rsidR="00755B04">
              <w:rPr>
                <w:noProof/>
                <w:webHidden/>
              </w:rPr>
              <w:fldChar w:fldCharType="end"/>
            </w:r>
          </w:hyperlink>
        </w:p>
        <w:p w14:paraId="456C1DA8" w14:textId="7987434C" w:rsidR="00755B04" w:rsidRDefault="001A300E">
          <w:pPr>
            <w:pStyle w:val="TOC1"/>
            <w:tabs>
              <w:tab w:val="right" w:leader="dot" w:pos="9350"/>
            </w:tabs>
            <w:rPr>
              <w:rFonts w:asciiTheme="minorHAnsi" w:eastAsiaTheme="minorEastAsia" w:hAnsiTheme="minorHAnsi"/>
              <w:noProof/>
              <w:sz w:val="22"/>
              <w:szCs w:val="22"/>
            </w:rPr>
          </w:pPr>
          <w:hyperlink w:anchor="_Toc102073910" w:history="1">
            <w:r w:rsidR="00755B04" w:rsidRPr="00F876DF">
              <w:rPr>
                <w:rStyle w:val="Hyperlink"/>
                <w:noProof/>
              </w:rPr>
              <w:t>References</w:t>
            </w:r>
            <w:r w:rsidR="00755B04">
              <w:rPr>
                <w:noProof/>
                <w:webHidden/>
              </w:rPr>
              <w:tab/>
            </w:r>
            <w:r w:rsidR="00755B04">
              <w:rPr>
                <w:noProof/>
                <w:webHidden/>
              </w:rPr>
              <w:fldChar w:fldCharType="begin"/>
            </w:r>
            <w:r w:rsidR="00755B04">
              <w:rPr>
                <w:noProof/>
                <w:webHidden/>
              </w:rPr>
              <w:instrText xml:space="preserve"> PAGEREF _Toc102073910 \h </w:instrText>
            </w:r>
            <w:r w:rsidR="00755B04">
              <w:rPr>
                <w:noProof/>
                <w:webHidden/>
              </w:rPr>
            </w:r>
            <w:r w:rsidR="00755B04">
              <w:rPr>
                <w:noProof/>
                <w:webHidden/>
              </w:rPr>
              <w:fldChar w:fldCharType="separate"/>
            </w:r>
            <w:r w:rsidR="00755B04">
              <w:rPr>
                <w:noProof/>
                <w:webHidden/>
              </w:rPr>
              <w:t>12</w:t>
            </w:r>
            <w:r w:rsidR="00755B04">
              <w:rPr>
                <w:noProof/>
                <w:webHidden/>
              </w:rPr>
              <w:fldChar w:fldCharType="end"/>
            </w:r>
          </w:hyperlink>
        </w:p>
        <w:p w14:paraId="77F31297" w14:textId="5FBA82AE" w:rsidR="005E2A65" w:rsidRDefault="005E2A65">
          <w:r>
            <w:rPr>
              <w:b/>
              <w:bCs/>
              <w:noProof/>
            </w:rPr>
            <w:fldChar w:fldCharType="end"/>
          </w:r>
        </w:p>
      </w:sdtContent>
    </w:sdt>
    <w:p w14:paraId="16F777BB" w14:textId="2EB90FC2" w:rsidR="000C298B" w:rsidRDefault="000C298B">
      <w:r>
        <w:br w:type="page"/>
      </w:r>
    </w:p>
    <w:p w14:paraId="0792B0F0" w14:textId="44D88A29" w:rsidR="000C298B" w:rsidRDefault="000C298B" w:rsidP="001F4F39">
      <w:pPr>
        <w:pStyle w:val="Heading1"/>
      </w:pPr>
      <w:bookmarkStart w:id="0" w:name="_Toc102073896"/>
      <w:r>
        <w:lastRenderedPageBreak/>
        <w:t>Introduction</w:t>
      </w:r>
      <w:bookmarkEnd w:id="0"/>
    </w:p>
    <w:p w14:paraId="698D76BF" w14:textId="20FB6742" w:rsidR="000C298B" w:rsidRDefault="00136729">
      <w:r>
        <w:t>Flexible working is a burning issue in the workplace mainly after the Covid-19 pandemic started.</w:t>
      </w:r>
      <w:r w:rsidR="000060FB">
        <w:t xml:space="preserve"> </w:t>
      </w:r>
      <w:r>
        <w:t xml:space="preserve">It means providing employees with the freedom on how and when they want to work for the company according to their conveniences. </w:t>
      </w:r>
      <w:r w:rsidR="00760D5C" w:rsidRPr="00760D5C">
        <w:t xml:space="preserve">The impact of flexible working on a retail </w:t>
      </w:r>
      <w:r w:rsidR="00270F5E">
        <w:t>company</w:t>
      </w:r>
      <w:r w:rsidR="00760D5C" w:rsidRPr="00760D5C">
        <w:t xml:space="preserve"> will be assessed in this report. </w:t>
      </w:r>
      <w:r w:rsidR="00270F5E">
        <w:t xml:space="preserve">This report consists of two parts. </w:t>
      </w:r>
      <w:r w:rsidR="00760D5C" w:rsidRPr="00760D5C">
        <w:t xml:space="preserve">To begin, a case will be made for flexible working </w:t>
      </w:r>
      <w:r w:rsidR="00270F5E">
        <w:t>that includes</w:t>
      </w:r>
      <w:r w:rsidR="00760D5C" w:rsidRPr="00760D5C">
        <w:t xml:space="preserve"> diversity and inclusion. The role of HR in encouraging diversity and inclusion through flexible working will then be examined</w:t>
      </w:r>
      <w:r w:rsidR="00270F5E">
        <w:t xml:space="preserve"> in this part</w:t>
      </w:r>
      <w:r w:rsidR="00760D5C" w:rsidRPr="00760D5C">
        <w:t>. Second, a case will be made against flexible working in the context of inequality</w:t>
      </w:r>
      <w:r w:rsidR="00270F5E">
        <w:t xml:space="preserve"> in the workplace</w:t>
      </w:r>
      <w:r w:rsidR="00760D5C" w:rsidRPr="00760D5C">
        <w:t>. The role of HR in addressing concerns about inequity that may occur as a result of flexible working will evaluated</w:t>
      </w:r>
      <w:r w:rsidR="00270F5E">
        <w:t xml:space="preserve"> in this part</w:t>
      </w:r>
      <w:r w:rsidR="00760D5C" w:rsidRPr="00760D5C">
        <w:t>.</w:t>
      </w:r>
    </w:p>
    <w:p w14:paraId="0C9E629E" w14:textId="69FB5234" w:rsidR="000C298B" w:rsidRDefault="000C298B">
      <w:r>
        <w:br w:type="page"/>
      </w:r>
    </w:p>
    <w:p w14:paraId="6331DBE3" w14:textId="62159248" w:rsidR="000C716F" w:rsidRDefault="000C298B" w:rsidP="001F4F39">
      <w:pPr>
        <w:pStyle w:val="Heading1"/>
      </w:pPr>
      <w:bookmarkStart w:id="1" w:name="_Toc102073897"/>
      <w:r>
        <w:lastRenderedPageBreak/>
        <w:t xml:space="preserve">Case in </w:t>
      </w:r>
      <w:r w:rsidR="00BB6E7A">
        <w:t>f</w:t>
      </w:r>
      <w:r>
        <w:t xml:space="preserve">avor of </w:t>
      </w:r>
      <w:r w:rsidR="00BB6E7A">
        <w:t>f</w:t>
      </w:r>
      <w:r w:rsidR="000C716F">
        <w:t xml:space="preserve">lexible </w:t>
      </w:r>
      <w:r w:rsidR="00BB6E7A">
        <w:t>w</w:t>
      </w:r>
      <w:r w:rsidR="000C716F">
        <w:t>orking</w:t>
      </w:r>
      <w:r w:rsidR="00BB6E7A">
        <w:t xml:space="preserve"> in relation to diversity and inclusion at work</w:t>
      </w:r>
      <w:bookmarkEnd w:id="1"/>
    </w:p>
    <w:p w14:paraId="4CAFCEE2" w14:textId="77777777" w:rsidR="00BB6E7A" w:rsidRPr="00BB6E7A" w:rsidRDefault="00BB6E7A" w:rsidP="00BB6E7A">
      <w:pPr>
        <w:rPr>
          <w:b/>
          <w:bCs/>
        </w:rPr>
      </w:pPr>
      <w:r w:rsidRPr="00BB6E7A">
        <w:rPr>
          <w:b/>
          <w:bCs/>
          <w:sz w:val="28"/>
          <w:szCs w:val="22"/>
        </w:rPr>
        <w:t>“A case study on how diversity and inclusion impact the workplace”</w:t>
      </w:r>
    </w:p>
    <w:p w14:paraId="0FA0A1F3" w14:textId="77777777" w:rsidR="00BB6E7A" w:rsidRDefault="00BB6E7A" w:rsidP="00BB6E7A">
      <w:r>
        <w:t>The presence of a mix of workers from different areas and age ranges adds to the workplace's general variety and improves the flow of information. For certain people, the ability to work flexibly is critical. Part-time or flexible employment possibilities are vital for many women, older workers, single parents, and others who are unable to work full-time due to physical or mental constraints. As a result, people may find themselves stuck in low-wage employment or unable to find work at all.</w:t>
      </w:r>
    </w:p>
    <w:p w14:paraId="2071A5B2" w14:textId="4172F08F" w:rsidR="00BB6E7A" w:rsidRDefault="00BB6E7A" w:rsidP="00BB6E7A">
      <w:r>
        <w:t>When groups of people from various backgrounds get together, they are cleverer, but the discomfort they feel may help them perform better and avoid dangerous groupthink. Indeed, homogeneity might be viewed as a barrier to innovation</w:t>
      </w:r>
      <w:r w:rsidR="006C49E4">
        <w:t xml:space="preserve"> </w:t>
      </w:r>
      <w:r w:rsidR="0080756A" w:rsidRPr="0080756A">
        <w:t>(Bond and Haynes, 2014)</w:t>
      </w:r>
      <w:r>
        <w:t>. The subconscious perception that items that are closer in space or time are better than those that are farther away is one of the most significant biases of the human brain. Even while bringing on a new employee from another region of the country can be scary at first, consider how their unique experience can provide a new perspective to the team.</w:t>
      </w:r>
    </w:p>
    <w:p w14:paraId="42EE5CE7" w14:textId="2B69C01D" w:rsidR="00BB6E7A" w:rsidRDefault="00BB6E7A" w:rsidP="00BB6E7A">
      <w:r>
        <w:t>Flexible employment should be viewed by leaders as more than just a reward for their current employees; it should also be viewed as a way to recruit new people from a wider range of backgrounds to their firms</w:t>
      </w:r>
      <w:r w:rsidR="006D39BE">
        <w:t xml:space="preserve"> </w:t>
      </w:r>
      <w:r w:rsidR="006D39BE" w:rsidRPr="006D39BE">
        <w:t>(Thacker, 2012)</w:t>
      </w:r>
      <w:r>
        <w:t>. People know that the epidemic has had a significant impact on the workplace. Businesses are beginning to consider whether their employees should return to the office, work totally from home, or utilize a hybrid strategy, indicating that things are about to change radically again. Organizations, on the other hand, have the opportunity to be thoughtful about the decisions they make and the work environments they create at this time.</w:t>
      </w:r>
    </w:p>
    <w:p w14:paraId="4D6EEF72" w14:textId="77777777" w:rsidR="00BB6E7A" w:rsidRDefault="00BB6E7A" w:rsidP="00BB6E7A">
      <w:r>
        <w:t>Leaders were compelled to regularly change objectives and corporate strategies in the face of varying degrees of success while attempting to reconcile employee unhappiness in a tight labor market. The need for autonomy is one of the most important variables influencing human behavior. This year, though, that trait became even more important, as employees took advantage of any opportunity to recover control at a moment of severely limited options.</w:t>
      </w:r>
    </w:p>
    <w:p w14:paraId="33E4C6FA" w14:textId="5EBFDB1A" w:rsidR="00BB6E7A" w:rsidRDefault="00BB6E7A" w:rsidP="00BB6E7A">
      <w:r>
        <w:lastRenderedPageBreak/>
        <w:t>Flexible work choices allow workers to feel more seen and heard, improving their sense of belonging and inclusion, in addition to broadening the pool of candidates</w:t>
      </w:r>
      <w:r w:rsidR="0080756A">
        <w:t xml:space="preserve"> </w:t>
      </w:r>
      <w:r w:rsidR="0080756A" w:rsidRPr="0080756A">
        <w:t>(M. Santuzzi</w:t>
      </w:r>
      <w:r w:rsidR="0080756A">
        <w:t xml:space="preserve"> et al.</w:t>
      </w:r>
      <w:r w:rsidR="0080756A" w:rsidRPr="0080756A">
        <w:t>, 2021)</w:t>
      </w:r>
      <w:r>
        <w:t>. It should come as no surprise that striking a balance between serious and fun activities is becoming a more important requirement for job candidates, particularly for younger generations, parents, professionals pursuing their education, and even employees who do not want to commute for more than an hour.</w:t>
      </w:r>
    </w:p>
    <w:p w14:paraId="07D36901" w14:textId="6AB22123" w:rsidR="00CC0349" w:rsidRDefault="00BB6E7A" w:rsidP="00BB6E7A">
      <w:r>
        <w:t>Companies that offer flexible work schedules acknowledge that their employees have different lifestyles outside of the office. Furthermore, a welcoming approach like this attracts job seekers. When faced with a choice between two similar employment options, they would choose the one that offered the most freedom. As a result, during interviews, prospective workers are increasingly required to display an open-minded and inclusive approach. Companies who do not provide this benefit-risk lose top talent</w:t>
      </w:r>
      <w:r w:rsidR="00760D5C">
        <w:t>.</w:t>
      </w:r>
    </w:p>
    <w:p w14:paraId="5499F8D0" w14:textId="1F512415" w:rsidR="000C716F" w:rsidRDefault="001F4F39" w:rsidP="001F4F39">
      <w:pPr>
        <w:pStyle w:val="Heading1"/>
      </w:pPr>
      <w:bookmarkStart w:id="2" w:name="_Toc102073898"/>
      <w:r>
        <w:t>R</w:t>
      </w:r>
      <w:r w:rsidR="000C716F">
        <w:t>ole of Human Resources</w:t>
      </w:r>
      <w:r>
        <w:t xml:space="preserve"> in promoting diversity and inclusion through flexible working</w:t>
      </w:r>
      <w:bookmarkEnd w:id="2"/>
    </w:p>
    <w:p w14:paraId="0806D23F" w14:textId="77777777" w:rsidR="00EE6418" w:rsidRDefault="00EE6418" w:rsidP="00EE6418">
      <w:r>
        <w:t>Employers who want to promote diversity, equity, and inclusion can take advantage of the hybrid work environment options. Hence, HR has a vital role to play in diversity and inclusion.</w:t>
      </w:r>
    </w:p>
    <w:p w14:paraId="08BC6453" w14:textId="77777777" w:rsidR="00EE6418" w:rsidRDefault="00EE6418" w:rsidP="00EE6418">
      <w:pPr>
        <w:pStyle w:val="Heading2"/>
      </w:pPr>
      <w:bookmarkStart w:id="3" w:name="_Toc102073899"/>
      <w:r>
        <w:t>Promoting Diversity</w:t>
      </w:r>
      <w:bookmarkEnd w:id="3"/>
    </w:p>
    <w:p w14:paraId="52E942BA" w14:textId="71F6BA7E" w:rsidR="00070A29" w:rsidRDefault="00070A29" w:rsidP="00070A29">
      <w:pPr>
        <w:pStyle w:val="ListParagraph"/>
        <w:numPr>
          <w:ilvl w:val="0"/>
          <w:numId w:val="1"/>
        </w:numPr>
      </w:pPr>
      <w:r>
        <w:t>Employees that identify with a variety of origins, gender expressions, and personal choices like attire tied to religious or cultural affinities should be given visibility by the human resources function</w:t>
      </w:r>
      <w:r w:rsidR="006C49E4">
        <w:t xml:space="preserve"> </w:t>
      </w:r>
      <w:r w:rsidR="006C49E4" w:rsidRPr="006C49E4">
        <w:t>(Armstrong and Taylor, 2020)</w:t>
      </w:r>
      <w:r>
        <w:t>. HR can consider what message is being transmitted about who makes up the organization, what appearance choices are thought appropriate, and who gets promoted into leadership roles when selecting employees to deliver presentations or choose photographs for the website.</w:t>
      </w:r>
    </w:p>
    <w:p w14:paraId="7F73ECD5" w14:textId="00F2296D" w:rsidR="00EE6418" w:rsidRDefault="00EE6418" w:rsidP="00EE6418">
      <w:pPr>
        <w:pStyle w:val="ListParagraph"/>
        <w:numPr>
          <w:ilvl w:val="0"/>
          <w:numId w:val="1"/>
        </w:numPr>
      </w:pPr>
      <w:r>
        <w:t>Because of the flexibility in work location and schedule afforded by human resources, individuals with physical limitations or health concerns, whether temporary or chronic, should be able to find employment opportunities</w:t>
      </w:r>
      <w:r w:rsidR="00070A29">
        <w:t xml:space="preserve"> that the employers give out</w:t>
      </w:r>
      <w:r>
        <w:t>.</w:t>
      </w:r>
    </w:p>
    <w:p w14:paraId="78F8D7C7" w14:textId="6CB2DBAE" w:rsidR="00EE6418" w:rsidRDefault="00EE6418" w:rsidP="00EE6418">
      <w:pPr>
        <w:pStyle w:val="ListParagraph"/>
        <w:numPr>
          <w:ilvl w:val="0"/>
          <w:numId w:val="1"/>
        </w:numPr>
      </w:pPr>
      <w:r>
        <w:t xml:space="preserve">They may </w:t>
      </w:r>
      <w:r w:rsidR="00070A29">
        <w:t>let those employees</w:t>
      </w:r>
      <w:r>
        <w:t xml:space="preserve"> work from home without fear of being singled out, and virtual collaboration tools like video captioning, text-to-speech software, and adaptive </w:t>
      </w:r>
      <w:r>
        <w:lastRenderedPageBreak/>
        <w:t>displays and input devices are making it simpler to be productive anywhere</w:t>
      </w:r>
      <w:r w:rsidR="006D39BE" w:rsidRPr="006D39BE">
        <w:t xml:space="preserve"> (O'Brien and Linehan, 2014)</w:t>
      </w:r>
      <w:r>
        <w:t>.</w:t>
      </w:r>
      <w:r w:rsidR="00070A29">
        <w:t xml:space="preserve"> R</w:t>
      </w:r>
      <w:r>
        <w:t xml:space="preserve">esources </w:t>
      </w:r>
      <w:r w:rsidR="00070A29">
        <w:t>should be</w:t>
      </w:r>
      <w:r>
        <w:t xml:space="preserve"> available to improve handicapped people's options outside of institutions.</w:t>
      </w:r>
    </w:p>
    <w:p w14:paraId="4C81182E" w14:textId="6545C4C8" w:rsidR="00EE6418" w:rsidRDefault="00EE6418" w:rsidP="00EE6418">
      <w:pPr>
        <w:pStyle w:val="ListParagraph"/>
        <w:numPr>
          <w:ilvl w:val="0"/>
          <w:numId w:val="1"/>
        </w:numPr>
      </w:pPr>
      <w:r>
        <w:t>The human resource’s function must accept that, while every company today promotes its diversity and inclusion programs, only about half of those polled, particularly people of color, believe their executives are serious about it.</w:t>
      </w:r>
    </w:p>
    <w:p w14:paraId="0F8967A4" w14:textId="77777777" w:rsidR="00EE6418" w:rsidRDefault="00EE6418" w:rsidP="00EE6418">
      <w:pPr>
        <w:pStyle w:val="Heading2"/>
      </w:pPr>
      <w:bookmarkStart w:id="4" w:name="_Toc102073900"/>
      <w:r>
        <w:t>Promoting Inclusion</w:t>
      </w:r>
      <w:bookmarkEnd w:id="4"/>
    </w:p>
    <w:p w14:paraId="1BDA281D" w14:textId="27CE2FA3" w:rsidR="00EE6418" w:rsidRDefault="00CE6DCF" w:rsidP="00EE6418">
      <w:pPr>
        <w:pStyle w:val="ListParagraph"/>
        <w:numPr>
          <w:ilvl w:val="0"/>
          <w:numId w:val="2"/>
        </w:numPr>
      </w:pPr>
      <w:r>
        <w:t>Setting up e</w:t>
      </w:r>
      <w:r w:rsidR="00EE6418">
        <w:t xml:space="preserve">mployee </w:t>
      </w:r>
      <w:r>
        <w:t>g</w:t>
      </w:r>
      <w:r w:rsidR="00EE6418">
        <w:t>roups</w:t>
      </w:r>
      <w:r>
        <w:t xml:space="preserve"> such as resource groups and</w:t>
      </w:r>
      <w:r w:rsidR="00EE6418">
        <w:t xml:space="preserve"> volunteer groups</w:t>
      </w:r>
      <w:r>
        <w:t xml:space="preserve"> that are</w:t>
      </w:r>
      <w:r w:rsidR="00EE6418">
        <w:t xml:space="preserve"> based on</w:t>
      </w:r>
      <w:r>
        <w:t xml:space="preserve"> </w:t>
      </w:r>
      <w:r w:rsidR="00EE6418">
        <w:t>shared interest</w:t>
      </w:r>
      <w:r>
        <w:t>s</w:t>
      </w:r>
      <w:r w:rsidR="00EE6418">
        <w:t xml:space="preserve"> or identit</w:t>
      </w:r>
      <w:r>
        <w:t>ies</w:t>
      </w:r>
      <w:r w:rsidR="00EE6418">
        <w:t xml:space="preserve">, </w:t>
      </w:r>
      <w:r w:rsidR="00070A29">
        <w:t>like</w:t>
      </w:r>
      <w:r w:rsidR="00EE6418">
        <w:t xml:space="preserve"> women in the workplace</w:t>
      </w:r>
      <w:r w:rsidR="00070A29">
        <w:t>. These</w:t>
      </w:r>
      <w:r w:rsidR="00EE6418">
        <w:t xml:space="preserve"> can provide valuable insights, </w:t>
      </w:r>
      <w:r w:rsidR="00070A29">
        <w:t xml:space="preserve">and </w:t>
      </w:r>
      <w:r w:rsidR="00EE6418">
        <w:t>solutions, and help with recruiting, mentoring, and retention.</w:t>
      </w:r>
    </w:p>
    <w:p w14:paraId="02E16458" w14:textId="6A433B8A" w:rsidR="00EE6418" w:rsidRDefault="00CE6DCF" w:rsidP="00EE6418">
      <w:pPr>
        <w:pStyle w:val="ListParagraph"/>
        <w:numPr>
          <w:ilvl w:val="0"/>
          <w:numId w:val="2"/>
        </w:numPr>
      </w:pPr>
      <w:r>
        <w:t>Including surveys so p</w:t>
      </w:r>
      <w:r w:rsidR="00EE6418">
        <w:t>arents can talk about childcare options and ethnic identities</w:t>
      </w:r>
      <w:r w:rsidR="006C49E4">
        <w:t xml:space="preserve"> </w:t>
      </w:r>
      <w:r w:rsidR="006C49E4" w:rsidRPr="006C49E4">
        <w:t>(Dessler, 2020)</w:t>
      </w:r>
      <w:r w:rsidR="00EE6418">
        <w:t xml:space="preserve">. </w:t>
      </w:r>
      <w:r>
        <w:t xml:space="preserve">They </w:t>
      </w:r>
      <w:r w:rsidR="00EE6418">
        <w:t>may visit with job seekers and recruits in-person to help them make local connections, such as faith-based services available in their native languages.</w:t>
      </w:r>
    </w:p>
    <w:p w14:paraId="2FED1490" w14:textId="1116D3D8" w:rsidR="00EE6418" w:rsidRDefault="00CE6DCF" w:rsidP="00EE6418">
      <w:pPr>
        <w:pStyle w:val="ListParagraph"/>
        <w:numPr>
          <w:ilvl w:val="0"/>
          <w:numId w:val="2"/>
        </w:numPr>
      </w:pPr>
      <w:r>
        <w:t>HR manager</w:t>
      </w:r>
      <w:r w:rsidR="00EE6418">
        <w:t>s may also establish diversity advisory boards and safe spaces for employees to share their difficulties and concerns. In-person and virtual collaboration tools, such as anonymous surveys and asynchronous discussion boards, can help support these goals.</w:t>
      </w:r>
    </w:p>
    <w:p w14:paraId="64F15886" w14:textId="2F6D89D1" w:rsidR="00EE6418" w:rsidRDefault="00EE6418" w:rsidP="00EE6418">
      <w:pPr>
        <w:pStyle w:val="ListParagraph"/>
        <w:numPr>
          <w:ilvl w:val="0"/>
          <w:numId w:val="2"/>
        </w:numPr>
      </w:pPr>
      <w:r>
        <w:t>Human resource</w:t>
      </w:r>
      <w:r w:rsidR="006C49E4">
        <w:t xml:space="preserve"> managers</w:t>
      </w:r>
      <w:r>
        <w:t xml:space="preserve"> must be aware that traditionally underrepresented and low-income employees have fewer growth possibilities, such as unpaid internships or study abroad opportunities, while still in college</w:t>
      </w:r>
      <w:r w:rsidR="006C49E4">
        <w:t xml:space="preserve"> </w:t>
      </w:r>
      <w:r w:rsidR="006C49E4" w:rsidRPr="006C49E4">
        <w:t>(Torrington</w:t>
      </w:r>
      <w:r w:rsidR="006C49E4">
        <w:t xml:space="preserve"> et. </w:t>
      </w:r>
      <w:r w:rsidR="006C49E4" w:rsidRPr="006C49E4">
        <w:t>al</w:t>
      </w:r>
      <w:r w:rsidR="006C49E4">
        <w:t>.</w:t>
      </w:r>
      <w:r w:rsidR="006C49E4" w:rsidRPr="006C49E4">
        <w:t>, 2017)</w:t>
      </w:r>
      <w:r>
        <w:t>.</w:t>
      </w:r>
    </w:p>
    <w:p w14:paraId="6B5D9639" w14:textId="18A3076E" w:rsidR="00EE6418" w:rsidRDefault="00EE6418" w:rsidP="00EE6418">
      <w:pPr>
        <w:pStyle w:val="ListParagraph"/>
        <w:numPr>
          <w:ilvl w:val="0"/>
          <w:numId w:val="2"/>
        </w:numPr>
      </w:pPr>
      <w:r>
        <w:t>They may be juggling commitments that restrict them from joining civic organizations or attending conferences. To encourage equity in career growth and attract and retain workers,</w:t>
      </w:r>
      <w:r w:rsidR="00CE6DCF">
        <w:t xml:space="preserve"> HR can conduct</w:t>
      </w:r>
      <w:r>
        <w:t xml:space="preserve"> comprehensive trainin</w:t>
      </w:r>
      <w:r w:rsidR="00CE6DCF">
        <w:t>g</w:t>
      </w:r>
      <w:r>
        <w:t>, mentorship programs, and job rotations.</w:t>
      </w:r>
    </w:p>
    <w:p w14:paraId="2869997E" w14:textId="2D276D53" w:rsidR="00EE6418" w:rsidRDefault="00EE6418" w:rsidP="00EE6418">
      <w:pPr>
        <w:pStyle w:val="ListParagraph"/>
        <w:numPr>
          <w:ilvl w:val="0"/>
          <w:numId w:val="2"/>
        </w:numPr>
      </w:pPr>
      <w:r>
        <w:t>Participants in e-learning courses and online conferences are less likely to travel or work outside of typical business hours, which can be</w:t>
      </w:r>
      <w:r w:rsidR="00CE6DCF">
        <w:t xml:space="preserve"> </w:t>
      </w:r>
      <w:r>
        <w:t>problematic for those with impairments or who have family obligations to conside</w:t>
      </w:r>
      <w:r w:rsidR="00CE6DCF">
        <w:t>r; hence, it is HR’s responsibility to include them.</w:t>
      </w:r>
    </w:p>
    <w:p w14:paraId="511563A9" w14:textId="7BD8C3CB" w:rsidR="000C298B" w:rsidRDefault="00EE6418">
      <w:r>
        <w:t xml:space="preserve">Employees who do not believe in a company's real intentions or ability to meet its goals are much more likely to leave. Creating a trusting relationship between managers and employees is even more difficult in the hybrid workplace. Executives must articulate a clear plan for </w:t>
      </w:r>
      <w:r w:rsidR="00070A29">
        <w:t xml:space="preserve">it </w:t>
      </w:r>
      <w:r>
        <w:t xml:space="preserve">and set out what fundamental changes are being made to reach the goals; this should be done in hybrid </w:t>
      </w:r>
      <w:r>
        <w:lastRenderedPageBreak/>
        <w:t xml:space="preserve">meetings that are widely accessible, retrievable, and understandable by a large audience. </w:t>
      </w:r>
      <w:r w:rsidR="00070A29">
        <w:t>They can also c</w:t>
      </w:r>
      <w:r>
        <w:t>onsider making interesting and easy-to-understand public data dashboards</w:t>
      </w:r>
      <w:r w:rsidR="006620B6" w:rsidRPr="00C854C1">
        <w:t>.</w:t>
      </w:r>
    </w:p>
    <w:p w14:paraId="33A02072" w14:textId="00A40035" w:rsidR="000C716F" w:rsidRPr="00803A5B" w:rsidRDefault="000C716F" w:rsidP="001F4F39">
      <w:pPr>
        <w:pStyle w:val="Heading1"/>
      </w:pPr>
      <w:bookmarkStart w:id="5" w:name="_Toc102073901"/>
      <w:r>
        <w:t xml:space="preserve">Case </w:t>
      </w:r>
      <w:r w:rsidR="001F4F39">
        <w:t>a</w:t>
      </w:r>
      <w:r>
        <w:t xml:space="preserve">gainst </w:t>
      </w:r>
      <w:r w:rsidR="001F4F39">
        <w:t>f</w:t>
      </w:r>
      <w:r>
        <w:t xml:space="preserve">lexible </w:t>
      </w:r>
      <w:r w:rsidR="001F4F39">
        <w:t>w</w:t>
      </w:r>
      <w:r>
        <w:t>orking</w:t>
      </w:r>
      <w:r w:rsidR="00803A5B">
        <w:t xml:space="preserve"> in </w:t>
      </w:r>
      <w:r w:rsidR="001F4F39">
        <w:t>r</w:t>
      </w:r>
      <w:r w:rsidR="00803A5B">
        <w:t xml:space="preserve">elation to </w:t>
      </w:r>
      <w:r w:rsidR="001F4F39">
        <w:t>i</w:t>
      </w:r>
      <w:r w:rsidR="00803A5B">
        <w:t xml:space="preserve">nequality at </w:t>
      </w:r>
      <w:r w:rsidR="001F4F39">
        <w:t>w</w:t>
      </w:r>
      <w:r w:rsidR="00803A5B">
        <w:t>ork</w:t>
      </w:r>
      <w:bookmarkEnd w:id="5"/>
    </w:p>
    <w:p w14:paraId="4FFAF813" w14:textId="77777777" w:rsidR="00803A5B" w:rsidRPr="00803A5B" w:rsidRDefault="00803A5B" w:rsidP="00803A5B">
      <w:pPr>
        <w:rPr>
          <w:b/>
          <w:bCs/>
          <w:sz w:val="28"/>
          <w:szCs w:val="22"/>
        </w:rPr>
      </w:pPr>
      <w:r w:rsidRPr="00803A5B">
        <w:rPr>
          <w:b/>
          <w:bCs/>
          <w:sz w:val="28"/>
          <w:szCs w:val="22"/>
        </w:rPr>
        <w:t>“A case study on how men and women are discriminated with flexible working”</w:t>
      </w:r>
    </w:p>
    <w:p w14:paraId="6A0BD082" w14:textId="77777777" w:rsidR="00803A5B" w:rsidRDefault="00803A5B" w:rsidP="00803A5B">
      <w:r>
        <w:t>Currently, workplaces are increasingly investing in flexible work arrangements in order to better meet the needs of employees who wish to strike a good balance between work and personal obligations. However, it is seen that only a tiny percentage of workers have access to flexible working options and benefit meaningfully from them when they do. Skills are key in understanding such differences, in addition to critical demographic criteria such as gender and age.</w:t>
      </w:r>
    </w:p>
    <w:p w14:paraId="624B02BC" w14:textId="02959A7B" w:rsidR="00803A5B" w:rsidRDefault="00803A5B" w:rsidP="00803A5B">
      <w:r>
        <w:t>Flexible working can re-establish old-fashioned gender norms in both the workplace and the home as a result of society's pre-existing concepts of gender roles and gender normative attitudes about men's and women's obligations and responsibilities</w:t>
      </w:r>
      <w:r w:rsidR="006D39BE">
        <w:t xml:space="preserve"> </w:t>
      </w:r>
      <w:r w:rsidR="006D39BE" w:rsidRPr="006D39BE">
        <w:t>(Grzywacz</w:t>
      </w:r>
      <w:r w:rsidR="006D39BE">
        <w:t xml:space="preserve"> et al.</w:t>
      </w:r>
      <w:r w:rsidR="006D39BE" w:rsidRPr="006D39BE">
        <w:t>, 2014)</w:t>
      </w:r>
      <w:r>
        <w:t>. Men are now mostly relying on flexible work arrangements to improve their performance, and they are expected to do so in exchange for increased pay and other incentives. However, if men's job hours and intensity increase, this may lead to more work-family tensions. Because women are expected to take on more responsibilities at home while working flexibly, this may exacerbate their work-family conflict.</w:t>
      </w:r>
    </w:p>
    <w:p w14:paraId="72B4DBA2" w14:textId="1A6853AA" w:rsidR="00803A5B" w:rsidRDefault="00803A5B" w:rsidP="00803A5B">
      <w:r>
        <w:t>Laborers may also have the choice to limit the number of hours they work, implying a reduction in long periods of work to meet family obligations. Working part-time or full-time during the school year is only one option</w:t>
      </w:r>
      <w:r w:rsidR="0080756A">
        <w:t xml:space="preserve"> </w:t>
      </w:r>
      <w:r w:rsidR="0080756A" w:rsidRPr="0080756A">
        <w:t>(Grzywacz et al., 2014)</w:t>
      </w:r>
      <w:r>
        <w:t>. Home-based teleworkers and those who did not work from home had the same work-life balance. A few of the studies have looked into people's differences in depth and deliberately, while the majority of the findings are based on subjective assessments.</w:t>
      </w:r>
    </w:p>
    <w:p w14:paraId="1F5AC0ED" w14:textId="11BBF22B" w:rsidR="00803A5B" w:rsidRDefault="00803A5B" w:rsidP="00803A5B">
      <w:r>
        <w:t xml:space="preserve">Women are not rewarded for working flexible hours in the same way that men are. This is due to the differing expectations placed on men and women. Countries have a big influence on who gets flexible work schedules and how they're implemented. As a result, public factors are likely to influence how adaptive functioning interacts with orientation fairness and representatives' ability to strike a balance between fun and serious activities. Organizational environments are critical for </w:t>
      </w:r>
      <w:r>
        <w:lastRenderedPageBreak/>
        <w:t>creating flexible working, yet they are frequently disregarded</w:t>
      </w:r>
      <w:r w:rsidR="0080756A">
        <w:t xml:space="preserve"> </w:t>
      </w:r>
      <w:r w:rsidR="0080756A" w:rsidRPr="0080756A">
        <w:t>(Thacker, 2012)</w:t>
      </w:r>
      <w:r>
        <w:t>. When it comes to core hours such as 9 pm to 5 pm and the number of hours a week that employees may work such as 40 hours per week, there are still some restrictions, in contrast to working time autonomy, which in many cases has no such restrictions. A flexible workplace</w:t>
      </w:r>
      <w:r w:rsidR="0080756A">
        <w:t xml:space="preserve"> </w:t>
      </w:r>
      <w:r>
        <w:t>allows employees to work outside of their typical work environment, such as at home.</w:t>
      </w:r>
    </w:p>
    <w:p w14:paraId="05C6CDEE" w14:textId="2E68B741" w:rsidR="000C716F" w:rsidRDefault="00803A5B" w:rsidP="00803A5B">
      <w:r>
        <w:t>Furthermore, studies are complicated by the assumption that people have an equal balance of serious and entertaining activities. Women are more likely to adopt flexible work schedules in order to devote more time to their families, and those who do so are more likely to increase their consideration/housework responsibilities</w:t>
      </w:r>
      <w:r w:rsidR="006D39BE" w:rsidRPr="006D39BE">
        <w:t xml:space="preserve"> (O'Brien and Linehan, 2014)</w:t>
      </w:r>
      <w:r>
        <w:t>. People's assumptions of what flexible working will imply for men and women are based on this. The majority of issues relating to equality and inclusion are caused by complex structural issues. If an employee is uncomfortable engaging in an event or if there is not a group that meets their needs, discrimination may occur. Most employees want to help with these initiatives, but they lack the knowledge and resources to do so</w:t>
      </w:r>
      <w:r w:rsidR="00AD5FF6" w:rsidRPr="00AD5FF6">
        <w:t>.</w:t>
      </w:r>
    </w:p>
    <w:p w14:paraId="2C80450F" w14:textId="61A1BB21" w:rsidR="000C716F" w:rsidRPr="00803A5B" w:rsidRDefault="001F4F39" w:rsidP="001F4F39">
      <w:pPr>
        <w:pStyle w:val="Heading1"/>
      </w:pPr>
      <w:bookmarkStart w:id="6" w:name="_Toc102073902"/>
      <w:r>
        <w:t>R</w:t>
      </w:r>
      <w:r w:rsidR="000C716F">
        <w:t>ole of Human Resources</w:t>
      </w:r>
      <w:r w:rsidR="00803A5B">
        <w:t xml:space="preserve"> in addressing the concerns of inequality that may arise from flexible worki</w:t>
      </w:r>
      <w:r>
        <w:t>ng</w:t>
      </w:r>
      <w:bookmarkEnd w:id="6"/>
    </w:p>
    <w:p w14:paraId="63C86241" w14:textId="14A7FD15" w:rsidR="001F4F39" w:rsidRDefault="001F4F39" w:rsidP="001F4F39">
      <w:r>
        <w:t>Gender stereotypes and the ideal working culture must be improved on a macro level, that is not only in the workplace but also everywhere. Gender normative ideas around mothers' and fathers' responsibilities are unlikely to change, which will influence how flexible men and women use their time at work</w:t>
      </w:r>
      <w:r w:rsidR="006C49E4">
        <w:t xml:space="preserve"> </w:t>
      </w:r>
      <w:r w:rsidR="006C49E4" w:rsidRPr="006C49E4">
        <w:t>(Mone and London, 2013)</w:t>
      </w:r>
      <w:r>
        <w:t>. Business companies' human resource functions should focus on the advancement of gender equality across their operations by providing expertise and information, also improving policies targeted at shifting normative ideas about gender roles. The roles of human resources are described below.</w:t>
      </w:r>
    </w:p>
    <w:p w14:paraId="6F2403A3" w14:textId="77777777" w:rsidR="001F4F39" w:rsidRDefault="001F4F39" w:rsidP="001F4F39">
      <w:pPr>
        <w:pStyle w:val="Heading2"/>
      </w:pPr>
      <w:bookmarkStart w:id="7" w:name="_Toc102073903"/>
      <w:r>
        <w:t>Labor Laws</w:t>
      </w:r>
      <w:bookmarkEnd w:id="7"/>
    </w:p>
    <w:p w14:paraId="196E4709" w14:textId="18FA094D" w:rsidR="001F4F39" w:rsidRDefault="001F4F39" w:rsidP="001F4F39">
      <w:r>
        <w:t>Current labor laws, which are based on 9-to-5 office employment, may not be sufficient to safeguard workers from such dangers. If flexible work schedules become the norm rather than the exception, workers may be better equipped to establish a work-life balance</w:t>
      </w:r>
      <w:r w:rsidR="0080756A">
        <w:t xml:space="preserve"> </w:t>
      </w:r>
      <w:r w:rsidR="0080756A" w:rsidRPr="0080756A">
        <w:t>(Armstrong and Taylor, 2014)</w:t>
      </w:r>
      <w:r>
        <w:t>. Making it easy for employees to request flexible work schedules by amending the law to make it a default rather than an exception will assist to minimize stigma and work-life problems.</w:t>
      </w:r>
    </w:p>
    <w:p w14:paraId="1094076B" w14:textId="77777777" w:rsidR="001F4F39" w:rsidRDefault="001F4F39" w:rsidP="001F4F39">
      <w:pPr>
        <w:pStyle w:val="Heading2"/>
      </w:pPr>
      <w:bookmarkStart w:id="8" w:name="_Toc102073904"/>
      <w:r>
        <w:lastRenderedPageBreak/>
        <w:t>Gender Discrimination Laws</w:t>
      </w:r>
      <w:bookmarkEnd w:id="8"/>
    </w:p>
    <w:p w14:paraId="36A7DB91" w14:textId="098BA6EA" w:rsidR="001F4F39" w:rsidRDefault="001F4F39" w:rsidP="001F4F39">
      <w:r>
        <w:t>Due to such laws, the human resource function must be aware that it is also required to guarantee that flexible working is not used to promote traditional gender norms</w:t>
      </w:r>
      <w:r w:rsidR="006C49E4">
        <w:t xml:space="preserve"> </w:t>
      </w:r>
      <w:r w:rsidR="006C49E4" w:rsidRPr="006C49E4">
        <w:t>(Bogardus, 2004)</w:t>
      </w:r>
      <w:r>
        <w:t>. Better safeguards for employees to avoid family life from intruding on flexible working and blurring boundaries are also important national policies to implement.</w:t>
      </w:r>
    </w:p>
    <w:p w14:paraId="118C4C23" w14:textId="77777777" w:rsidR="001F4F39" w:rsidRDefault="001F4F39" w:rsidP="001F4F39">
      <w:pPr>
        <w:pStyle w:val="Heading2"/>
      </w:pPr>
      <w:bookmarkStart w:id="9" w:name="_Toc102073905"/>
      <w:r>
        <w:t>Paternity Leave</w:t>
      </w:r>
      <w:bookmarkEnd w:id="9"/>
    </w:p>
    <w:p w14:paraId="609F2576" w14:textId="5D9DDB58" w:rsidR="001F4F39" w:rsidRDefault="001F4F39" w:rsidP="001F4F39">
      <w:r>
        <w:t>Even after paternity leave has ended, policy reforms such as enhanced well-paid ear-marked paternity leave, such as those observed in Sweden, have resulted in fathers being more connected with their children and families</w:t>
      </w:r>
      <w:r w:rsidR="006C49E4">
        <w:t xml:space="preserve"> </w:t>
      </w:r>
      <w:r w:rsidR="006C49E4" w:rsidRPr="006C49E4">
        <w:t>(Pilbeam and Marjorie, 2010)</w:t>
      </w:r>
      <w:r>
        <w:t>. As a result, it may be an effective tool for changing gender norms in childcare and family obligations in the country.</w:t>
      </w:r>
    </w:p>
    <w:p w14:paraId="5880DED0" w14:textId="77777777" w:rsidR="001F4F39" w:rsidRDefault="001F4F39" w:rsidP="001F4F39">
      <w:pPr>
        <w:pStyle w:val="Heading2"/>
      </w:pPr>
      <w:bookmarkStart w:id="10" w:name="_Toc102073906"/>
      <w:r>
        <w:t>Risk Awareness</w:t>
      </w:r>
      <w:bookmarkEnd w:id="10"/>
    </w:p>
    <w:p w14:paraId="546D0D43" w14:textId="3ABA90C2" w:rsidR="001F4F39" w:rsidRDefault="001F4F39" w:rsidP="001F4F39">
      <w:r>
        <w:t xml:space="preserve">At the macro and micro levels, </w:t>
      </w:r>
      <w:r w:rsidR="00CC0349">
        <w:t>they</w:t>
      </w:r>
      <w:r>
        <w:t xml:space="preserve"> need to make sure that both employees and supervisors are informed of the risks of flexible working. The best approach to illustrate the best use of flexible working will be to create great role models for senior managers, particularly male managers, who use it for family reasons without work spilling over into other areas of life.</w:t>
      </w:r>
    </w:p>
    <w:p w14:paraId="0B4B25D0" w14:textId="77777777" w:rsidR="001F4F39" w:rsidRDefault="001F4F39" w:rsidP="001F4F39">
      <w:pPr>
        <w:pStyle w:val="Heading2"/>
      </w:pPr>
      <w:bookmarkStart w:id="11" w:name="_Toc102073907"/>
      <w:r>
        <w:t>Family Circumstances</w:t>
      </w:r>
      <w:bookmarkEnd w:id="11"/>
    </w:p>
    <w:p w14:paraId="76A2A4AB" w14:textId="2A6EDC85" w:rsidR="001F4F39" w:rsidRDefault="001F4F39" w:rsidP="001F4F39">
      <w:r>
        <w:t>HR must know how to appropriately evaluate the family circumstances while offering work flexibility in order to promote work-life balance. One alternative is to relieve both work and home responsibilities, which can be a double weight for women who work outside the home. Controlling working hours and adopting flexible time-management models are examples of time-management models that are suited to the needs of employees and their families.</w:t>
      </w:r>
    </w:p>
    <w:p w14:paraId="482DDF3F" w14:textId="77777777" w:rsidR="001F4F39" w:rsidRDefault="001F4F39" w:rsidP="001F4F39">
      <w:pPr>
        <w:pStyle w:val="Heading2"/>
      </w:pPr>
      <w:bookmarkStart w:id="12" w:name="_Toc102073908"/>
      <w:r>
        <w:t>Healthy Organization</w:t>
      </w:r>
      <w:bookmarkEnd w:id="12"/>
    </w:p>
    <w:p w14:paraId="0542E15B" w14:textId="67DCB7CF" w:rsidR="002E438D" w:rsidRDefault="001F4F39" w:rsidP="001F4F39">
      <w:r>
        <w:t>The concept of a healthy organization comes in helpful here. In a healthy company, employee well-being and work-life balance, as well as workplace efficiency, are critical issues. Because work does not happen everywhere and all of the time, it is necessary to build more effective group practices for flexible working</w:t>
      </w:r>
      <w:r w:rsidR="006C49E4">
        <w:t xml:space="preserve"> </w:t>
      </w:r>
      <w:r w:rsidR="006C49E4" w:rsidRPr="006C49E4">
        <w:t>(Bartel, 2014)</w:t>
      </w:r>
      <w:r>
        <w:t xml:space="preserve">. In other words, corporations should only develop flexible work arrangements if they benefit workers both materially and intangibly and if they are </w:t>
      </w:r>
      <w:r>
        <w:lastRenderedPageBreak/>
        <w:t>appropriate to the company's performance. Gender norms and perceptions about whose role it is to care for the family and earn the bread influence some workers' ideas about how flexible working should be used. Challenging some of the gendered assumptions can be an important first step to making a healthy organization</w:t>
      </w:r>
      <w:r w:rsidR="00AD5FF6" w:rsidRPr="00AD5FF6">
        <w:t>.</w:t>
      </w:r>
      <w:r w:rsidR="00AD5FF6">
        <w:t xml:space="preserve"> </w:t>
      </w:r>
    </w:p>
    <w:p w14:paraId="743EBB0F" w14:textId="3E7A7AEE" w:rsidR="000C298B" w:rsidRDefault="000C298B">
      <w:r>
        <w:br w:type="page"/>
      </w:r>
    </w:p>
    <w:p w14:paraId="360888D5" w14:textId="4DB2118C" w:rsidR="000C298B" w:rsidRDefault="000C298B" w:rsidP="001F4F39">
      <w:pPr>
        <w:pStyle w:val="Heading1"/>
      </w:pPr>
      <w:bookmarkStart w:id="13" w:name="_Toc102073909"/>
      <w:r>
        <w:lastRenderedPageBreak/>
        <w:t>Conclusion</w:t>
      </w:r>
      <w:bookmarkEnd w:id="13"/>
    </w:p>
    <w:p w14:paraId="69CD650E" w14:textId="0B273412" w:rsidR="002533ED" w:rsidRDefault="002533ED">
      <w:r>
        <w:t>To conclude, flexible working is important as it</w:t>
      </w:r>
      <w:r w:rsidR="00E36262" w:rsidRPr="00E36262">
        <w:t xml:space="preserve"> entails giving employees the freedom to work for the company in the way and at the time that is most convenient for them.</w:t>
      </w:r>
      <w:r w:rsidR="00E36262">
        <w:t xml:space="preserve"> </w:t>
      </w:r>
      <w:r w:rsidR="00670A88" w:rsidRPr="00670A88">
        <w:t xml:space="preserve">The influence of flexible working on a retail business is examined in this </w:t>
      </w:r>
      <w:r w:rsidR="00270F5E">
        <w:t>report</w:t>
      </w:r>
      <w:r w:rsidR="00670A88" w:rsidRPr="00670A88">
        <w:t xml:space="preserve">. </w:t>
      </w:r>
      <w:r w:rsidR="00270F5E">
        <w:t>Firstly</w:t>
      </w:r>
      <w:r w:rsidR="00670A88" w:rsidRPr="00670A88">
        <w:t xml:space="preserve">, a case has been </w:t>
      </w:r>
      <w:r w:rsidR="00270F5E">
        <w:t>produced</w:t>
      </w:r>
      <w:r w:rsidR="00670A88" w:rsidRPr="00670A88">
        <w:t xml:space="preserve"> for flexible working </w:t>
      </w:r>
      <w:r w:rsidR="00270F5E">
        <w:t>based on two important factors of the workplace,</w:t>
      </w:r>
      <w:r w:rsidR="00670A88" w:rsidRPr="00670A88">
        <w:t xml:space="preserve"> diversity and inclusion. The function of HR in encouraging</w:t>
      </w:r>
      <w:r w:rsidR="00270F5E">
        <w:t xml:space="preserve"> and incorporating</w:t>
      </w:r>
      <w:r w:rsidR="00670A88" w:rsidRPr="00670A88">
        <w:t xml:space="preserve"> diversity and inclusion through flexible working arrangements was </w:t>
      </w:r>
      <w:r w:rsidR="00270F5E">
        <w:t>explained</w:t>
      </w:r>
      <w:r w:rsidR="00670A88" w:rsidRPr="00670A88">
        <w:t>. Second</w:t>
      </w:r>
      <w:r w:rsidR="00270F5E">
        <w:t>ly</w:t>
      </w:r>
      <w:r w:rsidR="00670A88" w:rsidRPr="00670A88">
        <w:t xml:space="preserve">, there has been a discussion </w:t>
      </w:r>
      <w:r>
        <w:t>on the basis of a</w:t>
      </w:r>
      <w:r w:rsidR="00670A88" w:rsidRPr="00670A88">
        <w:t xml:space="preserve"> case </w:t>
      </w:r>
      <w:r>
        <w:t xml:space="preserve">made </w:t>
      </w:r>
      <w:r w:rsidR="00670A88" w:rsidRPr="00670A88">
        <w:t>against flexible working in the context of inequality.</w:t>
      </w:r>
      <w:r>
        <w:t xml:space="preserve"> In this part</w:t>
      </w:r>
      <w:r w:rsidR="00670A88" w:rsidRPr="00670A88">
        <w:t xml:space="preserve">, the role of HR in resolving potential inequalities caused by flexible working </w:t>
      </w:r>
      <w:r>
        <w:t>has been explained</w:t>
      </w:r>
      <w:r w:rsidR="00670A88" w:rsidRPr="00670A88">
        <w:t>.</w:t>
      </w:r>
      <w:r>
        <w:t xml:space="preserve"> As a result, it can be said that not only these three factors play a vital role in the office but also the HR managers.</w:t>
      </w:r>
    </w:p>
    <w:p w14:paraId="4D622E1A" w14:textId="0CD8875B" w:rsidR="000C298B" w:rsidRDefault="000C298B">
      <w:r>
        <w:br w:type="page"/>
      </w:r>
    </w:p>
    <w:p w14:paraId="7CBE6140" w14:textId="666DE822" w:rsidR="00BD4465" w:rsidRDefault="000C298B" w:rsidP="001F4F39">
      <w:pPr>
        <w:pStyle w:val="Heading1"/>
      </w:pPr>
      <w:bookmarkStart w:id="14" w:name="_Toc102073910"/>
      <w:r>
        <w:lastRenderedPageBreak/>
        <w:t>References</w:t>
      </w:r>
      <w:bookmarkEnd w:id="14"/>
    </w:p>
    <w:p w14:paraId="5F9C7E4E" w14:textId="77777777" w:rsidR="00755B04" w:rsidRPr="00755B04" w:rsidRDefault="00755B04" w:rsidP="00755B04">
      <w:pPr>
        <w:jc w:val="left"/>
      </w:pPr>
      <w:r w:rsidRPr="00755B04">
        <w:t>Armstrong, M. and Taylor, S., 2014. </w:t>
      </w:r>
      <w:r w:rsidRPr="00755B04">
        <w:rPr>
          <w:i/>
          <w:iCs/>
        </w:rPr>
        <w:t>Armstrong's handbook of human resource management practice</w:t>
      </w:r>
      <w:r w:rsidRPr="00755B04">
        <w:t>. 13th ed. London: Kogan Page.</w:t>
      </w:r>
    </w:p>
    <w:p w14:paraId="11A655B9" w14:textId="77777777" w:rsidR="00755B04" w:rsidRPr="00755B04" w:rsidRDefault="00755B04" w:rsidP="00755B04">
      <w:pPr>
        <w:jc w:val="left"/>
      </w:pPr>
      <w:r w:rsidRPr="00755B04">
        <w:t>Armstrong, M. and Taylor, S., 2020. </w:t>
      </w:r>
      <w:r w:rsidRPr="00755B04">
        <w:rPr>
          <w:i/>
          <w:iCs/>
        </w:rPr>
        <w:t>Armstrong's handbook of human resource management practice</w:t>
      </w:r>
      <w:r w:rsidRPr="00755B04">
        <w:t>. 15th ed. London, England: Kogan Page.</w:t>
      </w:r>
    </w:p>
    <w:p w14:paraId="35335673" w14:textId="77777777" w:rsidR="00755B04" w:rsidRPr="00755B04" w:rsidRDefault="00755B04" w:rsidP="00755B04">
      <w:pPr>
        <w:jc w:val="left"/>
      </w:pPr>
      <w:r w:rsidRPr="00755B04">
        <w:t>Bartel, A., 2014. </w:t>
      </w:r>
      <w:r w:rsidRPr="00755B04">
        <w:rPr>
          <w:i/>
          <w:iCs/>
        </w:rPr>
        <w:t>International differences in the adoption and impact of new information technologies and new HR practices</w:t>
      </w:r>
      <w:r w:rsidRPr="00755B04">
        <w:t>. 2nd ed. Cambridge, Mass.: National Bureau of Economic Research.</w:t>
      </w:r>
    </w:p>
    <w:p w14:paraId="0D88551E" w14:textId="77777777" w:rsidR="00755B04" w:rsidRPr="00755B04" w:rsidRDefault="00755B04" w:rsidP="00755B04">
      <w:pPr>
        <w:jc w:val="left"/>
      </w:pPr>
      <w:r w:rsidRPr="00755B04">
        <w:t>Bogardus, A., 2004. </w:t>
      </w:r>
      <w:r w:rsidRPr="00755B04">
        <w:rPr>
          <w:i/>
          <w:iCs/>
        </w:rPr>
        <w:t>Human Resources JumpStart</w:t>
      </w:r>
      <w:r w:rsidRPr="00755B04">
        <w:t>. 1st ed. London: SYBEX.</w:t>
      </w:r>
    </w:p>
    <w:p w14:paraId="4236237C" w14:textId="77777777" w:rsidR="00755B04" w:rsidRPr="00755B04" w:rsidRDefault="00755B04" w:rsidP="00755B04">
      <w:pPr>
        <w:jc w:val="left"/>
      </w:pPr>
      <w:r w:rsidRPr="00755B04">
        <w:t>Bond, M. and Haynes, M., 2014. Workplace Diversity: A Social-Ecological Framework and Policy Implications. </w:t>
      </w:r>
      <w:r w:rsidRPr="00755B04">
        <w:rPr>
          <w:i/>
          <w:iCs/>
        </w:rPr>
        <w:t>Social Issues and Policy Review</w:t>
      </w:r>
      <w:r w:rsidRPr="00755B04">
        <w:t>, 8(1), pp.167-201.</w:t>
      </w:r>
    </w:p>
    <w:p w14:paraId="31FC1FBE" w14:textId="77777777" w:rsidR="00755B04" w:rsidRPr="00755B04" w:rsidRDefault="00755B04" w:rsidP="00755B04">
      <w:pPr>
        <w:jc w:val="left"/>
      </w:pPr>
      <w:r w:rsidRPr="00755B04">
        <w:t>Dessler, G., 2020. </w:t>
      </w:r>
      <w:r w:rsidRPr="00755B04">
        <w:rPr>
          <w:i/>
          <w:iCs/>
        </w:rPr>
        <w:t>Human resource management</w:t>
      </w:r>
      <w:r w:rsidRPr="00755B04">
        <w:t>. 8th ed. Harlow, England: Pearson.</w:t>
      </w:r>
    </w:p>
    <w:p w14:paraId="305A91BE" w14:textId="77777777" w:rsidR="00755B04" w:rsidRPr="00755B04" w:rsidRDefault="00755B04" w:rsidP="00755B04">
      <w:pPr>
        <w:jc w:val="left"/>
      </w:pPr>
      <w:r w:rsidRPr="00755B04">
        <w:t>Grzywacz, J., Carlson, D. and Shulkin, S., 2014. Schedule flexibility and stress: Linking formal flexible arrangements and perceived flexibility to employee health. </w:t>
      </w:r>
      <w:r w:rsidRPr="00755B04">
        <w:rPr>
          <w:i/>
          <w:iCs/>
        </w:rPr>
        <w:t>Community, Work, &amp; Family</w:t>
      </w:r>
      <w:r w:rsidRPr="00755B04">
        <w:t>, 11(2), pp.199-214.</w:t>
      </w:r>
    </w:p>
    <w:p w14:paraId="1D95F813" w14:textId="77777777" w:rsidR="00755B04" w:rsidRPr="00755B04" w:rsidRDefault="00755B04" w:rsidP="00755B04">
      <w:pPr>
        <w:jc w:val="left"/>
      </w:pPr>
      <w:r w:rsidRPr="00755B04">
        <w:t>M. Santuzzi, A., Martinez, J. and Keating, R., 2021. The benefits of inclusion for disability measurement in the workplace. </w:t>
      </w:r>
      <w:r w:rsidRPr="00755B04">
        <w:rPr>
          <w:i/>
          <w:iCs/>
        </w:rPr>
        <w:t>Equality, Diversity and Inclusion: An International Journal</w:t>
      </w:r>
      <w:r w:rsidRPr="00755B04">
        <w:t>, 41(3), pp.474-490.</w:t>
      </w:r>
    </w:p>
    <w:p w14:paraId="1D5AA069" w14:textId="77777777" w:rsidR="00755B04" w:rsidRPr="00755B04" w:rsidRDefault="00755B04" w:rsidP="00755B04">
      <w:pPr>
        <w:jc w:val="left"/>
      </w:pPr>
      <w:r w:rsidRPr="00755B04">
        <w:t>Mone, E. and London, M., 2013. </w:t>
      </w:r>
      <w:r w:rsidRPr="00755B04">
        <w:rPr>
          <w:i/>
          <w:iCs/>
        </w:rPr>
        <w:t>HR to the rescue</w:t>
      </w:r>
      <w:r w:rsidRPr="00755B04">
        <w:t>. 7th ed. Woburn, MA: Butterworth Heinemann.</w:t>
      </w:r>
    </w:p>
    <w:p w14:paraId="38C895C4" w14:textId="77777777" w:rsidR="00755B04" w:rsidRPr="00755B04" w:rsidRDefault="00755B04" w:rsidP="00755B04">
      <w:pPr>
        <w:jc w:val="left"/>
      </w:pPr>
      <w:r w:rsidRPr="00755B04">
        <w:t>O'Brien, E. and Linehan, C., 2014. A Balancing Act: Emotional Challenges in the HR Role. </w:t>
      </w:r>
      <w:r w:rsidRPr="00755B04">
        <w:rPr>
          <w:i/>
          <w:iCs/>
        </w:rPr>
        <w:t>Journal of Management Studies</w:t>
      </w:r>
      <w:r w:rsidRPr="00755B04">
        <w:t>, 51(8), pp.1257-1285.</w:t>
      </w:r>
    </w:p>
    <w:p w14:paraId="02264DD5" w14:textId="77777777" w:rsidR="00755B04" w:rsidRPr="00755B04" w:rsidRDefault="00755B04" w:rsidP="00755B04">
      <w:pPr>
        <w:jc w:val="left"/>
      </w:pPr>
      <w:r w:rsidRPr="00755B04">
        <w:t>Pilbeam, S. and Marjorie, C., 2010. </w:t>
      </w:r>
      <w:r w:rsidRPr="00755B04">
        <w:rPr>
          <w:i/>
          <w:iCs/>
        </w:rPr>
        <w:t>People resourcing and talent planning: HRM in practice</w:t>
      </w:r>
      <w:r w:rsidRPr="00755B04">
        <w:t>. 4th ed. Harlow, England: Prentice Hall.</w:t>
      </w:r>
    </w:p>
    <w:p w14:paraId="12849EC0" w14:textId="77777777" w:rsidR="00755B04" w:rsidRPr="00755B04" w:rsidRDefault="00755B04" w:rsidP="00755B04">
      <w:pPr>
        <w:jc w:val="left"/>
      </w:pPr>
      <w:r w:rsidRPr="00755B04">
        <w:t>Thacker, R., 2012. Introduction to special issue on Human Resource Management certification. </w:t>
      </w:r>
      <w:r w:rsidRPr="00755B04">
        <w:rPr>
          <w:i/>
          <w:iCs/>
        </w:rPr>
        <w:t>Human Resource Management Review</w:t>
      </w:r>
      <w:r w:rsidRPr="00755B04">
        <w:t>, 22(4), p.245.</w:t>
      </w:r>
    </w:p>
    <w:p w14:paraId="7622761A" w14:textId="09241510" w:rsidR="00670A88" w:rsidRDefault="00755B04" w:rsidP="00755B04">
      <w:pPr>
        <w:jc w:val="left"/>
      </w:pPr>
      <w:r w:rsidRPr="00755B04">
        <w:lastRenderedPageBreak/>
        <w:t>Torrington, D., Hall, L., Atkinson, C. and Taylor, S., 2017. </w:t>
      </w:r>
      <w:r w:rsidRPr="00755B04">
        <w:rPr>
          <w:i/>
          <w:iCs/>
        </w:rPr>
        <w:t>Human resource management</w:t>
      </w:r>
      <w:r w:rsidRPr="00755B04">
        <w:t>. 10th ed. Harlow, England: Pearson.</w:t>
      </w:r>
    </w:p>
    <w:sectPr w:rsidR="00670A88">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6C63B0" w14:textId="77777777" w:rsidR="001A300E" w:rsidRDefault="001A300E" w:rsidP="00CC0349">
      <w:pPr>
        <w:spacing w:after="0" w:line="240" w:lineRule="auto"/>
      </w:pPr>
      <w:r>
        <w:separator/>
      </w:r>
    </w:p>
  </w:endnote>
  <w:endnote w:type="continuationSeparator" w:id="0">
    <w:p w14:paraId="581D6CFF" w14:textId="77777777" w:rsidR="001A300E" w:rsidRDefault="001A300E" w:rsidP="00CC03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5882360"/>
      <w:docPartObj>
        <w:docPartGallery w:val="Page Numbers (Bottom of Page)"/>
        <w:docPartUnique/>
      </w:docPartObj>
    </w:sdtPr>
    <w:sdtEndPr>
      <w:rPr>
        <w:noProof/>
      </w:rPr>
    </w:sdtEndPr>
    <w:sdtContent>
      <w:p w14:paraId="1AC6DCC3" w14:textId="18B93E92" w:rsidR="00CC0349" w:rsidRDefault="00CC034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CDD1D2E" w14:textId="77777777" w:rsidR="00CC0349" w:rsidRDefault="00CC03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B568D4" w14:textId="77777777" w:rsidR="001A300E" w:rsidRDefault="001A300E" w:rsidP="00CC0349">
      <w:pPr>
        <w:spacing w:after="0" w:line="240" w:lineRule="auto"/>
      </w:pPr>
      <w:r>
        <w:separator/>
      </w:r>
    </w:p>
  </w:footnote>
  <w:footnote w:type="continuationSeparator" w:id="0">
    <w:p w14:paraId="48B43E38" w14:textId="77777777" w:rsidR="001A300E" w:rsidRDefault="001A300E" w:rsidP="00CC03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422E10"/>
    <w:multiLevelType w:val="hybridMultilevel"/>
    <w:tmpl w:val="91E456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7A44BA4"/>
    <w:multiLevelType w:val="hybridMultilevel"/>
    <w:tmpl w:val="C504B9C2"/>
    <w:lvl w:ilvl="0" w:tplc="C99AD460">
      <w:start w:val="1"/>
      <w:numFmt w:val="bullet"/>
      <w:lvlText w:val=""/>
      <w:lvlJc w:val="left"/>
      <w:pPr>
        <w:ind w:left="720" w:hanging="360"/>
      </w:pPr>
      <w:rPr>
        <w:rFonts w:ascii="Symbol" w:hAnsi="Symbol" w:hint="default"/>
        <w:b/>
        <w:bCs/>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46939191">
    <w:abstractNumId w:val="0"/>
  </w:num>
  <w:num w:numId="2" w16cid:durableId="11896100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792A"/>
    <w:rsid w:val="000060FB"/>
    <w:rsid w:val="00015486"/>
    <w:rsid w:val="00070A29"/>
    <w:rsid w:val="00091F7F"/>
    <w:rsid w:val="000C298B"/>
    <w:rsid w:val="000C716F"/>
    <w:rsid w:val="00136729"/>
    <w:rsid w:val="001A300E"/>
    <w:rsid w:val="001E6731"/>
    <w:rsid w:val="001F4F39"/>
    <w:rsid w:val="00224A30"/>
    <w:rsid w:val="002533ED"/>
    <w:rsid w:val="00270F5E"/>
    <w:rsid w:val="002E438D"/>
    <w:rsid w:val="00405E35"/>
    <w:rsid w:val="004871D1"/>
    <w:rsid w:val="004D32AA"/>
    <w:rsid w:val="00587D64"/>
    <w:rsid w:val="005B5224"/>
    <w:rsid w:val="005E2A65"/>
    <w:rsid w:val="006620B6"/>
    <w:rsid w:val="00670A88"/>
    <w:rsid w:val="006B4986"/>
    <w:rsid w:val="006C49E4"/>
    <w:rsid w:val="006D39BE"/>
    <w:rsid w:val="00755B04"/>
    <w:rsid w:val="00760D5C"/>
    <w:rsid w:val="007F5AFC"/>
    <w:rsid w:val="00803A5B"/>
    <w:rsid w:val="0080756A"/>
    <w:rsid w:val="008754B8"/>
    <w:rsid w:val="00895BAF"/>
    <w:rsid w:val="009D6AA7"/>
    <w:rsid w:val="00A82C5D"/>
    <w:rsid w:val="00AA792A"/>
    <w:rsid w:val="00AD5FF6"/>
    <w:rsid w:val="00B71EBE"/>
    <w:rsid w:val="00B815E0"/>
    <w:rsid w:val="00BB3137"/>
    <w:rsid w:val="00BB6E7A"/>
    <w:rsid w:val="00BD4465"/>
    <w:rsid w:val="00C854C1"/>
    <w:rsid w:val="00CC0349"/>
    <w:rsid w:val="00CE6DCF"/>
    <w:rsid w:val="00D7461E"/>
    <w:rsid w:val="00E36262"/>
    <w:rsid w:val="00E41153"/>
    <w:rsid w:val="00E81C47"/>
    <w:rsid w:val="00EC0CBE"/>
    <w:rsid w:val="00EE6418"/>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A5BC8D"/>
  <w15:chartTrackingRefBased/>
  <w15:docId w15:val="{8D9583D1-DE36-4414-8AC3-074BAB9D53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lang w:val="en-US"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5486"/>
  </w:style>
  <w:style w:type="paragraph" w:styleId="Heading1">
    <w:name w:val="heading 1"/>
    <w:link w:val="Heading1Char"/>
    <w:autoRedefine/>
    <w:uiPriority w:val="9"/>
    <w:qFormat/>
    <w:rsid w:val="001F4F39"/>
    <w:pPr>
      <w:keepNext/>
      <w:keepLines/>
      <w:spacing w:before="120" w:after="120"/>
      <w:jc w:val="left"/>
      <w:outlineLvl w:val="0"/>
    </w:pPr>
    <w:rPr>
      <w:rFonts w:eastAsiaTheme="majorEastAsia" w:cstheme="majorBidi"/>
      <w:b/>
      <w:sz w:val="32"/>
      <w:szCs w:val="32"/>
    </w:rPr>
  </w:style>
  <w:style w:type="paragraph" w:styleId="Heading2">
    <w:name w:val="heading 2"/>
    <w:link w:val="Heading2Char"/>
    <w:autoRedefine/>
    <w:uiPriority w:val="9"/>
    <w:unhideWhenUsed/>
    <w:qFormat/>
    <w:rsid w:val="00015486"/>
    <w:pPr>
      <w:keepNext/>
      <w:keepLines/>
      <w:spacing w:before="120" w:after="12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4F39"/>
    <w:rPr>
      <w:rFonts w:eastAsiaTheme="majorEastAsia" w:cstheme="majorBidi"/>
      <w:b/>
      <w:sz w:val="32"/>
      <w:szCs w:val="32"/>
    </w:rPr>
  </w:style>
  <w:style w:type="character" w:customStyle="1" w:styleId="Heading2Char">
    <w:name w:val="Heading 2 Char"/>
    <w:basedOn w:val="DefaultParagraphFont"/>
    <w:link w:val="Heading2"/>
    <w:uiPriority w:val="9"/>
    <w:rsid w:val="00015486"/>
    <w:rPr>
      <w:rFonts w:ascii="Times New Roman" w:eastAsiaTheme="majorEastAsia" w:hAnsi="Times New Roman" w:cstheme="majorBidi"/>
      <w:b/>
      <w:sz w:val="28"/>
      <w:szCs w:val="26"/>
    </w:rPr>
  </w:style>
  <w:style w:type="paragraph" w:styleId="TOCHeading">
    <w:name w:val="TOC Heading"/>
    <w:basedOn w:val="Heading1"/>
    <w:next w:val="Normal"/>
    <w:uiPriority w:val="39"/>
    <w:unhideWhenUsed/>
    <w:qFormat/>
    <w:rsid w:val="005E2A65"/>
    <w:pPr>
      <w:spacing w:before="240" w:after="0" w:line="259" w:lineRule="auto"/>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5E2A65"/>
    <w:pPr>
      <w:spacing w:after="100"/>
    </w:pPr>
  </w:style>
  <w:style w:type="character" w:styleId="Hyperlink">
    <w:name w:val="Hyperlink"/>
    <w:basedOn w:val="DefaultParagraphFont"/>
    <w:uiPriority w:val="99"/>
    <w:unhideWhenUsed/>
    <w:rsid w:val="005E2A65"/>
    <w:rPr>
      <w:color w:val="0563C1" w:themeColor="hyperlink"/>
      <w:u w:val="single"/>
    </w:rPr>
  </w:style>
  <w:style w:type="paragraph" w:styleId="TOC2">
    <w:name w:val="toc 2"/>
    <w:basedOn w:val="Normal"/>
    <w:next w:val="Normal"/>
    <w:autoRedefine/>
    <w:uiPriority w:val="39"/>
    <w:unhideWhenUsed/>
    <w:rsid w:val="001F4F39"/>
    <w:pPr>
      <w:spacing w:after="100"/>
      <w:ind w:left="240"/>
    </w:pPr>
  </w:style>
  <w:style w:type="paragraph" w:styleId="ListParagraph">
    <w:name w:val="List Paragraph"/>
    <w:basedOn w:val="Normal"/>
    <w:uiPriority w:val="34"/>
    <w:qFormat/>
    <w:rsid w:val="00EE6418"/>
    <w:pPr>
      <w:ind w:left="720"/>
      <w:contextualSpacing/>
    </w:pPr>
  </w:style>
  <w:style w:type="paragraph" w:styleId="Header">
    <w:name w:val="header"/>
    <w:basedOn w:val="Normal"/>
    <w:link w:val="HeaderChar"/>
    <w:uiPriority w:val="99"/>
    <w:unhideWhenUsed/>
    <w:rsid w:val="00CC0349"/>
    <w:pPr>
      <w:tabs>
        <w:tab w:val="center" w:pos="4680"/>
        <w:tab w:val="right" w:pos="9360"/>
      </w:tabs>
      <w:spacing w:after="0" w:line="240" w:lineRule="auto"/>
    </w:pPr>
  </w:style>
  <w:style w:type="character" w:customStyle="1" w:styleId="HeaderChar">
    <w:name w:val="Header Char"/>
    <w:basedOn w:val="DefaultParagraphFont"/>
    <w:link w:val="Header"/>
    <w:uiPriority w:val="99"/>
    <w:rsid w:val="00CC0349"/>
  </w:style>
  <w:style w:type="paragraph" w:styleId="Footer">
    <w:name w:val="footer"/>
    <w:basedOn w:val="Normal"/>
    <w:link w:val="FooterChar"/>
    <w:uiPriority w:val="99"/>
    <w:unhideWhenUsed/>
    <w:rsid w:val="00CC0349"/>
    <w:pPr>
      <w:tabs>
        <w:tab w:val="center" w:pos="4680"/>
        <w:tab w:val="right" w:pos="9360"/>
      </w:tabs>
      <w:spacing w:after="0" w:line="240" w:lineRule="auto"/>
    </w:pPr>
  </w:style>
  <w:style w:type="character" w:customStyle="1" w:styleId="FooterChar">
    <w:name w:val="Footer Char"/>
    <w:basedOn w:val="DefaultParagraphFont"/>
    <w:link w:val="Footer"/>
    <w:uiPriority w:val="99"/>
    <w:rsid w:val="00CC03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5959025">
      <w:bodyDiv w:val="1"/>
      <w:marLeft w:val="0"/>
      <w:marRight w:val="0"/>
      <w:marTop w:val="0"/>
      <w:marBottom w:val="0"/>
      <w:divBdr>
        <w:top w:val="none" w:sz="0" w:space="0" w:color="auto"/>
        <w:left w:val="none" w:sz="0" w:space="0" w:color="auto"/>
        <w:bottom w:val="none" w:sz="0" w:space="0" w:color="auto"/>
        <w:right w:val="none" w:sz="0" w:space="0" w:color="auto"/>
      </w:divBdr>
    </w:div>
    <w:div w:id="3548443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559661-83F1-4AFA-BA31-D3FCEDA195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355</TotalTime>
  <Pages>13</Pages>
  <Words>2902</Words>
  <Characters>16546</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19410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Constantin Alui-Gheorghe</cp:lastModifiedBy>
  <cp:revision>15</cp:revision>
  <dcterms:created xsi:type="dcterms:W3CDTF">2022-04-27T02:18:00Z</dcterms:created>
  <dcterms:modified xsi:type="dcterms:W3CDTF">2022-05-02T14:22:00Z</dcterms:modified>
  <cp:category/>
</cp:coreProperties>
</file>