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5AF7E" w14:textId="3F9C4970" w:rsidR="003313B9" w:rsidRDefault="00683E16" w:rsidP="003313B9">
      <w:pPr>
        <w:jc w:val="center"/>
        <w:rPr>
          <w:b/>
          <w:sz w:val="32"/>
        </w:rPr>
      </w:pPr>
      <w:r>
        <w:rPr>
          <w:b/>
          <w:sz w:val="32"/>
        </w:rPr>
        <w:t xml:space="preserve"> Module </w:t>
      </w:r>
      <w:r w:rsidR="003313B9">
        <w:rPr>
          <w:b/>
          <w:sz w:val="32"/>
        </w:rPr>
        <w:t>code:</w:t>
      </w:r>
      <w:r>
        <w:rPr>
          <w:b/>
          <w:sz w:val="32"/>
        </w:rPr>
        <w:t xml:space="preserve"> </w:t>
      </w:r>
      <w:r w:rsidR="003313B9">
        <w:rPr>
          <w:b/>
          <w:sz w:val="32"/>
        </w:rPr>
        <w:t>LCBB4001</w:t>
      </w:r>
    </w:p>
    <w:p w14:paraId="2E5B773B" w14:textId="72C4AA38" w:rsidR="006909C1" w:rsidRDefault="003313B9" w:rsidP="003313B9">
      <w:pPr>
        <w:jc w:val="center"/>
        <w:rPr>
          <w:b/>
          <w:sz w:val="32"/>
        </w:rPr>
      </w:pPr>
      <w:r>
        <w:rPr>
          <w:b/>
          <w:sz w:val="32"/>
        </w:rPr>
        <w:t>Moldule Name:Accounting Fundamentals-Assesment 1</w:t>
      </w:r>
    </w:p>
    <w:p w14:paraId="05F9E23C" w14:textId="47749F5C" w:rsidR="006909C1" w:rsidRDefault="003313B9" w:rsidP="003313B9">
      <w:pPr>
        <w:tabs>
          <w:tab w:val="left" w:pos="1500"/>
        </w:tabs>
        <w:rPr>
          <w:b/>
          <w:sz w:val="32"/>
        </w:rPr>
      </w:pPr>
      <w:r>
        <w:rPr>
          <w:b/>
          <w:sz w:val="32"/>
        </w:rPr>
        <w:tab/>
        <w:t xml:space="preserve">Student </w:t>
      </w:r>
      <w:r w:rsidR="00683E16">
        <w:rPr>
          <w:b/>
          <w:sz w:val="32"/>
        </w:rPr>
        <w:t>Name: Mariya Ilieva Ilieva</w:t>
      </w:r>
    </w:p>
    <w:p w14:paraId="5E68DC6E" w14:textId="1C4825F4" w:rsidR="006909C1" w:rsidRDefault="00683E16" w:rsidP="00683E16">
      <w:pPr>
        <w:tabs>
          <w:tab w:val="left" w:pos="1730"/>
        </w:tabs>
        <w:rPr>
          <w:b/>
          <w:sz w:val="32"/>
        </w:rPr>
      </w:pPr>
      <w:r>
        <w:rPr>
          <w:b/>
          <w:sz w:val="32"/>
        </w:rPr>
        <w:tab/>
        <w:t xml:space="preserve">            Student ID: 2123768</w:t>
      </w:r>
    </w:p>
    <w:p w14:paraId="77DD507C" w14:textId="77777777" w:rsidR="006909C1" w:rsidRDefault="006909C1" w:rsidP="006909C1">
      <w:pPr>
        <w:jc w:val="center"/>
        <w:rPr>
          <w:b/>
          <w:sz w:val="32"/>
        </w:rPr>
      </w:pPr>
    </w:p>
    <w:p w14:paraId="00658DCD" w14:textId="77777777" w:rsidR="006909C1" w:rsidRDefault="006909C1" w:rsidP="006909C1">
      <w:pPr>
        <w:jc w:val="center"/>
        <w:rPr>
          <w:b/>
          <w:sz w:val="32"/>
        </w:rPr>
      </w:pPr>
    </w:p>
    <w:p w14:paraId="52FDA28D" w14:textId="77777777" w:rsidR="006909C1" w:rsidRDefault="006909C1" w:rsidP="006909C1">
      <w:pPr>
        <w:jc w:val="center"/>
        <w:rPr>
          <w:b/>
          <w:sz w:val="32"/>
        </w:rPr>
      </w:pPr>
    </w:p>
    <w:p w14:paraId="6751D416" w14:textId="77777777" w:rsidR="006909C1" w:rsidRDefault="006909C1" w:rsidP="006909C1">
      <w:pPr>
        <w:jc w:val="center"/>
        <w:rPr>
          <w:b/>
          <w:sz w:val="32"/>
        </w:rPr>
      </w:pPr>
    </w:p>
    <w:p w14:paraId="4942488D" w14:textId="77777777" w:rsidR="006909C1" w:rsidRDefault="006909C1" w:rsidP="006909C1">
      <w:pPr>
        <w:jc w:val="center"/>
        <w:rPr>
          <w:b/>
          <w:sz w:val="32"/>
        </w:rPr>
      </w:pPr>
    </w:p>
    <w:p w14:paraId="0EE62D08" w14:textId="77777777" w:rsidR="006909C1" w:rsidRDefault="006909C1" w:rsidP="006909C1">
      <w:pPr>
        <w:pBdr>
          <w:bottom w:val="single" w:sz="4" w:space="1" w:color="auto"/>
        </w:pBdr>
        <w:jc w:val="center"/>
        <w:rPr>
          <w:b/>
        </w:rPr>
      </w:pPr>
      <w:r>
        <w:rPr>
          <w:b/>
          <w:sz w:val="32"/>
        </w:rPr>
        <w:t xml:space="preserve">“ACCOUNTING FUNDAMENTALS” </w:t>
      </w:r>
      <w:r>
        <w:rPr>
          <w:b/>
        </w:rPr>
        <w:br w:type="page"/>
      </w:r>
    </w:p>
    <w:sdt>
      <w:sdtPr>
        <w:rPr>
          <w:rFonts w:ascii="Times New Roman" w:eastAsia="Times New Roman" w:hAnsi="Times New Roman" w:cs="Times New Roman"/>
          <w:b w:val="0"/>
          <w:bCs w:val="0"/>
          <w:color w:val="auto"/>
          <w:sz w:val="24"/>
          <w:szCs w:val="24"/>
          <w:lang w:val="en-GB" w:eastAsia="en-IN"/>
        </w:rPr>
        <w:id w:val="-1316331826"/>
        <w:docPartObj>
          <w:docPartGallery w:val="Table of Contents"/>
          <w:docPartUnique/>
        </w:docPartObj>
      </w:sdtPr>
      <w:sdtContent>
        <w:p w14:paraId="2F5A3D49" w14:textId="77777777" w:rsidR="006909C1" w:rsidRDefault="006909C1" w:rsidP="006909C1">
          <w:pPr>
            <w:pStyle w:val="TOCHeading"/>
            <w:jc w:val="center"/>
            <w:rPr>
              <w:rFonts w:ascii="Times New Roman" w:hAnsi="Times New Roman" w:cs="Times New Roman"/>
              <w:color w:val="000000" w:themeColor="text1"/>
            </w:rPr>
          </w:pPr>
          <w:r>
            <w:rPr>
              <w:rFonts w:ascii="Times New Roman" w:hAnsi="Times New Roman" w:cs="Times New Roman"/>
              <w:color w:val="000000" w:themeColor="text1"/>
            </w:rPr>
            <w:t>Table of Contents</w:t>
          </w:r>
        </w:p>
        <w:p w14:paraId="33EDE7E5" w14:textId="77777777" w:rsidR="006909C1" w:rsidRDefault="006909C1" w:rsidP="006909C1">
          <w:pPr>
            <w:pStyle w:val="TOC1"/>
            <w:tabs>
              <w:tab w:val="right" w:leader="dot" w:pos="9016"/>
            </w:tabs>
            <w:rPr>
              <w:noProof/>
            </w:rPr>
          </w:pPr>
          <w:r>
            <w:fldChar w:fldCharType="begin"/>
          </w:r>
          <w:r>
            <w:instrText xml:space="preserve"> TOC \o "1-3" \h \z \u </w:instrText>
          </w:r>
          <w:r>
            <w:fldChar w:fldCharType="separate"/>
          </w:r>
          <w:hyperlink r:id="rId4" w:anchor="_Toc109475537"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_Toc109475537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48E615E1" w14:textId="77777777" w:rsidR="006909C1" w:rsidRDefault="00000000" w:rsidP="006909C1">
          <w:pPr>
            <w:pStyle w:val="TOC1"/>
            <w:tabs>
              <w:tab w:val="right" w:leader="dot" w:pos="9016"/>
            </w:tabs>
            <w:rPr>
              <w:noProof/>
            </w:rPr>
          </w:pPr>
          <w:hyperlink r:id="rId5" w:anchor="_Toc109475538" w:history="1">
            <w:r w:rsidR="006909C1">
              <w:rPr>
                <w:rStyle w:val="Hyperlink"/>
                <w:noProof/>
              </w:rPr>
              <w:t>Answer for Question No: 1</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_Toc109475538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3</w:t>
            </w:r>
            <w:r w:rsidR="006909C1">
              <w:rPr>
                <w:rStyle w:val="Hyperlink"/>
                <w:noProof/>
                <w:webHidden/>
                <w:color w:val="auto"/>
              </w:rPr>
              <w:fldChar w:fldCharType="end"/>
            </w:r>
          </w:hyperlink>
        </w:p>
        <w:p w14:paraId="3DE242D6" w14:textId="77777777" w:rsidR="006909C1" w:rsidRDefault="00000000" w:rsidP="006909C1">
          <w:pPr>
            <w:pStyle w:val="TOC2"/>
            <w:tabs>
              <w:tab w:val="right" w:leader="dot" w:pos="9016"/>
            </w:tabs>
            <w:rPr>
              <w:noProof/>
            </w:rPr>
          </w:pPr>
          <w:hyperlink r:id="rId6" w:anchor="_Toc109475539" w:history="1">
            <w:r w:rsidR="006909C1">
              <w:rPr>
                <w:rStyle w:val="Hyperlink"/>
                <w:noProof/>
              </w:rPr>
              <w:t>Part A: Computing “income statement and balance sheet of business”</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_Toc109475539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3</w:t>
            </w:r>
            <w:r w:rsidR="006909C1">
              <w:rPr>
                <w:rStyle w:val="Hyperlink"/>
                <w:noProof/>
                <w:webHidden/>
                <w:color w:val="auto"/>
              </w:rPr>
              <w:fldChar w:fldCharType="end"/>
            </w:r>
          </w:hyperlink>
        </w:p>
        <w:p w14:paraId="2C2AED60" w14:textId="77777777" w:rsidR="006909C1" w:rsidRDefault="00000000" w:rsidP="006909C1">
          <w:pPr>
            <w:pStyle w:val="TOC2"/>
            <w:tabs>
              <w:tab w:val="right" w:leader="dot" w:pos="9016"/>
            </w:tabs>
            <w:rPr>
              <w:noProof/>
            </w:rPr>
          </w:pPr>
          <w:hyperlink r:id="rId7" w:anchor="_Toc109475540" w:history="1">
            <w:r w:rsidR="006909C1">
              <w:rPr>
                <w:rStyle w:val="Hyperlink"/>
                <w:noProof/>
              </w:rPr>
              <w:t>Part B: “Analysis of primary reasons behind, statement of financial position balance”</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_Toc109475540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7</w:t>
            </w:r>
            <w:r w:rsidR="006909C1">
              <w:rPr>
                <w:rStyle w:val="Hyperlink"/>
                <w:noProof/>
                <w:webHidden/>
                <w:color w:val="auto"/>
              </w:rPr>
              <w:fldChar w:fldCharType="end"/>
            </w:r>
          </w:hyperlink>
        </w:p>
        <w:p w14:paraId="05E1495B" w14:textId="77777777" w:rsidR="006909C1" w:rsidRDefault="00000000" w:rsidP="006909C1">
          <w:pPr>
            <w:pStyle w:val="TOC1"/>
            <w:tabs>
              <w:tab w:val="right" w:leader="dot" w:pos="9016"/>
            </w:tabs>
            <w:rPr>
              <w:noProof/>
            </w:rPr>
          </w:pPr>
          <w:hyperlink r:id="rId8" w:anchor="_Toc109475541" w:history="1">
            <w:r w:rsidR="006909C1">
              <w:rPr>
                <w:rStyle w:val="Hyperlink"/>
                <w:noProof/>
              </w:rPr>
              <w:t>Answer for Question No: 2</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_Toc109475541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8</w:t>
            </w:r>
            <w:r w:rsidR="006909C1">
              <w:rPr>
                <w:rStyle w:val="Hyperlink"/>
                <w:noProof/>
                <w:webHidden/>
                <w:color w:val="auto"/>
              </w:rPr>
              <w:fldChar w:fldCharType="end"/>
            </w:r>
          </w:hyperlink>
        </w:p>
        <w:p w14:paraId="2EC7D47E" w14:textId="77777777" w:rsidR="006909C1" w:rsidRDefault="00000000" w:rsidP="006909C1">
          <w:pPr>
            <w:pStyle w:val="TOC2"/>
            <w:tabs>
              <w:tab w:val="right" w:leader="dot" w:pos="9016"/>
            </w:tabs>
            <w:rPr>
              <w:noProof/>
            </w:rPr>
          </w:pPr>
          <w:hyperlink r:id="rId9" w:anchor="_Toc109475542" w:history="1">
            <w:r w:rsidR="006909C1">
              <w:rPr>
                <w:rStyle w:val="Hyperlink"/>
                <w:noProof/>
              </w:rPr>
              <w:t>Part A: Computing “accounting ratios for business Sweets plc”</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_Toc109475542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8</w:t>
            </w:r>
            <w:r w:rsidR="006909C1">
              <w:rPr>
                <w:rStyle w:val="Hyperlink"/>
                <w:noProof/>
                <w:webHidden/>
                <w:color w:val="auto"/>
              </w:rPr>
              <w:fldChar w:fldCharType="end"/>
            </w:r>
          </w:hyperlink>
        </w:p>
        <w:p w14:paraId="432FB499" w14:textId="77777777" w:rsidR="006909C1" w:rsidRDefault="00000000" w:rsidP="006909C1">
          <w:pPr>
            <w:pStyle w:val="TOC2"/>
            <w:tabs>
              <w:tab w:val="right" w:leader="dot" w:pos="9016"/>
            </w:tabs>
            <w:rPr>
              <w:noProof/>
            </w:rPr>
          </w:pPr>
          <w:hyperlink r:id="rId10" w:anchor="_Toc109475543" w:history="1">
            <w:r w:rsidR="006909C1">
              <w:rPr>
                <w:rStyle w:val="Hyperlink"/>
                <w:noProof/>
              </w:rPr>
              <w:t>Part B: “Identifying current financial performance and position of Sweets plc”</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_Toc109475543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10</w:t>
            </w:r>
            <w:r w:rsidR="006909C1">
              <w:rPr>
                <w:rStyle w:val="Hyperlink"/>
                <w:noProof/>
                <w:webHidden/>
                <w:color w:val="auto"/>
              </w:rPr>
              <w:fldChar w:fldCharType="end"/>
            </w:r>
          </w:hyperlink>
        </w:p>
        <w:p w14:paraId="18302EB8" w14:textId="77777777" w:rsidR="006909C1" w:rsidRDefault="00000000" w:rsidP="006909C1">
          <w:pPr>
            <w:pStyle w:val="TOC1"/>
            <w:tabs>
              <w:tab w:val="right" w:leader="dot" w:pos="9016"/>
            </w:tabs>
            <w:rPr>
              <w:noProof/>
            </w:rPr>
          </w:pPr>
          <w:hyperlink r:id="rId11" w:anchor="_Toc109475544" w:history="1">
            <w:r w:rsidR="006909C1">
              <w:rPr>
                <w:rStyle w:val="Hyperlink"/>
                <w:noProof/>
              </w:rPr>
              <w:t>Conclusions</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_Toc109475544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14</w:t>
            </w:r>
            <w:r w:rsidR="006909C1">
              <w:rPr>
                <w:rStyle w:val="Hyperlink"/>
                <w:noProof/>
                <w:webHidden/>
                <w:color w:val="auto"/>
              </w:rPr>
              <w:fldChar w:fldCharType="end"/>
            </w:r>
          </w:hyperlink>
        </w:p>
        <w:p w14:paraId="0B7D1A38" w14:textId="77777777" w:rsidR="006909C1" w:rsidRDefault="00000000" w:rsidP="006909C1">
          <w:pPr>
            <w:pStyle w:val="TOC1"/>
            <w:tabs>
              <w:tab w:val="right" w:leader="dot" w:pos="9016"/>
            </w:tabs>
            <w:rPr>
              <w:noProof/>
            </w:rPr>
          </w:pPr>
          <w:hyperlink r:id="rId12" w:anchor="_Toc109475545" w:history="1">
            <w:r w:rsidR="006909C1">
              <w:rPr>
                <w:rStyle w:val="Hyperlink"/>
                <w:noProof/>
              </w:rPr>
              <w:t>References</w:t>
            </w:r>
            <w:r w:rsidR="006909C1">
              <w:rPr>
                <w:rStyle w:val="Hyperlink"/>
                <w:noProof/>
                <w:webHidden/>
                <w:color w:val="auto"/>
              </w:rPr>
              <w:tab/>
            </w:r>
            <w:r w:rsidR="006909C1">
              <w:rPr>
                <w:rStyle w:val="Hyperlink"/>
                <w:noProof/>
                <w:webHidden/>
                <w:color w:val="auto"/>
              </w:rPr>
              <w:fldChar w:fldCharType="begin"/>
            </w:r>
            <w:r w:rsidR="006909C1">
              <w:rPr>
                <w:rStyle w:val="Hyperlink"/>
                <w:noProof/>
                <w:webHidden/>
                <w:color w:val="auto"/>
              </w:rPr>
              <w:instrText xml:space="preserve"> PAGEREF _Toc109475545 \h </w:instrText>
            </w:r>
            <w:r w:rsidR="006909C1">
              <w:rPr>
                <w:rStyle w:val="Hyperlink"/>
                <w:noProof/>
                <w:webHidden/>
                <w:color w:val="auto"/>
              </w:rPr>
            </w:r>
            <w:r w:rsidR="006909C1">
              <w:rPr>
                <w:rStyle w:val="Hyperlink"/>
                <w:noProof/>
                <w:webHidden/>
                <w:color w:val="auto"/>
              </w:rPr>
              <w:fldChar w:fldCharType="separate"/>
            </w:r>
            <w:r w:rsidR="006909C1">
              <w:rPr>
                <w:rStyle w:val="Hyperlink"/>
                <w:noProof/>
                <w:webHidden/>
                <w:color w:val="auto"/>
              </w:rPr>
              <w:t>16</w:t>
            </w:r>
            <w:r w:rsidR="006909C1">
              <w:rPr>
                <w:rStyle w:val="Hyperlink"/>
                <w:noProof/>
                <w:webHidden/>
                <w:color w:val="auto"/>
              </w:rPr>
              <w:fldChar w:fldCharType="end"/>
            </w:r>
          </w:hyperlink>
        </w:p>
        <w:p w14:paraId="596393DC" w14:textId="77777777" w:rsidR="006909C1" w:rsidRDefault="006909C1" w:rsidP="006909C1">
          <w:r>
            <w:rPr>
              <w:b/>
              <w:bCs/>
              <w:noProof/>
            </w:rPr>
            <w:fldChar w:fldCharType="end"/>
          </w:r>
        </w:p>
      </w:sdtContent>
    </w:sdt>
    <w:p w14:paraId="5C2C3DA1" w14:textId="77777777" w:rsidR="006909C1" w:rsidRDefault="006909C1" w:rsidP="006909C1">
      <w:pPr>
        <w:rPr>
          <w:b/>
        </w:rPr>
      </w:pPr>
      <w:r>
        <w:rPr>
          <w:b/>
        </w:rPr>
        <w:br w:type="page"/>
      </w:r>
    </w:p>
    <w:p w14:paraId="28453A1B" w14:textId="77777777" w:rsidR="006909C1" w:rsidRDefault="006909C1" w:rsidP="006909C1">
      <w:pPr>
        <w:pStyle w:val="Heading1"/>
      </w:pPr>
      <w:bookmarkStart w:id="0" w:name="_Toc109475537"/>
      <w:r>
        <w:lastRenderedPageBreak/>
        <w:t>Introduction</w:t>
      </w:r>
      <w:bookmarkEnd w:id="0"/>
      <w:r>
        <w:t xml:space="preserve"> </w:t>
      </w:r>
    </w:p>
    <w:p w14:paraId="02D2F7E0" w14:textId="77777777" w:rsidR="006909C1" w:rsidRDefault="006909C1" w:rsidP="006909C1">
      <w:r>
        <w:t xml:space="preserve">Accounting fundamentals are generally initiated for presenting the accounting formulation and presentation support is initiated for measuring the accountability approach on a proper basis. Under such fundamental processing, the formulation of individual business transactions is initiated for presenting the supportive accounting identification that brings progressive financial growth. Additionally, the presentation of journals, ledgers, trial balance and other necessary accounting balances are initiated that provides positive and sustainable recognition support regarding business financial presentation in a particular accounting period (McLaney and Atrill, 2016). With the presence of such accounting details, the presentation of financial statements is mainly initiated that brings the identification support of accounting on a sustainable basis. </w:t>
      </w:r>
    </w:p>
    <w:p w14:paraId="727C0C96" w14:textId="77777777" w:rsidR="006909C1" w:rsidRDefault="006909C1" w:rsidP="006909C1">
      <w:r>
        <w:t xml:space="preserve">Identification support regarding accounting formulation is initiated for optimised growth support that brings progressive development including an operating stability approach on an effective basis. On the contrary, the presence of the “Accounting cycle” represents the primary engagement regarding “identifying transactions, recording transactions in a journal, posting, unadjusted trial balance, worksheet, adjusting journal entries, financial statements, and closing the books” in a sustainable basis that is initiated for measuring the operating development approach in a progressive basis (Wood, 2015). The presence of such concepts is also initiated for managing the progressive financial processing support including accountability presence regarding accounting transactions mainly, which is sustainable for performance development purposes. </w:t>
      </w:r>
    </w:p>
    <w:p w14:paraId="1BFBC9E3" w14:textId="77777777" w:rsidR="006909C1" w:rsidRDefault="006909C1" w:rsidP="006909C1">
      <w:pPr>
        <w:rPr>
          <w:b/>
        </w:rPr>
      </w:pPr>
      <w:r>
        <w:t xml:space="preserve">This report is basically providing importance to the presentation of “accounting statements” for the business of </w:t>
      </w:r>
      <w:r>
        <w:rPr>
          <w:b/>
        </w:rPr>
        <w:t xml:space="preserve">Wales plc </w:t>
      </w:r>
      <w:r>
        <w:t xml:space="preserve">mainly along with the presence of some additional working structure. Associated with the present provided support, the computation of “accounting ratios” for the business of </w:t>
      </w:r>
      <w:r>
        <w:rPr>
          <w:b/>
        </w:rPr>
        <w:t xml:space="preserve">Sweets plc </w:t>
      </w:r>
      <w:r>
        <w:t xml:space="preserve">is provided in order to measure the competencies support of business in the present accounting period. </w:t>
      </w:r>
    </w:p>
    <w:p w14:paraId="257CC988" w14:textId="77777777" w:rsidR="006909C1" w:rsidRDefault="006909C1" w:rsidP="006909C1">
      <w:pPr>
        <w:pStyle w:val="Heading1"/>
      </w:pPr>
      <w:bookmarkStart w:id="1" w:name="_Toc109475538"/>
      <w:r>
        <w:t>Answer for Question No: 1</w:t>
      </w:r>
      <w:bookmarkEnd w:id="1"/>
    </w:p>
    <w:p w14:paraId="3F4C257F" w14:textId="77777777" w:rsidR="006909C1" w:rsidRDefault="006909C1" w:rsidP="006909C1">
      <w:pPr>
        <w:pStyle w:val="Heading2"/>
      </w:pPr>
      <w:bookmarkStart w:id="2" w:name="_Toc109475539"/>
      <w:r>
        <w:t>Part A: Computing “income statement and balance sheet of business”</w:t>
      </w:r>
      <w:bookmarkEnd w:id="2"/>
      <w:r>
        <w:t xml:space="preserve"> </w:t>
      </w:r>
    </w:p>
    <w:p w14:paraId="674750BA" w14:textId="77777777" w:rsidR="006909C1" w:rsidRDefault="006909C1" w:rsidP="006909C1">
      <w:r>
        <w:t xml:space="preserve">Under the accounting cycle, the general importance of financial presentation is initiated for presenting the accounting progress on a supportive basis that is initiated for maintaining the optimised development in proper order. With the support of present business journals and ledger, some positive, systematic accounting presentations are initiated that bring supportive recognition regarding financial performance processing. Applied presence of the accounting </w:t>
      </w:r>
      <w:r>
        <w:lastRenderedPageBreak/>
        <w:t xml:space="preserve">process is managed for structuring support including accounting development support that brings the consistency and compatibility approach in a proper manner (John R. Dyson, 2017). </w:t>
      </w:r>
    </w:p>
    <w:p w14:paraId="35F0D65F" w14:textId="77777777" w:rsidR="006909C1" w:rsidRDefault="006909C1" w:rsidP="006909C1">
      <w:r>
        <w:t>The concept of “Income statement” is generally initiated for presenting detailed support regarding “revenue, expenditure and profit” engagement that brings sustainable measurement regarding accounting growth on an effective basis. It provides the formulated development including operating growth support that brings the optimised growth support in a developing manner. It is also initiated for operating stability support that can be managed for progressive maintenance support (</w:t>
      </w:r>
      <w:r>
        <w:rPr>
          <w:color w:val="222222"/>
          <w:highlight w:val="white"/>
        </w:rPr>
        <w:t>Weygandt</w:t>
      </w:r>
      <w:r>
        <w:rPr>
          <w:i/>
          <w:color w:val="222222"/>
          <w:highlight w:val="white"/>
        </w:rPr>
        <w:t xml:space="preserve"> et al.,</w:t>
      </w:r>
      <w:r>
        <w:rPr>
          <w:color w:val="222222"/>
          <w:highlight w:val="white"/>
        </w:rPr>
        <w:t xml:space="preserve"> 2019)</w:t>
      </w:r>
      <w:r>
        <w:t xml:space="preserve">. According to the present financial details, the supportive presentation regarding the “business income statement for </w:t>
      </w:r>
      <w:r>
        <w:rPr>
          <w:b/>
        </w:rPr>
        <w:t xml:space="preserve">Wales plc” </w:t>
      </w:r>
      <w:r>
        <w:t xml:space="preserve">has been initiated. </w:t>
      </w:r>
    </w:p>
    <w:p w14:paraId="735CDC71" w14:textId="77777777" w:rsidR="006909C1" w:rsidRDefault="006909C1" w:rsidP="006909C1">
      <w:pPr>
        <w:jc w:val="center"/>
        <w:rPr>
          <w:b/>
        </w:rPr>
      </w:pPr>
      <w:r>
        <w:rPr>
          <w:b/>
        </w:rPr>
        <w:t>“In the books of Wales plc”</w:t>
      </w:r>
    </w:p>
    <w:p w14:paraId="4C81C466" w14:textId="77777777" w:rsidR="006909C1" w:rsidRDefault="006909C1" w:rsidP="006909C1">
      <w:pPr>
        <w:jc w:val="center"/>
        <w:rPr>
          <w:b/>
        </w:rPr>
      </w:pPr>
      <w:r>
        <w:rPr>
          <w:b/>
        </w:rPr>
        <w:t xml:space="preserve">“Income statement”  </w:t>
      </w:r>
    </w:p>
    <w:p w14:paraId="295865E2" w14:textId="77777777" w:rsidR="006909C1" w:rsidRDefault="006909C1" w:rsidP="006909C1">
      <w:pPr>
        <w:jc w:val="center"/>
        <w:rPr>
          <w:b/>
        </w:rPr>
      </w:pPr>
      <w:r>
        <w:rPr>
          <w:b/>
        </w:rPr>
        <w:t>“For the year ended 31st December 2021”</w:t>
      </w:r>
    </w:p>
    <w:p w14:paraId="3F494700" w14:textId="738EB5CB" w:rsidR="006909C1" w:rsidRDefault="006909C1" w:rsidP="006909C1">
      <w:pPr>
        <w:rPr>
          <w:b/>
        </w:rPr>
      </w:pPr>
      <w:r>
        <w:rPr>
          <w:b/>
          <w:noProof/>
        </w:rPr>
        <w:drawing>
          <wp:inline distT="0" distB="0" distL="0" distR="0" wp14:anchorId="40A76CDF" wp14:editId="10C513A1">
            <wp:extent cx="5731510" cy="36810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81095"/>
                    </a:xfrm>
                    <a:prstGeom prst="rect">
                      <a:avLst/>
                    </a:prstGeom>
                    <a:noFill/>
                    <a:ln>
                      <a:noFill/>
                    </a:ln>
                  </pic:spPr>
                </pic:pic>
              </a:graphicData>
            </a:graphic>
          </wp:inline>
        </w:drawing>
      </w:r>
    </w:p>
    <w:p w14:paraId="793591CE" w14:textId="77777777" w:rsidR="006909C1" w:rsidRDefault="006909C1" w:rsidP="006909C1">
      <w:r>
        <w:rPr>
          <w:b/>
        </w:rPr>
        <w:t xml:space="preserve">Calculation of business net revenue value: </w:t>
      </w:r>
      <w:r>
        <w:t xml:space="preserve">According to the general conceptual approach the presentation of business gross revenue is generally determined with the support of adding the value of goods sent on an approval basis. It is mainly computed with the presence of accrual accounting support that is managed for presenting the true and fair accounting determination approach on an effective basis. </w:t>
      </w:r>
    </w:p>
    <w:p w14:paraId="17277EA1" w14:textId="76BC7DD2" w:rsidR="006909C1" w:rsidRDefault="006909C1" w:rsidP="006909C1">
      <w:pPr>
        <w:rPr>
          <w:b/>
        </w:rPr>
      </w:pPr>
      <w:r>
        <w:rPr>
          <w:b/>
          <w:noProof/>
        </w:rPr>
        <w:lastRenderedPageBreak/>
        <w:drawing>
          <wp:inline distT="0" distB="0" distL="0" distR="0" wp14:anchorId="72086E91" wp14:editId="5B76C6FB">
            <wp:extent cx="5727700" cy="9144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914400"/>
                    </a:xfrm>
                    <a:prstGeom prst="rect">
                      <a:avLst/>
                    </a:prstGeom>
                    <a:noFill/>
                    <a:ln>
                      <a:noFill/>
                    </a:ln>
                  </pic:spPr>
                </pic:pic>
              </a:graphicData>
            </a:graphic>
          </wp:inline>
        </w:drawing>
      </w:r>
    </w:p>
    <w:p w14:paraId="6131A474" w14:textId="77777777" w:rsidR="006909C1" w:rsidRDefault="006909C1" w:rsidP="006909C1">
      <w:r>
        <w:t xml:space="preserve">According to basic accounting formulation, the presence of </w:t>
      </w:r>
      <w:r>
        <w:rPr>
          <w:b/>
        </w:rPr>
        <w:t xml:space="preserve">“Profit and Loss appropriation” </w:t>
      </w:r>
      <w:r>
        <w:t>for an individual business is mainly initiated for presenting detailed support regarding the distribution of profit including the dividend approach mainly, which is sustainable for optimised growth formulation. It is also initiated to initiate the primary extension support of business profit and loss engagement with the presence of which the operating development of the business can be effectively managed (</w:t>
      </w:r>
      <w:r>
        <w:rPr>
          <w:color w:val="222222"/>
          <w:highlight w:val="white"/>
        </w:rPr>
        <w:t>Tohirovich, 2021)</w:t>
      </w:r>
      <w:r>
        <w:t xml:space="preserve">. According to the present financial profit and with the basis of present profit distribution the maintenance of such accounts for the business of </w:t>
      </w:r>
      <w:r>
        <w:rPr>
          <w:b/>
        </w:rPr>
        <w:t xml:space="preserve">Wales plc </w:t>
      </w:r>
      <w:r>
        <w:t xml:space="preserve">has been provided related to the present accounting period. </w:t>
      </w:r>
    </w:p>
    <w:p w14:paraId="487ED84C" w14:textId="77777777" w:rsidR="006909C1" w:rsidRDefault="006909C1" w:rsidP="006909C1">
      <w:pPr>
        <w:jc w:val="center"/>
        <w:rPr>
          <w:b/>
        </w:rPr>
      </w:pPr>
      <w:r>
        <w:rPr>
          <w:b/>
        </w:rPr>
        <w:t>“In the books of Wales plc”</w:t>
      </w:r>
    </w:p>
    <w:p w14:paraId="453CB380" w14:textId="77777777" w:rsidR="006909C1" w:rsidRDefault="006909C1" w:rsidP="006909C1">
      <w:pPr>
        <w:jc w:val="center"/>
        <w:rPr>
          <w:b/>
        </w:rPr>
      </w:pPr>
      <w:r>
        <w:rPr>
          <w:b/>
        </w:rPr>
        <w:t xml:space="preserve">“Profit and Loss appropriation”  </w:t>
      </w:r>
    </w:p>
    <w:p w14:paraId="44BF11D0" w14:textId="77777777" w:rsidR="006909C1" w:rsidRDefault="006909C1" w:rsidP="006909C1">
      <w:pPr>
        <w:jc w:val="center"/>
        <w:rPr>
          <w:b/>
        </w:rPr>
      </w:pPr>
      <w:r>
        <w:rPr>
          <w:b/>
        </w:rPr>
        <w:t>“For the year ended 31st December 2021”</w:t>
      </w:r>
    </w:p>
    <w:p w14:paraId="711B2A02" w14:textId="7A5B34AB" w:rsidR="006909C1" w:rsidRDefault="006909C1" w:rsidP="006909C1">
      <w:pPr>
        <w:rPr>
          <w:b/>
        </w:rPr>
      </w:pPr>
      <w:r>
        <w:rPr>
          <w:b/>
          <w:noProof/>
        </w:rPr>
        <w:drawing>
          <wp:inline distT="0" distB="0" distL="0" distR="0" wp14:anchorId="48869C6C" wp14:editId="2D85A016">
            <wp:extent cx="5731510" cy="16757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675765"/>
                    </a:xfrm>
                    <a:prstGeom prst="rect">
                      <a:avLst/>
                    </a:prstGeom>
                    <a:noFill/>
                    <a:ln>
                      <a:noFill/>
                    </a:ln>
                  </pic:spPr>
                </pic:pic>
              </a:graphicData>
            </a:graphic>
          </wp:inline>
        </w:drawing>
      </w:r>
    </w:p>
    <w:p w14:paraId="3A277993" w14:textId="77777777" w:rsidR="006909C1" w:rsidRDefault="006909C1" w:rsidP="006909C1">
      <w:r>
        <w:t xml:space="preserve">The fundamental concept regarding the presentation of </w:t>
      </w:r>
      <w:r>
        <w:rPr>
          <w:b/>
        </w:rPr>
        <w:t xml:space="preserve">“Statement of Finance” </w:t>
      </w:r>
      <w:r>
        <w:t>is mainly initiated for presenting detailed support regarding financial processing including accounting progress on an effective basis. It also applies for measuring the accountability support regarding business optimum financial presentation mainly that is comprehensive for future development (</w:t>
      </w:r>
      <w:r>
        <w:rPr>
          <w:color w:val="222222"/>
          <w:highlight w:val="white"/>
        </w:rPr>
        <w:t>Ortiz-Martínez</w:t>
      </w:r>
      <w:r>
        <w:rPr>
          <w:i/>
          <w:color w:val="222222"/>
          <w:highlight w:val="white"/>
        </w:rPr>
        <w:t xml:space="preserve"> et al., </w:t>
      </w:r>
      <w:r>
        <w:rPr>
          <w:color w:val="222222"/>
          <w:highlight w:val="white"/>
        </w:rPr>
        <w:t>2022)</w:t>
      </w:r>
      <w:r>
        <w:t xml:space="preserve">. The presentation of such accounting engagement is mainly initiated with the presence of accounting equation support that brings the ultimate presence of financial growth of business on an effective basis. It also provides the engagement of stakeholders in proper order with the support of which a formulation and operational growth can be measured. </w:t>
      </w:r>
    </w:p>
    <w:p w14:paraId="176FD725" w14:textId="77777777" w:rsidR="006909C1" w:rsidRDefault="006909C1" w:rsidP="006909C1">
      <w:pPr>
        <w:rPr>
          <w:b/>
        </w:rPr>
      </w:pPr>
      <w:r>
        <w:t xml:space="preserve">According to the present provided details the presentation of business </w:t>
      </w:r>
      <w:r>
        <w:rPr>
          <w:b/>
        </w:rPr>
        <w:t xml:space="preserve">“Statement of Finance” </w:t>
      </w:r>
      <w:r>
        <w:t xml:space="preserve">for the business of </w:t>
      </w:r>
      <w:r>
        <w:rPr>
          <w:b/>
        </w:rPr>
        <w:t xml:space="preserve">Wales plc </w:t>
      </w:r>
      <w:r>
        <w:t xml:space="preserve">has been provided that can be initiated for operating formulation support. </w:t>
      </w:r>
    </w:p>
    <w:p w14:paraId="389D58A5" w14:textId="77777777" w:rsidR="006909C1" w:rsidRDefault="006909C1" w:rsidP="006909C1">
      <w:pPr>
        <w:jc w:val="center"/>
        <w:rPr>
          <w:b/>
        </w:rPr>
      </w:pPr>
      <w:r>
        <w:rPr>
          <w:b/>
        </w:rPr>
        <w:lastRenderedPageBreak/>
        <w:t>“In the books of Wales plc”</w:t>
      </w:r>
    </w:p>
    <w:p w14:paraId="075E803F" w14:textId="77777777" w:rsidR="006909C1" w:rsidRDefault="006909C1" w:rsidP="006909C1">
      <w:pPr>
        <w:jc w:val="center"/>
        <w:rPr>
          <w:b/>
        </w:rPr>
      </w:pPr>
      <w:r>
        <w:rPr>
          <w:b/>
        </w:rPr>
        <w:t xml:space="preserve">“Statement of Finance”  </w:t>
      </w:r>
    </w:p>
    <w:p w14:paraId="4F6A9D3E" w14:textId="77777777" w:rsidR="006909C1" w:rsidRDefault="006909C1" w:rsidP="006909C1">
      <w:pPr>
        <w:jc w:val="center"/>
        <w:rPr>
          <w:b/>
        </w:rPr>
      </w:pPr>
      <w:r>
        <w:rPr>
          <w:b/>
        </w:rPr>
        <w:t>“For the year ended 31st December 2021”</w:t>
      </w:r>
    </w:p>
    <w:p w14:paraId="481F41BE" w14:textId="54557D16" w:rsidR="006909C1" w:rsidRDefault="006909C1" w:rsidP="006909C1">
      <w:pPr>
        <w:rPr>
          <w:b/>
        </w:rPr>
      </w:pPr>
      <w:r>
        <w:rPr>
          <w:b/>
          <w:noProof/>
        </w:rPr>
        <w:drawing>
          <wp:inline distT="0" distB="0" distL="0" distR="0" wp14:anchorId="6F2BBCDD" wp14:editId="446AE810">
            <wp:extent cx="5731510" cy="208216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082165"/>
                    </a:xfrm>
                    <a:prstGeom prst="rect">
                      <a:avLst/>
                    </a:prstGeom>
                    <a:noFill/>
                    <a:ln>
                      <a:noFill/>
                    </a:ln>
                  </pic:spPr>
                </pic:pic>
              </a:graphicData>
            </a:graphic>
          </wp:inline>
        </w:drawing>
      </w:r>
    </w:p>
    <w:p w14:paraId="7229F747" w14:textId="5E0710C7" w:rsidR="006909C1" w:rsidRDefault="006909C1" w:rsidP="006909C1">
      <w:pPr>
        <w:rPr>
          <w:b/>
        </w:rPr>
      </w:pPr>
      <w:r>
        <w:rPr>
          <w:b/>
          <w:noProof/>
        </w:rPr>
        <w:drawing>
          <wp:inline distT="0" distB="0" distL="0" distR="0" wp14:anchorId="7BF95E1F" wp14:editId="09856883">
            <wp:extent cx="5731510" cy="32499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49930"/>
                    </a:xfrm>
                    <a:prstGeom prst="rect">
                      <a:avLst/>
                    </a:prstGeom>
                    <a:noFill/>
                    <a:ln>
                      <a:noFill/>
                    </a:ln>
                  </pic:spPr>
                </pic:pic>
              </a:graphicData>
            </a:graphic>
          </wp:inline>
        </w:drawing>
      </w:r>
    </w:p>
    <w:p w14:paraId="4F005627" w14:textId="77777777" w:rsidR="006909C1" w:rsidRDefault="006909C1" w:rsidP="006909C1">
      <w:pPr>
        <w:rPr>
          <w:b/>
        </w:rPr>
      </w:pPr>
      <w:r>
        <w:rPr>
          <w:b/>
        </w:rPr>
        <w:t xml:space="preserve">Calculation of business accounting receivable’s value: </w:t>
      </w:r>
      <w:r>
        <w:t xml:space="preserve">According to the present provided details the provided financial processing regarding the value related to goods sent on sale or approval basis needs to be included along with the debtor's volume for determining the accuracy level regarding collectable accounting dues mainly. </w:t>
      </w:r>
    </w:p>
    <w:p w14:paraId="5AF5FDA5" w14:textId="2E881274" w:rsidR="006909C1" w:rsidRDefault="006909C1" w:rsidP="006909C1">
      <w:pPr>
        <w:rPr>
          <w:b/>
        </w:rPr>
      </w:pPr>
      <w:r>
        <w:rPr>
          <w:b/>
          <w:noProof/>
        </w:rPr>
        <w:drawing>
          <wp:inline distT="0" distB="0" distL="0" distR="0" wp14:anchorId="289CC493" wp14:editId="6D569B13">
            <wp:extent cx="5731510" cy="9010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901065"/>
                    </a:xfrm>
                    <a:prstGeom prst="rect">
                      <a:avLst/>
                    </a:prstGeom>
                    <a:noFill/>
                    <a:ln>
                      <a:noFill/>
                    </a:ln>
                  </pic:spPr>
                </pic:pic>
              </a:graphicData>
            </a:graphic>
          </wp:inline>
        </w:drawing>
      </w:r>
    </w:p>
    <w:p w14:paraId="2A1076DD" w14:textId="77777777" w:rsidR="006909C1" w:rsidRDefault="006909C1" w:rsidP="006909C1">
      <w:pPr>
        <w:pStyle w:val="Heading2"/>
      </w:pPr>
      <w:bookmarkStart w:id="3" w:name="_Toc109475540"/>
      <w:r>
        <w:t>Part B: “Analysis of primary reasons behind, statement of financial position balance”</w:t>
      </w:r>
      <w:bookmarkEnd w:id="3"/>
      <w:r>
        <w:t xml:space="preserve"> </w:t>
      </w:r>
    </w:p>
    <w:p w14:paraId="54ACC08B" w14:textId="77777777" w:rsidR="006909C1" w:rsidRDefault="006909C1" w:rsidP="006909C1">
      <w:r>
        <w:lastRenderedPageBreak/>
        <w:t>According to the general conceptual approach, the presence of a “business balance sheet” is recognised as one type of “Financial statement” that is initiated for measuring the accounting formulation including financial details supported on a proper basis (</w:t>
      </w:r>
      <w:r>
        <w:rPr>
          <w:color w:val="222222"/>
          <w:highlight w:val="white"/>
        </w:rPr>
        <w:t xml:space="preserve">Schroeder </w:t>
      </w:r>
      <w:r>
        <w:rPr>
          <w:i/>
          <w:color w:val="222222"/>
          <w:highlight w:val="white"/>
        </w:rPr>
        <w:t>et al.,</w:t>
      </w:r>
      <w:r>
        <w:rPr>
          <w:color w:val="222222"/>
          <w:highlight w:val="white"/>
        </w:rPr>
        <w:t xml:space="preserve"> 2019)</w:t>
      </w:r>
      <w:r>
        <w:t>. It is also structured for presenting detailed support regarding “business assets, liabilities and capital” volume that bring the progressive approach regarding operating growth approach of business in an effective basis. It also provides a sustainable development regarding operating support and financial formulation that is essential for decision support purposes mainly. The presence of a “balance sheet” is generally measured and structured with the support of accounting equation concepts that indicate</w:t>
      </w:r>
      <w:r>
        <w:rPr>
          <w:b/>
        </w:rPr>
        <w:t xml:space="preserve"> “Assets = liabilities + Capital” </w:t>
      </w:r>
      <w:r>
        <w:t>(</w:t>
      </w:r>
      <w:r>
        <w:rPr>
          <w:color w:val="222222"/>
          <w:highlight w:val="white"/>
        </w:rPr>
        <w:t xml:space="preserve">Weygandt </w:t>
      </w:r>
      <w:r>
        <w:rPr>
          <w:i/>
          <w:color w:val="222222"/>
          <w:highlight w:val="white"/>
        </w:rPr>
        <w:t>et al.,</w:t>
      </w:r>
      <w:r>
        <w:rPr>
          <w:color w:val="222222"/>
          <w:highlight w:val="white"/>
        </w:rPr>
        <w:t xml:space="preserve"> 2018).</w:t>
      </w:r>
      <w:r>
        <w:t xml:space="preserve"> According to this approach, the balance associated with business assets will be equal to the value of business liabilities and capital volume mainly. It is also initiated for presenting the accounting development initiative regarding business growth on a proper basis. </w:t>
      </w:r>
    </w:p>
    <w:p w14:paraId="0263808C" w14:textId="77777777" w:rsidR="006909C1" w:rsidRDefault="006909C1" w:rsidP="006909C1">
      <w:r>
        <w:t>The primary principles regarding balance sheets are mainly structured along with the support of the accounting equation concept including double entry accounting support mainly that structured the development in addition to accounting progress on an effective basis. It is also initiated for measuring the formulation and accounting capability approach regarding individual businesses that bring the ultimate support to operating growth (</w:t>
      </w:r>
      <w:r>
        <w:rPr>
          <w:color w:val="222222"/>
          <w:highlight w:val="white"/>
        </w:rPr>
        <w:t xml:space="preserve">Kimmel </w:t>
      </w:r>
      <w:r>
        <w:rPr>
          <w:i/>
          <w:color w:val="222222"/>
          <w:highlight w:val="white"/>
        </w:rPr>
        <w:t>et al.,</w:t>
      </w:r>
      <w:r>
        <w:rPr>
          <w:color w:val="222222"/>
          <w:highlight w:val="white"/>
        </w:rPr>
        <w:t xml:space="preserve"> 2020)</w:t>
      </w:r>
      <w:r>
        <w:t xml:space="preserve">. According to basic measurement, the fundamental reason behind the balancing approach regarding business balance sheets is structured and formulated due to “double-entry accounting principles”. It is mainly recognised as the advanced form of “single-entry accounting”, which indicates for every individual transaction a duly impact or a double approach over two different accounts will be initiated. </w:t>
      </w:r>
    </w:p>
    <w:p w14:paraId="3E472B7D" w14:textId="77777777" w:rsidR="006909C1" w:rsidRDefault="006909C1" w:rsidP="006909C1">
      <w:r>
        <w:t xml:space="preserve">For example; the payment of cash for acquiring machinery amounted to 50,000 GBP in the present accounting period. Regarding this transaction the journal will be; </w:t>
      </w:r>
    </w:p>
    <w:p w14:paraId="4B5C2FD5" w14:textId="77777777" w:rsidR="006909C1" w:rsidRDefault="006909C1" w:rsidP="006909C1">
      <w:pPr>
        <w:rPr>
          <w:b/>
        </w:rPr>
      </w:pPr>
      <w:r>
        <w:rPr>
          <w:b/>
        </w:rPr>
        <w:t xml:space="preserve">Machinery account ……………………………… Debit </w:t>
      </w:r>
      <w:r>
        <w:rPr>
          <w:b/>
        </w:rPr>
        <w:tab/>
        <w:t xml:space="preserve">50,000 </w:t>
      </w:r>
    </w:p>
    <w:p w14:paraId="2AA3CB8F" w14:textId="77777777" w:rsidR="006909C1" w:rsidRDefault="006909C1" w:rsidP="006909C1">
      <w:pPr>
        <w:rPr>
          <w:b/>
        </w:rPr>
      </w:pPr>
      <w:r>
        <w:rPr>
          <w:b/>
        </w:rPr>
        <w:t xml:space="preserve">To Cash account…………………………………. </w:t>
      </w:r>
      <w:r>
        <w:rPr>
          <w:b/>
        </w:rPr>
        <w:tab/>
      </w:r>
      <w:r>
        <w:rPr>
          <w:b/>
        </w:rPr>
        <w:tab/>
        <w:t xml:space="preserve">50,000 </w:t>
      </w:r>
    </w:p>
    <w:p w14:paraId="68C4E3DF" w14:textId="77777777" w:rsidR="006909C1" w:rsidRDefault="006909C1" w:rsidP="006909C1">
      <w:pPr>
        <w:jc w:val="center"/>
        <w:rPr>
          <w:b/>
        </w:rPr>
      </w:pPr>
      <w:r>
        <w:rPr>
          <w:b/>
        </w:rPr>
        <w:t>(To acquire machinery significant business cash balance has been contributed in the present accounting period)</w:t>
      </w:r>
    </w:p>
    <w:p w14:paraId="6466C152" w14:textId="77777777" w:rsidR="006909C1" w:rsidRDefault="006909C1" w:rsidP="006909C1">
      <w:r>
        <w:t>Regarding this transaction, mainly a supportive and simultaneous accounting approach is initiated that represents while the machinery account is debiting the cash account is credited with the same balancing presence. Due to this approach a balancing presence regarding business balance sheets is generally noticed. The same approach can be identified in the case of accrual accounting presence for maintaining the accounting development approach on an effective basis (</w:t>
      </w:r>
      <w:r>
        <w:rPr>
          <w:color w:val="222222"/>
          <w:highlight w:val="white"/>
        </w:rPr>
        <w:t xml:space="preserve">Herrador-Alcaide </w:t>
      </w:r>
      <w:r>
        <w:rPr>
          <w:i/>
          <w:color w:val="222222"/>
          <w:highlight w:val="white"/>
        </w:rPr>
        <w:t xml:space="preserve">et al., </w:t>
      </w:r>
      <w:r>
        <w:rPr>
          <w:color w:val="222222"/>
          <w:highlight w:val="white"/>
        </w:rPr>
        <w:t>2019)</w:t>
      </w:r>
      <w:r>
        <w:t xml:space="preserve">. In this example; instead of payment through </w:t>
      </w:r>
      <w:r>
        <w:lastRenderedPageBreak/>
        <w:t xml:space="preserve">cash support, if the machinery is acquired from a supplier with credit support, therefore, a creditor or accounting payable account will be credited and a supportive presence regarding accounting balancing support can be initiated as well. Depending on this conceptual approach, a systematic measurement including accounting growth initiatives can be identified that brings the balancing support regarding business balance sheets on an effective basis. </w:t>
      </w:r>
    </w:p>
    <w:p w14:paraId="5513426D" w14:textId="77777777" w:rsidR="006909C1" w:rsidRDefault="006909C1" w:rsidP="006909C1"/>
    <w:p w14:paraId="5EE82F0E" w14:textId="77777777" w:rsidR="006909C1" w:rsidRDefault="006909C1" w:rsidP="006909C1">
      <w:pPr>
        <w:pStyle w:val="Heading1"/>
      </w:pPr>
      <w:bookmarkStart w:id="4" w:name="_Toc109475541"/>
      <w:r>
        <w:t>Answer for Question No: 2</w:t>
      </w:r>
      <w:bookmarkEnd w:id="4"/>
      <w:r>
        <w:t xml:space="preserve"> </w:t>
      </w:r>
    </w:p>
    <w:p w14:paraId="0C6215AA" w14:textId="77777777" w:rsidR="006909C1" w:rsidRDefault="006909C1" w:rsidP="006909C1">
      <w:pPr>
        <w:pStyle w:val="Heading2"/>
      </w:pPr>
      <w:bookmarkStart w:id="5" w:name="_Toc109475542"/>
      <w:r>
        <w:t>Part A: Computing “accounting ratios for business Sweets plc”</w:t>
      </w:r>
      <w:bookmarkEnd w:id="5"/>
      <w:r>
        <w:t xml:space="preserve"> </w:t>
      </w:r>
    </w:p>
    <w:p w14:paraId="29E5CB9D" w14:textId="77777777" w:rsidR="006909C1" w:rsidRDefault="006909C1" w:rsidP="006909C1">
      <w:r>
        <w:t xml:space="preserve">According to the basic operating and conceptual approach, the primary presence regarding the </w:t>
      </w:r>
      <w:r>
        <w:rPr>
          <w:b/>
        </w:rPr>
        <w:t>“Financial accounting”</w:t>
      </w:r>
      <w:r>
        <w:t xml:space="preserve"> concept for an individual business is initiated for maintaining the accounting reporting structure that brings the ultimate support of financial identification presence mainly. On the contrary, structural presence regarding </w:t>
      </w:r>
      <w:r>
        <w:rPr>
          <w:b/>
        </w:rPr>
        <w:t xml:space="preserve">“Management Accounting” </w:t>
      </w:r>
      <w:r>
        <w:t>which is recognised as a branch of accounting is initiated for providing accounting evaluation support as well, with the maintenance of which a progressive development regarding business growth can be measured (</w:t>
      </w:r>
      <w:r>
        <w:rPr>
          <w:color w:val="222222"/>
          <w:highlight w:val="white"/>
        </w:rPr>
        <w:t>Monsen, 2022)</w:t>
      </w:r>
      <w:r>
        <w:t>. This accounting fundamentally provides focus over the accounting measurement including accounting evaluation support with the processing of which a formulated support regarding the progressive structure of accounting can also be identified. It is applied for presenting detailed support regarding the accounting evaluation approach with the presence of “accounting ratios” that is sustainable for operating development including standardised support of business as well (</w:t>
      </w:r>
      <w:r>
        <w:rPr>
          <w:color w:val="222222"/>
          <w:highlight w:val="white"/>
        </w:rPr>
        <w:t>Shehata</w:t>
      </w:r>
      <w:r>
        <w:rPr>
          <w:i/>
          <w:color w:val="222222"/>
          <w:highlight w:val="white"/>
        </w:rPr>
        <w:t xml:space="preserve"> et al., </w:t>
      </w:r>
      <w:r>
        <w:rPr>
          <w:color w:val="222222"/>
          <w:highlight w:val="white"/>
        </w:rPr>
        <w:t>2020)</w:t>
      </w:r>
      <w:r>
        <w:t xml:space="preserve">. </w:t>
      </w:r>
    </w:p>
    <w:p w14:paraId="6FC109FE" w14:textId="77777777" w:rsidR="006909C1" w:rsidRDefault="006909C1" w:rsidP="006909C1">
      <w:pPr>
        <w:rPr>
          <w:b/>
        </w:rPr>
      </w:pPr>
      <w:r>
        <w:t>Though the primary presence of such ratio processing is initiated with the historical data support including the accounting progressive recognition approach, it is unable to manage a systematic decision support approach that is necessary for maintaining the accountability approach on an effective basis. Identifying the basic operating engagement regarding such presentation is initiated for developing the marketing analysis including business financial approach with comparative analysis support that is necessary for operating development purposes on an effective basis (</w:t>
      </w:r>
      <w:r>
        <w:rPr>
          <w:color w:val="222222"/>
          <w:highlight w:val="white"/>
        </w:rPr>
        <w:t xml:space="preserve">Ardila </w:t>
      </w:r>
      <w:r>
        <w:rPr>
          <w:i/>
          <w:color w:val="222222"/>
          <w:highlight w:val="white"/>
        </w:rPr>
        <w:t>et al.,</w:t>
      </w:r>
      <w:r>
        <w:rPr>
          <w:color w:val="222222"/>
          <w:highlight w:val="white"/>
        </w:rPr>
        <w:t xml:space="preserve"> 2019)</w:t>
      </w:r>
      <w:r>
        <w:t xml:space="preserve">. According to the present provided “Financial statement” support a systematic presentation regarding accounting ratios for the business of </w:t>
      </w:r>
      <w:r>
        <w:rPr>
          <w:b/>
        </w:rPr>
        <w:t xml:space="preserve">Sweets plc </w:t>
      </w:r>
      <w:r>
        <w:t xml:space="preserve">has been initiated regarding two different accounting periods mainly. Such presentations are provided. </w:t>
      </w:r>
    </w:p>
    <w:p w14:paraId="5BA94BCF" w14:textId="77777777" w:rsidR="006909C1" w:rsidRDefault="006909C1" w:rsidP="006909C1">
      <w:pPr>
        <w:rPr>
          <w:b/>
        </w:rPr>
      </w:pPr>
      <w:r>
        <w:rPr>
          <w:b/>
        </w:rPr>
        <w:t xml:space="preserve">Return on Capital Employed </w:t>
      </w:r>
    </w:p>
    <w:p w14:paraId="08CE2BD4" w14:textId="2989A313" w:rsidR="006909C1" w:rsidRDefault="006909C1" w:rsidP="006909C1">
      <w:pPr>
        <w:rPr>
          <w:b/>
        </w:rPr>
      </w:pPr>
      <w:r>
        <w:rPr>
          <w:b/>
          <w:noProof/>
        </w:rPr>
        <w:lastRenderedPageBreak/>
        <w:drawing>
          <wp:inline distT="0" distB="0" distL="0" distR="0" wp14:anchorId="212DF1E1" wp14:editId="34CFF8D4">
            <wp:extent cx="3771900" cy="9271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1900" cy="927100"/>
                    </a:xfrm>
                    <a:prstGeom prst="rect">
                      <a:avLst/>
                    </a:prstGeom>
                    <a:noFill/>
                    <a:ln>
                      <a:noFill/>
                    </a:ln>
                  </pic:spPr>
                </pic:pic>
              </a:graphicData>
            </a:graphic>
          </wp:inline>
        </w:drawing>
      </w:r>
    </w:p>
    <w:p w14:paraId="68741F82" w14:textId="77777777" w:rsidR="006909C1" w:rsidRDefault="006909C1" w:rsidP="006909C1">
      <w:pPr>
        <w:rPr>
          <w:b/>
        </w:rPr>
      </w:pPr>
      <w:r>
        <w:rPr>
          <w:b/>
        </w:rPr>
        <w:t xml:space="preserve">Return on Equity </w:t>
      </w:r>
    </w:p>
    <w:p w14:paraId="49E9A09B" w14:textId="43BA7CA1" w:rsidR="006909C1" w:rsidRDefault="006909C1" w:rsidP="006909C1">
      <w:pPr>
        <w:rPr>
          <w:b/>
        </w:rPr>
      </w:pPr>
      <w:r>
        <w:rPr>
          <w:b/>
          <w:noProof/>
        </w:rPr>
        <w:drawing>
          <wp:inline distT="0" distB="0" distL="0" distR="0" wp14:anchorId="7AA4FA3C" wp14:editId="1214D19F">
            <wp:extent cx="3708400" cy="8890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08400" cy="889000"/>
                    </a:xfrm>
                    <a:prstGeom prst="rect">
                      <a:avLst/>
                    </a:prstGeom>
                    <a:noFill/>
                    <a:ln>
                      <a:noFill/>
                    </a:ln>
                  </pic:spPr>
                </pic:pic>
              </a:graphicData>
            </a:graphic>
          </wp:inline>
        </w:drawing>
      </w:r>
    </w:p>
    <w:p w14:paraId="22C3471B" w14:textId="77777777" w:rsidR="006909C1" w:rsidRDefault="006909C1" w:rsidP="006909C1">
      <w:pPr>
        <w:rPr>
          <w:b/>
        </w:rPr>
      </w:pPr>
      <w:r>
        <w:rPr>
          <w:b/>
        </w:rPr>
        <w:t>Earnings per share</w:t>
      </w:r>
    </w:p>
    <w:p w14:paraId="388BA6C2" w14:textId="041CD695" w:rsidR="006909C1" w:rsidRDefault="006909C1" w:rsidP="006909C1">
      <w:pPr>
        <w:rPr>
          <w:b/>
        </w:rPr>
      </w:pPr>
      <w:r>
        <w:rPr>
          <w:b/>
          <w:noProof/>
        </w:rPr>
        <w:drawing>
          <wp:inline distT="0" distB="0" distL="0" distR="0" wp14:anchorId="2620C42A" wp14:editId="67355578">
            <wp:extent cx="3746500" cy="9334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46500" cy="933450"/>
                    </a:xfrm>
                    <a:prstGeom prst="rect">
                      <a:avLst/>
                    </a:prstGeom>
                    <a:noFill/>
                    <a:ln>
                      <a:noFill/>
                    </a:ln>
                  </pic:spPr>
                </pic:pic>
              </a:graphicData>
            </a:graphic>
          </wp:inline>
        </w:drawing>
      </w:r>
    </w:p>
    <w:p w14:paraId="6089330C" w14:textId="77777777" w:rsidR="006909C1" w:rsidRDefault="006909C1" w:rsidP="006909C1">
      <w:pPr>
        <w:rPr>
          <w:b/>
        </w:rPr>
      </w:pPr>
      <w:r>
        <w:rPr>
          <w:b/>
        </w:rPr>
        <w:t>Net profit margin</w:t>
      </w:r>
    </w:p>
    <w:p w14:paraId="0A7833A5" w14:textId="436AECBA" w:rsidR="006909C1" w:rsidRDefault="006909C1" w:rsidP="006909C1">
      <w:pPr>
        <w:rPr>
          <w:b/>
        </w:rPr>
      </w:pPr>
      <w:r>
        <w:rPr>
          <w:b/>
          <w:noProof/>
        </w:rPr>
        <w:drawing>
          <wp:inline distT="0" distB="0" distL="0" distR="0" wp14:anchorId="5212362E" wp14:editId="555545FD">
            <wp:extent cx="3708400" cy="9144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08400" cy="914400"/>
                    </a:xfrm>
                    <a:prstGeom prst="rect">
                      <a:avLst/>
                    </a:prstGeom>
                    <a:noFill/>
                    <a:ln>
                      <a:noFill/>
                    </a:ln>
                  </pic:spPr>
                </pic:pic>
              </a:graphicData>
            </a:graphic>
          </wp:inline>
        </w:drawing>
      </w:r>
    </w:p>
    <w:p w14:paraId="40620414" w14:textId="77777777" w:rsidR="006909C1" w:rsidRDefault="006909C1" w:rsidP="006909C1">
      <w:pPr>
        <w:rPr>
          <w:b/>
        </w:rPr>
      </w:pPr>
      <w:r>
        <w:rPr>
          <w:b/>
        </w:rPr>
        <w:t>Asset turnover</w:t>
      </w:r>
    </w:p>
    <w:p w14:paraId="0B434384" w14:textId="1467F749" w:rsidR="006909C1" w:rsidRDefault="006909C1" w:rsidP="006909C1">
      <w:pPr>
        <w:rPr>
          <w:b/>
        </w:rPr>
      </w:pPr>
      <w:r>
        <w:rPr>
          <w:b/>
          <w:noProof/>
        </w:rPr>
        <w:drawing>
          <wp:inline distT="0" distB="0" distL="0" distR="0" wp14:anchorId="1FB56206" wp14:editId="11BCD5EF">
            <wp:extent cx="3752850" cy="895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52850" cy="895350"/>
                    </a:xfrm>
                    <a:prstGeom prst="rect">
                      <a:avLst/>
                    </a:prstGeom>
                    <a:noFill/>
                    <a:ln>
                      <a:noFill/>
                    </a:ln>
                  </pic:spPr>
                </pic:pic>
              </a:graphicData>
            </a:graphic>
          </wp:inline>
        </w:drawing>
      </w:r>
    </w:p>
    <w:p w14:paraId="2E81E709" w14:textId="77777777" w:rsidR="006909C1" w:rsidRDefault="006909C1" w:rsidP="006909C1">
      <w:pPr>
        <w:rPr>
          <w:b/>
        </w:rPr>
      </w:pPr>
      <w:r>
        <w:rPr>
          <w:b/>
        </w:rPr>
        <w:t>Stock holding days</w:t>
      </w:r>
    </w:p>
    <w:p w14:paraId="48891411" w14:textId="39D3CE30" w:rsidR="006909C1" w:rsidRDefault="006909C1" w:rsidP="006909C1">
      <w:pPr>
        <w:rPr>
          <w:b/>
        </w:rPr>
      </w:pPr>
      <w:r>
        <w:rPr>
          <w:b/>
          <w:noProof/>
        </w:rPr>
        <w:drawing>
          <wp:inline distT="0" distB="0" distL="0" distR="0" wp14:anchorId="0C7E3575" wp14:editId="0C267143">
            <wp:extent cx="3752850" cy="895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52850" cy="895350"/>
                    </a:xfrm>
                    <a:prstGeom prst="rect">
                      <a:avLst/>
                    </a:prstGeom>
                    <a:noFill/>
                    <a:ln>
                      <a:noFill/>
                    </a:ln>
                  </pic:spPr>
                </pic:pic>
              </a:graphicData>
            </a:graphic>
          </wp:inline>
        </w:drawing>
      </w:r>
    </w:p>
    <w:p w14:paraId="4DD3BB2C" w14:textId="77777777" w:rsidR="006909C1" w:rsidRDefault="006909C1" w:rsidP="006909C1">
      <w:pPr>
        <w:rPr>
          <w:b/>
        </w:rPr>
      </w:pPr>
    </w:p>
    <w:p w14:paraId="4EC06F82" w14:textId="77777777" w:rsidR="006909C1" w:rsidRDefault="006909C1" w:rsidP="006909C1">
      <w:pPr>
        <w:rPr>
          <w:b/>
        </w:rPr>
      </w:pPr>
    </w:p>
    <w:p w14:paraId="4782B6FA" w14:textId="77777777" w:rsidR="006909C1" w:rsidRDefault="006909C1" w:rsidP="006909C1">
      <w:pPr>
        <w:rPr>
          <w:b/>
        </w:rPr>
      </w:pPr>
    </w:p>
    <w:p w14:paraId="7CB26C1C" w14:textId="77777777" w:rsidR="006909C1" w:rsidRDefault="006909C1" w:rsidP="006909C1">
      <w:pPr>
        <w:rPr>
          <w:b/>
        </w:rPr>
      </w:pPr>
    </w:p>
    <w:p w14:paraId="63EA5F76" w14:textId="77777777" w:rsidR="006909C1" w:rsidRDefault="006909C1" w:rsidP="006909C1">
      <w:pPr>
        <w:rPr>
          <w:b/>
        </w:rPr>
      </w:pPr>
      <w:r>
        <w:rPr>
          <w:b/>
        </w:rPr>
        <w:t>Debtor’s collection period</w:t>
      </w:r>
    </w:p>
    <w:p w14:paraId="315D2449" w14:textId="145B38F6" w:rsidR="006909C1" w:rsidRDefault="006909C1" w:rsidP="006909C1">
      <w:pPr>
        <w:rPr>
          <w:b/>
        </w:rPr>
      </w:pPr>
      <w:r>
        <w:rPr>
          <w:b/>
          <w:noProof/>
        </w:rPr>
        <w:lastRenderedPageBreak/>
        <w:drawing>
          <wp:inline distT="0" distB="0" distL="0" distR="0" wp14:anchorId="60D58299" wp14:editId="6E9990F7">
            <wp:extent cx="3689350" cy="8890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89350" cy="889000"/>
                    </a:xfrm>
                    <a:prstGeom prst="rect">
                      <a:avLst/>
                    </a:prstGeom>
                    <a:noFill/>
                    <a:ln>
                      <a:noFill/>
                    </a:ln>
                  </pic:spPr>
                </pic:pic>
              </a:graphicData>
            </a:graphic>
          </wp:inline>
        </w:drawing>
      </w:r>
    </w:p>
    <w:p w14:paraId="5D45C601" w14:textId="77777777" w:rsidR="006909C1" w:rsidRDefault="006909C1" w:rsidP="006909C1">
      <w:pPr>
        <w:rPr>
          <w:b/>
        </w:rPr>
      </w:pPr>
      <w:r>
        <w:rPr>
          <w:b/>
        </w:rPr>
        <w:t>Current ratio</w:t>
      </w:r>
    </w:p>
    <w:p w14:paraId="58CA0B20" w14:textId="562FCFE8" w:rsidR="006909C1" w:rsidRDefault="006909C1" w:rsidP="006909C1">
      <w:pPr>
        <w:rPr>
          <w:b/>
        </w:rPr>
      </w:pPr>
      <w:r>
        <w:rPr>
          <w:b/>
          <w:noProof/>
        </w:rPr>
        <w:drawing>
          <wp:inline distT="0" distB="0" distL="0" distR="0" wp14:anchorId="7A001127" wp14:editId="58F1FAD0">
            <wp:extent cx="3714750" cy="9461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14750" cy="946150"/>
                    </a:xfrm>
                    <a:prstGeom prst="rect">
                      <a:avLst/>
                    </a:prstGeom>
                    <a:noFill/>
                    <a:ln>
                      <a:noFill/>
                    </a:ln>
                  </pic:spPr>
                </pic:pic>
              </a:graphicData>
            </a:graphic>
          </wp:inline>
        </w:drawing>
      </w:r>
    </w:p>
    <w:p w14:paraId="5A19A0A4" w14:textId="77777777" w:rsidR="006909C1" w:rsidRDefault="006909C1" w:rsidP="006909C1">
      <w:pPr>
        <w:rPr>
          <w:b/>
        </w:rPr>
      </w:pPr>
      <w:r>
        <w:rPr>
          <w:b/>
        </w:rPr>
        <w:t>Gearing ratio</w:t>
      </w:r>
    </w:p>
    <w:p w14:paraId="2434A180" w14:textId="61A52B87" w:rsidR="006909C1" w:rsidRDefault="006909C1" w:rsidP="006909C1">
      <w:pPr>
        <w:rPr>
          <w:b/>
        </w:rPr>
      </w:pPr>
      <w:r>
        <w:rPr>
          <w:b/>
          <w:noProof/>
        </w:rPr>
        <w:drawing>
          <wp:inline distT="0" distB="0" distL="0" distR="0" wp14:anchorId="6F9F02BF" wp14:editId="6B100BE4">
            <wp:extent cx="3733800" cy="869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33800" cy="869950"/>
                    </a:xfrm>
                    <a:prstGeom prst="rect">
                      <a:avLst/>
                    </a:prstGeom>
                    <a:noFill/>
                    <a:ln>
                      <a:noFill/>
                    </a:ln>
                  </pic:spPr>
                </pic:pic>
              </a:graphicData>
            </a:graphic>
          </wp:inline>
        </w:drawing>
      </w:r>
    </w:p>
    <w:p w14:paraId="122470E3" w14:textId="77777777" w:rsidR="006909C1" w:rsidRDefault="006909C1" w:rsidP="006909C1">
      <w:pPr>
        <w:rPr>
          <w:b/>
        </w:rPr>
      </w:pPr>
      <w:r>
        <w:rPr>
          <w:b/>
        </w:rPr>
        <w:t>Interest cover</w:t>
      </w:r>
    </w:p>
    <w:p w14:paraId="1B0B6F96" w14:textId="18ED1927" w:rsidR="006909C1" w:rsidRDefault="006909C1" w:rsidP="006909C1">
      <w:pPr>
        <w:rPr>
          <w:b/>
        </w:rPr>
      </w:pPr>
      <w:r>
        <w:rPr>
          <w:b/>
          <w:noProof/>
        </w:rPr>
        <w:drawing>
          <wp:inline distT="0" distB="0" distL="0" distR="0" wp14:anchorId="423943B6" wp14:editId="22510302">
            <wp:extent cx="3746500" cy="9334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46500" cy="933450"/>
                    </a:xfrm>
                    <a:prstGeom prst="rect">
                      <a:avLst/>
                    </a:prstGeom>
                    <a:noFill/>
                    <a:ln>
                      <a:noFill/>
                    </a:ln>
                  </pic:spPr>
                </pic:pic>
              </a:graphicData>
            </a:graphic>
          </wp:inline>
        </w:drawing>
      </w:r>
    </w:p>
    <w:p w14:paraId="20C48D09" w14:textId="77777777" w:rsidR="006909C1" w:rsidRDefault="006909C1" w:rsidP="006909C1"/>
    <w:p w14:paraId="2F6346F2" w14:textId="77777777" w:rsidR="006909C1" w:rsidRDefault="006909C1" w:rsidP="006909C1">
      <w:pPr>
        <w:pStyle w:val="Heading2"/>
      </w:pPr>
      <w:bookmarkStart w:id="6" w:name="_Toc109475543"/>
      <w:r>
        <w:t>Part B: “Identifying current financial performance and position of Sweets plc”</w:t>
      </w:r>
      <w:bookmarkEnd w:id="6"/>
      <w:r>
        <w:t xml:space="preserve"> </w:t>
      </w:r>
    </w:p>
    <w:p w14:paraId="0EA57FFE" w14:textId="77777777" w:rsidR="006909C1" w:rsidRDefault="006909C1" w:rsidP="006909C1">
      <w:r>
        <w:t xml:space="preserve">After the determination of the general financial evaluation for the business of </w:t>
      </w:r>
      <w:r>
        <w:rPr>
          <w:b/>
        </w:rPr>
        <w:t xml:space="preserve">Sweets plc, a </w:t>
      </w:r>
      <w:r>
        <w:t xml:space="preserve">systematic interpretation regarding present performances and probable opportunities in the future for this business is provided, so that a positive recognition regarding accountability initiatives of this business can be identified. Such analyses are provided. </w:t>
      </w:r>
    </w:p>
    <w:p w14:paraId="7E2BF116" w14:textId="77777777" w:rsidR="006909C1" w:rsidRDefault="006909C1" w:rsidP="006909C1">
      <w:pPr>
        <w:rPr>
          <w:b/>
        </w:rPr>
      </w:pPr>
      <w:r>
        <w:rPr>
          <w:b/>
        </w:rPr>
        <w:t xml:space="preserve">1. Return on Capital Employed </w:t>
      </w:r>
    </w:p>
    <w:p w14:paraId="76CCD392" w14:textId="77777777" w:rsidR="006909C1" w:rsidRDefault="006909C1" w:rsidP="006909C1">
      <w:r>
        <w:rPr>
          <w:b/>
        </w:rPr>
        <w:t xml:space="preserve">Definition: </w:t>
      </w:r>
      <w:r>
        <w:t>In accordance with the general accounting principles application of this measurement is initiated for evaluating the earning capability of business associated with capital employed volume that brings ultimate support to progressive accounting formulation. It is also evaluated for developing the market capitalization support on an effective basis (</w:t>
      </w:r>
      <w:r>
        <w:rPr>
          <w:color w:val="222222"/>
          <w:highlight w:val="white"/>
        </w:rPr>
        <w:t>Dai, 2019)</w:t>
      </w:r>
      <w:r>
        <w:t xml:space="preserve">. </w:t>
      </w:r>
    </w:p>
    <w:p w14:paraId="2ADD8E89" w14:textId="77777777" w:rsidR="006909C1" w:rsidRDefault="006909C1" w:rsidP="006909C1">
      <w:r>
        <w:rPr>
          <w:b/>
        </w:rPr>
        <w:t xml:space="preserve">Evaluation results: </w:t>
      </w:r>
      <w:r>
        <w:t xml:space="preserve">During the accounting period 2020 it was 13%, however in the present situation it indicates the progressive structure up to 14% respectively. </w:t>
      </w:r>
    </w:p>
    <w:p w14:paraId="10B1F969" w14:textId="77777777" w:rsidR="006909C1" w:rsidRDefault="006909C1" w:rsidP="006909C1">
      <w:r>
        <w:rPr>
          <w:b/>
        </w:rPr>
        <w:lastRenderedPageBreak/>
        <w:t xml:space="preserve">Yearly performances: </w:t>
      </w:r>
      <w:r>
        <w:t xml:space="preserve">According to current computation support a systematic and developed engagement is mainly identified that indicates in the present scenario progressive marketing support has been initiated, which brings the developed position of business financial structure in the present period. </w:t>
      </w:r>
    </w:p>
    <w:p w14:paraId="16B9EA3E" w14:textId="77777777" w:rsidR="006909C1" w:rsidRDefault="006909C1" w:rsidP="006909C1">
      <w:r>
        <w:rPr>
          <w:b/>
        </w:rPr>
        <w:t xml:space="preserve">Reasons: </w:t>
      </w:r>
      <w:r>
        <w:t xml:space="preserve">In the present situation the marketing structure includes a financial progressive growth including a sustainable financial presence mainly that provides an operating formulation approach on an effective basis. </w:t>
      </w:r>
    </w:p>
    <w:p w14:paraId="755C0FBB" w14:textId="77777777" w:rsidR="006909C1" w:rsidRDefault="006909C1" w:rsidP="006909C1">
      <w:r>
        <w:rPr>
          <w:b/>
        </w:rPr>
        <w:t xml:space="preserve">Development strategy: </w:t>
      </w:r>
      <w:r>
        <w:t xml:space="preserve">Depending on the present operating presence systematic progress regarding marketing development is needed to be initiated for optimised growth support on an effective basis. </w:t>
      </w:r>
    </w:p>
    <w:p w14:paraId="67D47683" w14:textId="77777777" w:rsidR="006909C1" w:rsidRDefault="006909C1" w:rsidP="006909C1">
      <w:pPr>
        <w:rPr>
          <w:b/>
        </w:rPr>
      </w:pPr>
      <w:r>
        <w:rPr>
          <w:b/>
        </w:rPr>
        <w:t xml:space="preserve">2. Return on Equity </w:t>
      </w:r>
    </w:p>
    <w:p w14:paraId="5CD369E9" w14:textId="77777777" w:rsidR="006909C1" w:rsidRDefault="006909C1" w:rsidP="006909C1">
      <w:r>
        <w:rPr>
          <w:b/>
        </w:rPr>
        <w:t xml:space="preserve">Definition: </w:t>
      </w:r>
      <w:r>
        <w:t>The importance of this measurement is initiated for evaluating the earning capability of a business on a supportive basis through initiating a systematic comparison along with the business equity presence. It is formulated for evaluating the accounting modification support related to marketing growth mainly (</w:t>
      </w:r>
      <w:r>
        <w:rPr>
          <w:color w:val="222222"/>
          <w:highlight w:val="white"/>
        </w:rPr>
        <w:t>Mukoffi and Sulistiyowati, 2019)</w:t>
      </w:r>
      <w:r>
        <w:t xml:space="preserve">. </w:t>
      </w:r>
    </w:p>
    <w:p w14:paraId="3593062F" w14:textId="77777777" w:rsidR="006909C1" w:rsidRDefault="006909C1" w:rsidP="006909C1">
      <w:r>
        <w:rPr>
          <w:b/>
        </w:rPr>
        <w:t xml:space="preserve">Evaluation results: </w:t>
      </w:r>
      <w:r>
        <w:t xml:space="preserve">During the accounting period 2020 it was 10%, however in the present situation it indicates the progressive structure up to 11% respectively. </w:t>
      </w:r>
    </w:p>
    <w:p w14:paraId="6460FA2F" w14:textId="77777777" w:rsidR="006909C1" w:rsidRDefault="006909C1" w:rsidP="006909C1">
      <w:r>
        <w:rPr>
          <w:b/>
        </w:rPr>
        <w:t xml:space="preserve">Yearly performances: </w:t>
      </w:r>
      <w:r>
        <w:t xml:space="preserve">According to the present computation an increasing approach is identified that indicates a sustainable growth approach associated with present marketing formulation on an effective basis. </w:t>
      </w:r>
    </w:p>
    <w:p w14:paraId="776AD75B" w14:textId="77777777" w:rsidR="006909C1" w:rsidRDefault="006909C1" w:rsidP="006909C1">
      <w:r>
        <w:rPr>
          <w:b/>
        </w:rPr>
        <w:t xml:space="preserve">Reasons: </w:t>
      </w:r>
      <w:r>
        <w:t xml:space="preserve">The present marketing development including revenue growth of the business is sustainable for managing the accounting progress on an effective basis. </w:t>
      </w:r>
    </w:p>
    <w:p w14:paraId="58D4A8AE" w14:textId="77777777" w:rsidR="006909C1" w:rsidRDefault="006909C1" w:rsidP="006909C1">
      <w:r>
        <w:rPr>
          <w:b/>
        </w:rPr>
        <w:t xml:space="preserve">Development strategy: </w:t>
      </w:r>
      <w:r>
        <w:t xml:space="preserve">A sustainable revenue growth including profit formulation support is needed to be initiated for operating progress on an effective basis. </w:t>
      </w:r>
    </w:p>
    <w:p w14:paraId="71580754" w14:textId="77777777" w:rsidR="006909C1" w:rsidRDefault="006909C1" w:rsidP="006909C1">
      <w:pPr>
        <w:rPr>
          <w:b/>
        </w:rPr>
      </w:pPr>
      <w:r>
        <w:rPr>
          <w:b/>
        </w:rPr>
        <w:t>3. Earnings per share</w:t>
      </w:r>
    </w:p>
    <w:p w14:paraId="591E25D6" w14:textId="77777777" w:rsidR="006909C1" w:rsidRDefault="006909C1" w:rsidP="006909C1">
      <w:r>
        <w:rPr>
          <w:b/>
        </w:rPr>
        <w:t xml:space="preserve">Definition: </w:t>
      </w:r>
      <w:r>
        <w:t>Applied this presence is initiated for measuring earning capabilities of business in associated to capital support mainly. It is also measured for formulation support that brings the accountability growth of business operations in an effective order (</w:t>
      </w:r>
      <w:r>
        <w:rPr>
          <w:color w:val="222222"/>
          <w:highlight w:val="white"/>
        </w:rPr>
        <w:t>Hamal and Senvar, 2021)</w:t>
      </w:r>
      <w:r>
        <w:t xml:space="preserve">.  </w:t>
      </w:r>
    </w:p>
    <w:p w14:paraId="749E7A8D" w14:textId="77777777" w:rsidR="006909C1" w:rsidRDefault="006909C1" w:rsidP="006909C1">
      <w:r>
        <w:rPr>
          <w:b/>
        </w:rPr>
        <w:t xml:space="preserve">Evaluation results: </w:t>
      </w:r>
      <w:r>
        <w:t xml:space="preserve">During the accounting period 2020 it was 61%, however in the present situation it indicates the progressive structure up to 72% respectively. </w:t>
      </w:r>
    </w:p>
    <w:p w14:paraId="7ED05E11" w14:textId="77777777" w:rsidR="006909C1" w:rsidRDefault="006909C1" w:rsidP="006909C1">
      <w:r>
        <w:rPr>
          <w:b/>
        </w:rPr>
        <w:t xml:space="preserve">Yearly performances: </w:t>
      </w:r>
      <w:r>
        <w:t xml:space="preserve">According to the present computation, mainly an increasing approach is identified in the present period that indicates the present marketing position including the profit approach of the business is comprehensive for optimised growth support. </w:t>
      </w:r>
    </w:p>
    <w:p w14:paraId="1AB5B348" w14:textId="77777777" w:rsidR="006909C1" w:rsidRDefault="006909C1" w:rsidP="006909C1">
      <w:r>
        <w:rPr>
          <w:b/>
        </w:rPr>
        <w:lastRenderedPageBreak/>
        <w:t xml:space="preserve">Reasons: </w:t>
      </w:r>
      <w:r>
        <w:t xml:space="preserve">The present revenue formulation including marketing development regarding this business after the covid situation supportively initiated that brings the progressive approach in an effective basis. Apart from that, the marketing structure of the business is also influencing the level of support regarding such operating development positions. </w:t>
      </w:r>
    </w:p>
    <w:p w14:paraId="47AB836F" w14:textId="77777777" w:rsidR="006909C1" w:rsidRDefault="006909C1" w:rsidP="006909C1">
      <w:r>
        <w:rPr>
          <w:b/>
        </w:rPr>
        <w:t xml:space="preserve">Development strategy: </w:t>
      </w:r>
      <w:r>
        <w:t xml:space="preserve">A proper support regarding market capitalization support including a profit-enhancing approach is required in the present position that is suitable for operating development in future. </w:t>
      </w:r>
    </w:p>
    <w:p w14:paraId="19DE0E98" w14:textId="77777777" w:rsidR="006909C1" w:rsidRDefault="006909C1" w:rsidP="006909C1">
      <w:pPr>
        <w:rPr>
          <w:b/>
        </w:rPr>
      </w:pPr>
      <w:r>
        <w:rPr>
          <w:b/>
        </w:rPr>
        <w:t>4. Net profit margin</w:t>
      </w:r>
    </w:p>
    <w:p w14:paraId="76E2ABD1" w14:textId="77777777" w:rsidR="006909C1" w:rsidRDefault="006909C1" w:rsidP="006909C1">
      <w:r>
        <w:rPr>
          <w:b/>
        </w:rPr>
        <w:t xml:space="preserve">Definition: </w:t>
      </w:r>
      <w:r>
        <w:t>According to the general conceptual approach, the primary presence of such analysis is initiated for maintaining the capability determination approach of business with the support of which a progressive formulation can be initiated (</w:t>
      </w:r>
      <w:r>
        <w:rPr>
          <w:color w:val="222222"/>
          <w:highlight w:val="white"/>
        </w:rPr>
        <w:t>Beerbaum, 2020)</w:t>
      </w:r>
      <w:r>
        <w:t xml:space="preserve">. </w:t>
      </w:r>
    </w:p>
    <w:p w14:paraId="70E65F84" w14:textId="77777777" w:rsidR="006909C1" w:rsidRDefault="006909C1" w:rsidP="006909C1">
      <w:r>
        <w:rPr>
          <w:b/>
        </w:rPr>
        <w:t xml:space="preserve">Evaluation results: </w:t>
      </w:r>
      <w:r>
        <w:t xml:space="preserve">During the accounting period 2020 it was 8%, however in the present situation it indicates the progressive structure up to 9% respectively. </w:t>
      </w:r>
    </w:p>
    <w:p w14:paraId="50EB4F0D" w14:textId="77777777" w:rsidR="006909C1" w:rsidRDefault="006909C1" w:rsidP="006909C1">
      <w:r>
        <w:rPr>
          <w:b/>
        </w:rPr>
        <w:t xml:space="preserve">Yearly performances: </w:t>
      </w:r>
      <w:r>
        <w:t xml:space="preserve">As per the present financial operating structure mainly a development is identified that indicates in the present position the profit volume of business is supportively expanded along with marketing growth support. </w:t>
      </w:r>
    </w:p>
    <w:p w14:paraId="6E44888D" w14:textId="77777777" w:rsidR="006909C1" w:rsidRDefault="006909C1" w:rsidP="006909C1">
      <w:r>
        <w:rPr>
          <w:b/>
        </w:rPr>
        <w:t xml:space="preserve">Reasons: </w:t>
      </w:r>
      <w:r>
        <w:t xml:space="preserve">A systematic growth regarding business supply chain management after the covid condition initiates a revolutionised development approach, which brings the progressive measurement in an effective basis. </w:t>
      </w:r>
    </w:p>
    <w:p w14:paraId="56377977" w14:textId="77777777" w:rsidR="006909C1" w:rsidRDefault="006909C1" w:rsidP="006909C1">
      <w:r>
        <w:rPr>
          <w:b/>
        </w:rPr>
        <w:t xml:space="preserve">Development strategy: </w:t>
      </w:r>
      <w:r>
        <w:t xml:space="preserve">The applied presence of marketing formulation including operating development is required for future development support. </w:t>
      </w:r>
    </w:p>
    <w:p w14:paraId="293BA7F8" w14:textId="77777777" w:rsidR="006909C1" w:rsidRDefault="006909C1" w:rsidP="006909C1">
      <w:pPr>
        <w:rPr>
          <w:b/>
        </w:rPr>
      </w:pPr>
      <w:r>
        <w:rPr>
          <w:b/>
        </w:rPr>
        <w:t>5. Asset turnover</w:t>
      </w:r>
    </w:p>
    <w:p w14:paraId="70A7917C" w14:textId="77777777" w:rsidR="006909C1" w:rsidRDefault="006909C1" w:rsidP="006909C1">
      <w:r>
        <w:rPr>
          <w:b/>
        </w:rPr>
        <w:t xml:space="preserve">Definition: </w:t>
      </w:r>
      <w:r>
        <w:t>It is initiated for measuring the revenue analysis approach regarding business is associated with the level of present assets structure mainly. It also provides the general compatibility determination approach on an effective basis (</w:t>
      </w:r>
      <w:r>
        <w:rPr>
          <w:color w:val="222222"/>
          <w:highlight w:val="white"/>
        </w:rPr>
        <w:t>Oulasvirta, 2021)</w:t>
      </w:r>
      <w:r>
        <w:t xml:space="preserve">. </w:t>
      </w:r>
    </w:p>
    <w:p w14:paraId="67852B52" w14:textId="77777777" w:rsidR="006909C1" w:rsidRDefault="006909C1" w:rsidP="006909C1">
      <w:pPr>
        <w:rPr>
          <w:b/>
        </w:rPr>
      </w:pPr>
      <w:r>
        <w:rPr>
          <w:b/>
        </w:rPr>
        <w:t xml:space="preserve">Evaluation results: </w:t>
      </w:r>
      <w:r>
        <w:t xml:space="preserve">During the accounting period 2020 it was 64%, however in the present situation it indicates the progressive structure up to 69% respectively. </w:t>
      </w:r>
    </w:p>
    <w:p w14:paraId="7ADBCA91" w14:textId="77777777" w:rsidR="006909C1" w:rsidRDefault="006909C1" w:rsidP="006909C1">
      <w:r>
        <w:rPr>
          <w:b/>
        </w:rPr>
        <w:t xml:space="preserve">Yearly performances: </w:t>
      </w:r>
      <w:r>
        <w:t xml:space="preserve">As per the present analysis mainly an increasing approach is identified that indicates the progressive development including an operating optimised approach regarding the financial structure of the business mainly. </w:t>
      </w:r>
    </w:p>
    <w:p w14:paraId="5CF71E73" w14:textId="77777777" w:rsidR="006909C1" w:rsidRDefault="006909C1" w:rsidP="006909C1">
      <w:r>
        <w:rPr>
          <w:b/>
        </w:rPr>
        <w:t xml:space="preserve">Reasons: </w:t>
      </w:r>
      <w:r>
        <w:t xml:space="preserve">The present volume of marketing demand including production quality processing of the business is sustainable for formulating this increasing support, which brings the operating development approach to an effective basis. </w:t>
      </w:r>
    </w:p>
    <w:p w14:paraId="0F5812B3" w14:textId="77777777" w:rsidR="006909C1" w:rsidRDefault="006909C1" w:rsidP="006909C1">
      <w:r>
        <w:rPr>
          <w:b/>
        </w:rPr>
        <w:lastRenderedPageBreak/>
        <w:t>Development strategy: S</w:t>
      </w:r>
      <w:r>
        <w:t xml:space="preserve">upportive marketing growth strategy including cost maintenance support is required to be formulated at the present situation that can be initiated for operating development support. </w:t>
      </w:r>
    </w:p>
    <w:p w14:paraId="40D2063D" w14:textId="77777777" w:rsidR="006909C1" w:rsidRDefault="006909C1" w:rsidP="006909C1">
      <w:pPr>
        <w:rPr>
          <w:b/>
        </w:rPr>
      </w:pPr>
      <w:r>
        <w:rPr>
          <w:b/>
        </w:rPr>
        <w:t>6. Stock holding days</w:t>
      </w:r>
    </w:p>
    <w:p w14:paraId="54462840" w14:textId="77777777" w:rsidR="006909C1" w:rsidRDefault="006909C1" w:rsidP="006909C1">
      <w:r>
        <w:rPr>
          <w:b/>
        </w:rPr>
        <w:t xml:space="preserve">Definition: </w:t>
      </w:r>
      <w:r>
        <w:t>Evaluated for measuring the inventory formulation of business so that the marketing demand and supply processing can effectively be managed. It also brings the operating growth support that is progressive for operating development initiatives (</w:t>
      </w:r>
      <w:r>
        <w:rPr>
          <w:color w:val="222222"/>
          <w:highlight w:val="white"/>
        </w:rPr>
        <w:t>Han, 2018)</w:t>
      </w:r>
      <w:r>
        <w:t xml:space="preserve">. </w:t>
      </w:r>
    </w:p>
    <w:p w14:paraId="22831424" w14:textId="77777777" w:rsidR="006909C1" w:rsidRDefault="006909C1" w:rsidP="006909C1">
      <w:pPr>
        <w:rPr>
          <w:b/>
        </w:rPr>
      </w:pPr>
      <w:r>
        <w:rPr>
          <w:b/>
        </w:rPr>
        <w:t xml:space="preserve">Evaluation results: </w:t>
      </w:r>
      <w:r>
        <w:t xml:space="preserve">During the accounting period 2020 it was 78 days, however in the present situation it indicates the progressive structure up to 80 days respectively. </w:t>
      </w:r>
    </w:p>
    <w:p w14:paraId="19A86A58" w14:textId="77777777" w:rsidR="006909C1" w:rsidRDefault="006909C1" w:rsidP="006909C1">
      <w:r>
        <w:rPr>
          <w:b/>
        </w:rPr>
        <w:t xml:space="preserve">Yearly performances: </w:t>
      </w:r>
      <w:r>
        <w:t xml:space="preserve">Generally, the increasing approach regarding this measurement initiates the development including progressive marketing support mainly that brings the operating accountability approach on an effective basis. It also provides general operating engagement regarding productivity support as well. </w:t>
      </w:r>
    </w:p>
    <w:p w14:paraId="6D046D76" w14:textId="77777777" w:rsidR="006909C1" w:rsidRDefault="006909C1" w:rsidP="006909C1">
      <w:r>
        <w:rPr>
          <w:b/>
        </w:rPr>
        <w:t xml:space="preserve">Reasons: </w:t>
      </w:r>
      <w:r>
        <w:t xml:space="preserve">The present supply chain management growth including the operating stability approach provides a supportive formulation regarding business inventory progress. </w:t>
      </w:r>
    </w:p>
    <w:p w14:paraId="5DE82A3F" w14:textId="77777777" w:rsidR="006909C1" w:rsidRDefault="006909C1" w:rsidP="006909C1">
      <w:pPr>
        <w:rPr>
          <w:b/>
        </w:rPr>
      </w:pPr>
      <w:r>
        <w:rPr>
          <w:b/>
        </w:rPr>
        <w:t xml:space="preserve">Development strategy: </w:t>
      </w:r>
      <w:r>
        <w:t xml:space="preserve">A proper importance to the inventory management system is required for managing the optimised financial processing on an effective basis. </w:t>
      </w:r>
    </w:p>
    <w:p w14:paraId="2EA99FC2" w14:textId="77777777" w:rsidR="006909C1" w:rsidRDefault="006909C1" w:rsidP="006909C1">
      <w:pPr>
        <w:rPr>
          <w:b/>
        </w:rPr>
      </w:pPr>
      <w:r>
        <w:rPr>
          <w:b/>
        </w:rPr>
        <w:t>7. Debtors' collection period</w:t>
      </w:r>
    </w:p>
    <w:p w14:paraId="3C62AC65" w14:textId="77777777" w:rsidR="006909C1" w:rsidRDefault="006909C1" w:rsidP="006909C1">
      <w:r>
        <w:rPr>
          <w:b/>
        </w:rPr>
        <w:t xml:space="preserve">Definition: </w:t>
      </w:r>
      <w:r>
        <w:t>Measured for identifying the collection approach including collection processing support in an effective order that is sustainable for optimised growth formulation mainly (</w:t>
      </w:r>
      <w:r>
        <w:rPr>
          <w:color w:val="222222"/>
          <w:highlight w:val="white"/>
        </w:rPr>
        <w:t>Garas and Hassan, 2018)</w:t>
      </w:r>
      <w:r>
        <w:t xml:space="preserve">. </w:t>
      </w:r>
    </w:p>
    <w:p w14:paraId="307C6D25" w14:textId="77777777" w:rsidR="006909C1" w:rsidRDefault="006909C1" w:rsidP="006909C1">
      <w:pPr>
        <w:rPr>
          <w:b/>
        </w:rPr>
      </w:pPr>
      <w:r>
        <w:rPr>
          <w:b/>
        </w:rPr>
        <w:t xml:space="preserve">Evaluation results: </w:t>
      </w:r>
      <w:r>
        <w:t xml:space="preserve">During the accounting period 2020 it was 73 days, however in the present situation it indicates the progressive structure that declined up to 68 days respectively. </w:t>
      </w:r>
    </w:p>
    <w:p w14:paraId="3073DEBD" w14:textId="77777777" w:rsidR="006909C1" w:rsidRDefault="006909C1" w:rsidP="006909C1">
      <w:r>
        <w:rPr>
          <w:b/>
        </w:rPr>
        <w:t xml:space="preserve">Yearly performances: </w:t>
      </w:r>
      <w:r>
        <w:t xml:space="preserve">According to the present computation mainly the declining approach is identified, indicating that the present collection approach of the business is comprehensive for developing the marketing approach on an effective basis. </w:t>
      </w:r>
    </w:p>
    <w:p w14:paraId="6834B846" w14:textId="77777777" w:rsidR="006909C1" w:rsidRDefault="006909C1" w:rsidP="006909C1">
      <w:r>
        <w:rPr>
          <w:b/>
        </w:rPr>
        <w:t xml:space="preserve">Reasons: </w:t>
      </w:r>
      <w:r>
        <w:t xml:space="preserve">The current marketing development including the supply chain approach is comprehensive and provides a progressive approach on an effective basis. </w:t>
      </w:r>
    </w:p>
    <w:p w14:paraId="498E3770" w14:textId="77777777" w:rsidR="006909C1" w:rsidRDefault="006909C1" w:rsidP="006909C1">
      <w:r>
        <w:rPr>
          <w:b/>
        </w:rPr>
        <w:t xml:space="preserve">Development strategy: </w:t>
      </w:r>
      <w:r>
        <w:t xml:space="preserve">A systematic development including operating maintenance growth supportively managed for future development. </w:t>
      </w:r>
    </w:p>
    <w:p w14:paraId="6FF18DA4" w14:textId="77777777" w:rsidR="006909C1" w:rsidRDefault="006909C1" w:rsidP="006909C1">
      <w:pPr>
        <w:rPr>
          <w:b/>
        </w:rPr>
      </w:pPr>
      <w:r>
        <w:rPr>
          <w:b/>
        </w:rPr>
        <w:t>8. Current ratio</w:t>
      </w:r>
    </w:p>
    <w:p w14:paraId="20D3B122" w14:textId="77777777" w:rsidR="006909C1" w:rsidRDefault="006909C1" w:rsidP="006909C1">
      <w:r>
        <w:rPr>
          <w:b/>
        </w:rPr>
        <w:t xml:space="preserve">Definition: </w:t>
      </w:r>
      <w:r>
        <w:t xml:space="preserve">Applied this measurement is initiated for measuring the accounting development including liquidity formulation support that brings sustainable progress on an effective basis. </w:t>
      </w:r>
    </w:p>
    <w:p w14:paraId="743F3632" w14:textId="77777777" w:rsidR="006909C1" w:rsidRDefault="006909C1" w:rsidP="006909C1">
      <w:pPr>
        <w:rPr>
          <w:b/>
        </w:rPr>
      </w:pPr>
      <w:r>
        <w:rPr>
          <w:b/>
        </w:rPr>
        <w:lastRenderedPageBreak/>
        <w:t xml:space="preserve">Evaluation results: </w:t>
      </w:r>
      <w:r>
        <w:t xml:space="preserve">During the accounting period 2020 it was 0.77, however in the present situation it indicates the progressive structure up to 0.92 respectively. </w:t>
      </w:r>
    </w:p>
    <w:p w14:paraId="380F1BFE" w14:textId="77777777" w:rsidR="006909C1" w:rsidRDefault="006909C1" w:rsidP="006909C1">
      <w:r>
        <w:rPr>
          <w:b/>
        </w:rPr>
        <w:t xml:space="preserve">Yearly performances: </w:t>
      </w:r>
      <w:r>
        <w:t xml:space="preserve">A systematic development including marketing growth generally initiated that indicates the present operating formulation including liquidity approach is comprehensive for optimised performance development support. </w:t>
      </w:r>
    </w:p>
    <w:p w14:paraId="36B1B49E" w14:textId="77777777" w:rsidR="006909C1" w:rsidRDefault="006909C1" w:rsidP="006909C1">
      <w:r>
        <w:rPr>
          <w:b/>
        </w:rPr>
        <w:t xml:space="preserve">Reasons: </w:t>
      </w:r>
      <w:r>
        <w:t xml:space="preserve">The present enhanced revenue formation including marketing management is sustainable for this business that provides a level of growth support. </w:t>
      </w:r>
    </w:p>
    <w:p w14:paraId="5A6AE6F7" w14:textId="77777777" w:rsidR="006909C1" w:rsidRDefault="006909C1" w:rsidP="006909C1">
      <w:pPr>
        <w:rPr>
          <w:b/>
        </w:rPr>
      </w:pPr>
      <w:r>
        <w:rPr>
          <w:b/>
        </w:rPr>
        <w:t xml:space="preserve">Development strategy: </w:t>
      </w:r>
      <w:r>
        <w:t xml:space="preserve">A supportive importance to the key performance indicators is needed to be initiated on an effective basis that brings the operating growth support in the future. </w:t>
      </w:r>
    </w:p>
    <w:p w14:paraId="522B7C34" w14:textId="77777777" w:rsidR="006909C1" w:rsidRDefault="006909C1" w:rsidP="006909C1">
      <w:pPr>
        <w:rPr>
          <w:b/>
        </w:rPr>
      </w:pPr>
      <w:r>
        <w:rPr>
          <w:b/>
        </w:rPr>
        <w:t>9. Gearing ratio</w:t>
      </w:r>
    </w:p>
    <w:p w14:paraId="6948B500" w14:textId="77777777" w:rsidR="006909C1" w:rsidRDefault="006909C1" w:rsidP="006909C1">
      <w:r>
        <w:rPr>
          <w:b/>
        </w:rPr>
        <w:t xml:space="preserve">Definition: </w:t>
      </w:r>
      <w:r>
        <w:t xml:space="preserve">It is mainly formulated for measuring the accounting development including optimum position regarding the capital structure of the business that brings effective operating growth support mainly. </w:t>
      </w:r>
    </w:p>
    <w:p w14:paraId="2554A03C" w14:textId="77777777" w:rsidR="006909C1" w:rsidRDefault="006909C1" w:rsidP="006909C1">
      <w:pPr>
        <w:rPr>
          <w:b/>
        </w:rPr>
      </w:pPr>
      <w:r>
        <w:rPr>
          <w:b/>
        </w:rPr>
        <w:t xml:space="preserve">Evaluation results:  </w:t>
      </w:r>
      <w:r>
        <w:t xml:space="preserve">During the accounting period 2020 it was 1.42, however in the present situation it indicates the declining structure up to 1.34 respectively. </w:t>
      </w:r>
      <w:r>
        <w:rPr>
          <w:b/>
        </w:rPr>
        <w:t xml:space="preserve"> </w:t>
      </w:r>
    </w:p>
    <w:p w14:paraId="3A93F277" w14:textId="77777777" w:rsidR="006909C1" w:rsidRDefault="006909C1" w:rsidP="006909C1">
      <w:r>
        <w:rPr>
          <w:b/>
        </w:rPr>
        <w:t xml:space="preserve">Yearly performances: </w:t>
      </w:r>
      <w:r>
        <w:t xml:space="preserve">According to the present measurement a declining approach is identified which indicates the present level of business capital position is not sustainable associated with marketing debt volume. It also initiates the risk assessment level as well. </w:t>
      </w:r>
    </w:p>
    <w:p w14:paraId="58C9A2CF" w14:textId="77777777" w:rsidR="006909C1" w:rsidRDefault="006909C1" w:rsidP="006909C1">
      <w:r>
        <w:rPr>
          <w:b/>
        </w:rPr>
        <w:t xml:space="preserve">Reasons: </w:t>
      </w:r>
      <w:r>
        <w:t xml:space="preserve">The present increasing approach regarding debt capital volume and non-supportive marking capital growth mainly. </w:t>
      </w:r>
    </w:p>
    <w:p w14:paraId="4A77C866" w14:textId="77777777" w:rsidR="006909C1" w:rsidRDefault="006909C1" w:rsidP="006909C1">
      <w:r>
        <w:rPr>
          <w:b/>
        </w:rPr>
        <w:t xml:space="preserve">Development strategy: </w:t>
      </w:r>
      <w:r>
        <w:t xml:space="preserve">A proper operating development including optimised capital formulation support is required for standardised and formulated capital processing purposes. </w:t>
      </w:r>
    </w:p>
    <w:p w14:paraId="704FCBCA" w14:textId="77777777" w:rsidR="006909C1" w:rsidRDefault="006909C1" w:rsidP="006909C1">
      <w:pPr>
        <w:pStyle w:val="Heading1"/>
      </w:pPr>
      <w:bookmarkStart w:id="7" w:name="_Toc109475544"/>
      <w:r>
        <w:t>Conclusions</w:t>
      </w:r>
      <w:bookmarkEnd w:id="7"/>
      <w:r>
        <w:t xml:space="preserve"> </w:t>
      </w:r>
    </w:p>
    <w:p w14:paraId="404A0350" w14:textId="77777777" w:rsidR="006909C1" w:rsidRDefault="006909C1" w:rsidP="006909C1">
      <w:r>
        <w:t xml:space="preserve">In conclusion, the primary presence of business accounting engagement is initiated for maintaining the accounting development including operating stability support on an effective basis. It also provides the marketing formulation support including a strategic processing approach that brings the ultimate support of progressive financial growth. A supportive presence of accounting measurement regarding an individual business also initiates the development regarding accounting formulation that initiates for standardised accountability initiative of business in a developing manner. </w:t>
      </w:r>
    </w:p>
    <w:p w14:paraId="726DE282" w14:textId="77777777" w:rsidR="006909C1" w:rsidRDefault="006909C1" w:rsidP="006909C1">
      <w:pPr>
        <w:rPr>
          <w:b/>
        </w:rPr>
      </w:pPr>
    </w:p>
    <w:p w14:paraId="7C979C3E" w14:textId="77777777" w:rsidR="006909C1" w:rsidRDefault="006909C1" w:rsidP="006909C1">
      <w:pPr>
        <w:rPr>
          <w:b/>
        </w:rPr>
      </w:pPr>
      <w:r>
        <w:rPr>
          <w:b/>
        </w:rPr>
        <w:br w:type="page"/>
      </w:r>
    </w:p>
    <w:p w14:paraId="5F520303" w14:textId="77777777" w:rsidR="006909C1" w:rsidRDefault="006909C1" w:rsidP="006909C1">
      <w:pPr>
        <w:pStyle w:val="Heading1"/>
      </w:pPr>
      <w:bookmarkStart w:id="8" w:name="_Toc109475545"/>
      <w:r>
        <w:lastRenderedPageBreak/>
        <w:t>References</w:t>
      </w:r>
      <w:bookmarkEnd w:id="8"/>
    </w:p>
    <w:p w14:paraId="684A7A1B" w14:textId="77777777" w:rsidR="006909C1" w:rsidRDefault="006909C1" w:rsidP="006909C1">
      <w:pPr>
        <w:rPr>
          <w:color w:val="222222"/>
          <w:shd w:val="clear" w:color="auto" w:fill="FFFFFF"/>
        </w:rPr>
      </w:pPr>
      <w:r>
        <w:rPr>
          <w:color w:val="222222"/>
          <w:shd w:val="clear" w:color="auto" w:fill="FFFFFF"/>
        </w:rPr>
        <w:t>Ardila, I., Zurriah, R. and Suryani, Y., 2019. Preparation of financial statements based on financial accounting standards for micro, small and medium entities. </w:t>
      </w:r>
      <w:r>
        <w:rPr>
          <w:i/>
          <w:iCs/>
          <w:color w:val="222222"/>
          <w:shd w:val="clear" w:color="auto" w:fill="FFFFFF"/>
        </w:rPr>
        <w:t>International Journal of Accounting &amp; Finance in Asia Pasific (IJAFAP)</w:t>
      </w:r>
      <w:r>
        <w:rPr>
          <w:color w:val="222222"/>
          <w:shd w:val="clear" w:color="auto" w:fill="FFFFFF"/>
        </w:rPr>
        <w:t>, </w:t>
      </w:r>
      <w:r>
        <w:rPr>
          <w:i/>
          <w:iCs/>
          <w:color w:val="222222"/>
          <w:shd w:val="clear" w:color="auto" w:fill="FFFFFF"/>
        </w:rPr>
        <w:t>2</w:t>
      </w:r>
      <w:r>
        <w:rPr>
          <w:color w:val="222222"/>
          <w:shd w:val="clear" w:color="auto" w:fill="FFFFFF"/>
        </w:rPr>
        <w:t>(3), pp.1-6.</w:t>
      </w:r>
    </w:p>
    <w:p w14:paraId="0C3B4CDB" w14:textId="77777777" w:rsidR="006909C1" w:rsidRDefault="006909C1" w:rsidP="006909C1">
      <w:pPr>
        <w:rPr>
          <w:color w:val="222222"/>
          <w:shd w:val="clear" w:color="auto" w:fill="FFFFFF"/>
        </w:rPr>
      </w:pPr>
      <w:r>
        <w:rPr>
          <w:color w:val="222222"/>
          <w:shd w:val="clear" w:color="auto" w:fill="FFFFFF"/>
        </w:rPr>
        <w:t>Beerbaum, D., 2020. Benchmarking and best-practice analysis in Financial Accounting–the case of Related Party Disclosures. </w:t>
      </w:r>
      <w:r>
        <w:rPr>
          <w:i/>
          <w:iCs/>
          <w:color w:val="222222"/>
          <w:shd w:val="clear" w:color="auto" w:fill="FFFFFF"/>
        </w:rPr>
        <w:t>Journal of Applied Research in the Digital Economy (JADE)</w:t>
      </w:r>
      <w:r>
        <w:rPr>
          <w:color w:val="222222"/>
          <w:shd w:val="clear" w:color="auto" w:fill="FFFFFF"/>
        </w:rPr>
        <w:t>.</w:t>
      </w:r>
    </w:p>
    <w:p w14:paraId="5A002860" w14:textId="77777777" w:rsidR="006909C1" w:rsidRDefault="006909C1" w:rsidP="006909C1">
      <w:pPr>
        <w:rPr>
          <w:color w:val="222222"/>
          <w:shd w:val="clear" w:color="auto" w:fill="FFFFFF"/>
        </w:rPr>
      </w:pPr>
      <w:r>
        <w:rPr>
          <w:color w:val="222222"/>
          <w:shd w:val="clear" w:color="auto" w:fill="FFFFFF"/>
        </w:rPr>
        <w:t>Dai, S., 2019. ARS Interactive Teaching Mode for Financial Accounting Course based on Smart Classroom. </w:t>
      </w:r>
      <w:r>
        <w:rPr>
          <w:i/>
          <w:iCs/>
          <w:color w:val="222222"/>
          <w:shd w:val="clear" w:color="auto" w:fill="FFFFFF"/>
        </w:rPr>
        <w:t>International Journal of Emerging Technologies in Learning</w:t>
      </w:r>
      <w:r>
        <w:rPr>
          <w:color w:val="222222"/>
          <w:shd w:val="clear" w:color="auto" w:fill="FFFFFF"/>
        </w:rPr>
        <w:t>, </w:t>
      </w:r>
      <w:r>
        <w:rPr>
          <w:i/>
          <w:iCs/>
          <w:color w:val="222222"/>
          <w:shd w:val="clear" w:color="auto" w:fill="FFFFFF"/>
        </w:rPr>
        <w:t>14</w:t>
      </w:r>
      <w:r>
        <w:rPr>
          <w:color w:val="222222"/>
          <w:shd w:val="clear" w:color="auto" w:fill="FFFFFF"/>
        </w:rPr>
        <w:t>(3).</w:t>
      </w:r>
    </w:p>
    <w:p w14:paraId="5319DB44" w14:textId="77777777" w:rsidR="006909C1" w:rsidRDefault="006909C1" w:rsidP="006909C1">
      <w:pPr>
        <w:rPr>
          <w:color w:val="222222"/>
          <w:shd w:val="clear" w:color="auto" w:fill="FFFFFF"/>
        </w:rPr>
      </w:pPr>
      <w:r>
        <w:rPr>
          <w:color w:val="222222"/>
          <w:shd w:val="clear" w:color="auto" w:fill="FFFFFF"/>
        </w:rPr>
        <w:t>Garas, S. and Hassan, M., 2018. Student performance on computer-based tests versus paper-based tests in introductory financial accounting: UAE evidence. </w:t>
      </w:r>
      <w:r>
        <w:rPr>
          <w:i/>
          <w:iCs/>
          <w:color w:val="222222"/>
          <w:shd w:val="clear" w:color="auto" w:fill="FFFFFF"/>
        </w:rPr>
        <w:t>Academy of Accounting and Financial Studies Journal</w:t>
      </w:r>
      <w:r>
        <w:rPr>
          <w:color w:val="222222"/>
          <w:shd w:val="clear" w:color="auto" w:fill="FFFFFF"/>
        </w:rPr>
        <w:t>, </w:t>
      </w:r>
      <w:r>
        <w:rPr>
          <w:i/>
          <w:iCs/>
          <w:color w:val="222222"/>
          <w:shd w:val="clear" w:color="auto" w:fill="FFFFFF"/>
        </w:rPr>
        <w:t>22</w:t>
      </w:r>
      <w:r>
        <w:rPr>
          <w:color w:val="222222"/>
          <w:shd w:val="clear" w:color="auto" w:fill="FFFFFF"/>
        </w:rPr>
        <w:t>(2), pp.1-14.</w:t>
      </w:r>
    </w:p>
    <w:p w14:paraId="21FDAB3A" w14:textId="77777777" w:rsidR="006909C1" w:rsidRDefault="006909C1" w:rsidP="006909C1">
      <w:pPr>
        <w:rPr>
          <w:color w:val="222222"/>
          <w:shd w:val="clear" w:color="auto" w:fill="FFFFFF"/>
        </w:rPr>
      </w:pPr>
      <w:r>
        <w:rPr>
          <w:color w:val="222222"/>
          <w:shd w:val="clear" w:color="auto" w:fill="FFFFFF"/>
        </w:rPr>
        <w:t>Hamal, S. and Senvar, Ö., 2021. Comparing performances and effectiveness of machine learning classifiers in detecting financial accounting fraud for Turkish SMEs. </w:t>
      </w:r>
      <w:r>
        <w:rPr>
          <w:i/>
          <w:iCs/>
          <w:color w:val="222222"/>
          <w:shd w:val="clear" w:color="auto" w:fill="FFFFFF"/>
        </w:rPr>
        <w:t>Int. J. Comput. Intell. Syst.</w:t>
      </w:r>
      <w:r>
        <w:rPr>
          <w:color w:val="222222"/>
          <w:shd w:val="clear" w:color="auto" w:fill="FFFFFF"/>
        </w:rPr>
        <w:t>, </w:t>
      </w:r>
      <w:r>
        <w:rPr>
          <w:i/>
          <w:iCs/>
          <w:color w:val="222222"/>
          <w:shd w:val="clear" w:color="auto" w:fill="FFFFFF"/>
        </w:rPr>
        <w:t>14</w:t>
      </w:r>
      <w:r>
        <w:rPr>
          <w:color w:val="222222"/>
          <w:shd w:val="clear" w:color="auto" w:fill="FFFFFF"/>
        </w:rPr>
        <w:t>(1), pp.769-782.</w:t>
      </w:r>
    </w:p>
    <w:p w14:paraId="1B9E9CA6" w14:textId="77777777" w:rsidR="006909C1" w:rsidRDefault="006909C1" w:rsidP="006909C1">
      <w:pPr>
        <w:rPr>
          <w:color w:val="222222"/>
          <w:shd w:val="clear" w:color="auto" w:fill="FFFFFF"/>
        </w:rPr>
      </w:pPr>
      <w:r>
        <w:rPr>
          <w:color w:val="222222"/>
          <w:shd w:val="clear" w:color="auto" w:fill="FFFFFF"/>
        </w:rPr>
        <w:t>Han, W., 2018. A fundamentals of financial accounting course multimedia teaching system based on dokeos and Bigbluebutton. </w:t>
      </w:r>
      <w:r>
        <w:rPr>
          <w:i/>
          <w:iCs/>
          <w:color w:val="222222"/>
          <w:shd w:val="clear" w:color="auto" w:fill="FFFFFF"/>
        </w:rPr>
        <w:t>International Journal of Emerging Technologies in Learning</w:t>
      </w:r>
      <w:r>
        <w:rPr>
          <w:color w:val="222222"/>
          <w:shd w:val="clear" w:color="auto" w:fill="FFFFFF"/>
        </w:rPr>
        <w:t>, </w:t>
      </w:r>
      <w:r>
        <w:rPr>
          <w:i/>
          <w:iCs/>
          <w:color w:val="222222"/>
          <w:shd w:val="clear" w:color="auto" w:fill="FFFFFF"/>
        </w:rPr>
        <w:t>13</w:t>
      </w:r>
      <w:r>
        <w:rPr>
          <w:color w:val="222222"/>
          <w:shd w:val="clear" w:color="auto" w:fill="FFFFFF"/>
        </w:rPr>
        <w:t>(5).</w:t>
      </w:r>
    </w:p>
    <w:p w14:paraId="2EEC5835" w14:textId="77777777" w:rsidR="006909C1" w:rsidRDefault="006909C1" w:rsidP="006909C1">
      <w:pPr>
        <w:rPr>
          <w:color w:val="222222"/>
          <w:shd w:val="clear" w:color="auto" w:fill="FFFFFF"/>
        </w:rPr>
      </w:pPr>
      <w:r>
        <w:rPr>
          <w:color w:val="222222"/>
          <w:shd w:val="clear" w:color="auto" w:fill="FFFFFF"/>
        </w:rPr>
        <w:t>Herrador-Alcaide, T.C., Hernández-Solís, M. and Sanguino Galván, R., 2019. Feelings of satisfaction in mature students of financial accounting in a virtual learning environment: an experience of measurement in higher education. </w:t>
      </w:r>
      <w:r>
        <w:rPr>
          <w:i/>
          <w:iCs/>
          <w:color w:val="222222"/>
          <w:shd w:val="clear" w:color="auto" w:fill="FFFFFF"/>
        </w:rPr>
        <w:t>International Journal of Educational Technology in Higher Education</w:t>
      </w:r>
      <w:r>
        <w:rPr>
          <w:color w:val="222222"/>
          <w:shd w:val="clear" w:color="auto" w:fill="FFFFFF"/>
        </w:rPr>
        <w:t>, </w:t>
      </w:r>
      <w:r>
        <w:rPr>
          <w:i/>
          <w:iCs/>
          <w:color w:val="222222"/>
          <w:shd w:val="clear" w:color="auto" w:fill="FFFFFF"/>
        </w:rPr>
        <w:t>16</w:t>
      </w:r>
      <w:r>
        <w:rPr>
          <w:color w:val="222222"/>
          <w:shd w:val="clear" w:color="auto" w:fill="FFFFFF"/>
        </w:rPr>
        <w:t>(1), pp.1-19.</w:t>
      </w:r>
    </w:p>
    <w:p w14:paraId="3C00C32B" w14:textId="77777777" w:rsidR="006909C1" w:rsidRDefault="006909C1" w:rsidP="006909C1">
      <w:r>
        <w:t>John R. Dyson. 2017. Accounting for non-accounting students 8th edition, Financial Times Prentice Hall.</w:t>
      </w:r>
    </w:p>
    <w:p w14:paraId="044C2144" w14:textId="77777777" w:rsidR="006909C1" w:rsidRDefault="006909C1" w:rsidP="006909C1">
      <w:pPr>
        <w:rPr>
          <w:color w:val="222222"/>
          <w:shd w:val="clear" w:color="auto" w:fill="FFFFFF"/>
        </w:rPr>
      </w:pPr>
      <w:r>
        <w:rPr>
          <w:color w:val="222222"/>
          <w:shd w:val="clear" w:color="auto" w:fill="FFFFFF"/>
        </w:rPr>
        <w:t>Kimmel, P.D., Weygandt, J.J. and Kieso, D.E., 2020. </w:t>
      </w:r>
      <w:r>
        <w:rPr>
          <w:i/>
          <w:iCs/>
          <w:color w:val="222222"/>
          <w:shd w:val="clear" w:color="auto" w:fill="FFFFFF"/>
        </w:rPr>
        <w:t>Financial accounting: tools for business decision-making</w:t>
      </w:r>
      <w:r>
        <w:rPr>
          <w:color w:val="222222"/>
          <w:shd w:val="clear" w:color="auto" w:fill="FFFFFF"/>
        </w:rPr>
        <w:t>. John Wiley &amp; Sons.</w:t>
      </w:r>
    </w:p>
    <w:p w14:paraId="77A4DC9B" w14:textId="77777777" w:rsidR="006909C1" w:rsidRDefault="006909C1" w:rsidP="006909C1">
      <w:r>
        <w:t>McLaney and Atrill, 2016. Financial accounting for decision makers, 10th edition, FT Prentice Hall.</w:t>
      </w:r>
    </w:p>
    <w:p w14:paraId="0AB01B46" w14:textId="77777777" w:rsidR="006909C1" w:rsidRDefault="006909C1" w:rsidP="006909C1">
      <w:pPr>
        <w:rPr>
          <w:color w:val="222222"/>
          <w:shd w:val="clear" w:color="auto" w:fill="FFFFFF"/>
        </w:rPr>
      </w:pPr>
      <w:r>
        <w:rPr>
          <w:color w:val="222222"/>
          <w:shd w:val="clear" w:color="auto" w:fill="FFFFFF"/>
        </w:rPr>
        <w:t>Monsen, B.R., 2022. The determinants and consequences of big 4 lobbying positions on proposed financial accounting standards. </w:t>
      </w:r>
      <w:r>
        <w:rPr>
          <w:i/>
          <w:iCs/>
          <w:color w:val="222222"/>
          <w:shd w:val="clear" w:color="auto" w:fill="FFFFFF"/>
        </w:rPr>
        <w:t>The Accounting Review</w:t>
      </w:r>
      <w:r>
        <w:rPr>
          <w:color w:val="222222"/>
          <w:shd w:val="clear" w:color="auto" w:fill="FFFFFF"/>
        </w:rPr>
        <w:t>, </w:t>
      </w:r>
      <w:r>
        <w:rPr>
          <w:i/>
          <w:iCs/>
          <w:color w:val="222222"/>
          <w:shd w:val="clear" w:color="auto" w:fill="FFFFFF"/>
        </w:rPr>
        <w:t>97</w:t>
      </w:r>
      <w:r>
        <w:rPr>
          <w:color w:val="222222"/>
          <w:shd w:val="clear" w:color="auto" w:fill="FFFFFF"/>
        </w:rPr>
        <w:t>(3), pp.309-341.</w:t>
      </w:r>
    </w:p>
    <w:p w14:paraId="211314BD" w14:textId="77777777" w:rsidR="006909C1" w:rsidRDefault="006909C1" w:rsidP="006909C1">
      <w:pPr>
        <w:rPr>
          <w:color w:val="222222"/>
          <w:shd w:val="clear" w:color="auto" w:fill="FFFFFF"/>
        </w:rPr>
      </w:pPr>
      <w:r>
        <w:rPr>
          <w:color w:val="222222"/>
          <w:shd w:val="clear" w:color="auto" w:fill="FFFFFF"/>
        </w:rPr>
        <w:t>Mukoffi, A. and Sulistiyowati, Y., 2019. The Role of financial accounting standards for small and medium micro economic sectors: case studies in lowokwaru district, Malang. </w:t>
      </w:r>
      <w:r>
        <w:rPr>
          <w:i/>
          <w:iCs/>
          <w:color w:val="222222"/>
          <w:shd w:val="clear" w:color="auto" w:fill="FFFFFF"/>
        </w:rPr>
        <w:t>International Journal of Research in Business and Social Science (2147-4478)</w:t>
      </w:r>
      <w:r>
        <w:rPr>
          <w:color w:val="222222"/>
          <w:shd w:val="clear" w:color="auto" w:fill="FFFFFF"/>
        </w:rPr>
        <w:t>, </w:t>
      </w:r>
      <w:r>
        <w:rPr>
          <w:i/>
          <w:iCs/>
          <w:color w:val="222222"/>
          <w:shd w:val="clear" w:color="auto" w:fill="FFFFFF"/>
        </w:rPr>
        <w:t>8</w:t>
      </w:r>
      <w:r>
        <w:rPr>
          <w:color w:val="222222"/>
          <w:shd w:val="clear" w:color="auto" w:fill="FFFFFF"/>
        </w:rPr>
        <w:t>(3), pp.17-23.</w:t>
      </w:r>
    </w:p>
    <w:p w14:paraId="740F54FF" w14:textId="77777777" w:rsidR="006909C1" w:rsidRDefault="006909C1" w:rsidP="006909C1">
      <w:pPr>
        <w:rPr>
          <w:color w:val="222222"/>
          <w:shd w:val="clear" w:color="auto" w:fill="FFFFFF"/>
        </w:rPr>
      </w:pPr>
      <w:r>
        <w:rPr>
          <w:color w:val="222222"/>
          <w:shd w:val="clear" w:color="auto" w:fill="FFFFFF"/>
        </w:rPr>
        <w:lastRenderedPageBreak/>
        <w:t>Ortiz-Martínez, E., Santos-Jaén, J.M. and Palacios-Manzano, M., 2022. Games in the classroom? Analysis of their effects on financial accounting marks in higher education. </w:t>
      </w:r>
      <w:r>
        <w:rPr>
          <w:i/>
          <w:iCs/>
          <w:color w:val="222222"/>
          <w:shd w:val="clear" w:color="auto" w:fill="FFFFFF"/>
        </w:rPr>
        <w:t>The International Journal of Management Education</w:t>
      </w:r>
      <w:r>
        <w:rPr>
          <w:color w:val="222222"/>
          <w:shd w:val="clear" w:color="auto" w:fill="FFFFFF"/>
        </w:rPr>
        <w:t>, </w:t>
      </w:r>
      <w:r>
        <w:rPr>
          <w:i/>
          <w:iCs/>
          <w:color w:val="222222"/>
          <w:shd w:val="clear" w:color="auto" w:fill="FFFFFF"/>
        </w:rPr>
        <w:t>20</w:t>
      </w:r>
      <w:r>
        <w:rPr>
          <w:color w:val="222222"/>
          <w:shd w:val="clear" w:color="auto" w:fill="FFFFFF"/>
        </w:rPr>
        <w:t>(1), p.100584.</w:t>
      </w:r>
    </w:p>
    <w:p w14:paraId="0B3CBFA3" w14:textId="77777777" w:rsidR="006909C1" w:rsidRDefault="006909C1" w:rsidP="006909C1">
      <w:pPr>
        <w:rPr>
          <w:color w:val="222222"/>
          <w:shd w:val="clear" w:color="auto" w:fill="FFFFFF"/>
        </w:rPr>
      </w:pPr>
      <w:r>
        <w:rPr>
          <w:color w:val="222222"/>
          <w:shd w:val="clear" w:color="auto" w:fill="FFFFFF"/>
        </w:rPr>
        <w:t>Oulasvirta, L., 2021. A consistent bottom-up approach for deriving a conceptual framework for public sector financial accounting. </w:t>
      </w:r>
      <w:r>
        <w:rPr>
          <w:i/>
          <w:iCs/>
          <w:color w:val="222222"/>
          <w:shd w:val="clear" w:color="auto" w:fill="FFFFFF"/>
        </w:rPr>
        <w:t>Public Money &amp; Management</w:t>
      </w:r>
      <w:r>
        <w:rPr>
          <w:color w:val="222222"/>
          <w:shd w:val="clear" w:color="auto" w:fill="FFFFFF"/>
        </w:rPr>
        <w:t>, </w:t>
      </w:r>
      <w:r>
        <w:rPr>
          <w:i/>
          <w:iCs/>
          <w:color w:val="222222"/>
          <w:shd w:val="clear" w:color="auto" w:fill="FFFFFF"/>
        </w:rPr>
        <w:t>41</w:t>
      </w:r>
      <w:r>
        <w:rPr>
          <w:color w:val="222222"/>
          <w:shd w:val="clear" w:color="auto" w:fill="FFFFFF"/>
        </w:rPr>
        <w:t>(6), pp.436-446.</w:t>
      </w:r>
    </w:p>
    <w:p w14:paraId="34909394" w14:textId="77777777" w:rsidR="006909C1" w:rsidRDefault="006909C1" w:rsidP="006909C1">
      <w:pPr>
        <w:rPr>
          <w:color w:val="222222"/>
          <w:shd w:val="clear" w:color="auto" w:fill="FFFFFF"/>
        </w:rPr>
      </w:pPr>
      <w:r>
        <w:rPr>
          <w:color w:val="222222"/>
          <w:shd w:val="clear" w:color="auto" w:fill="FFFFFF"/>
        </w:rPr>
        <w:t>Schroeder, R.G., Clark, M.W. and Cathey, J.M., 2019. </w:t>
      </w:r>
      <w:r>
        <w:rPr>
          <w:i/>
          <w:iCs/>
          <w:color w:val="222222"/>
          <w:shd w:val="clear" w:color="auto" w:fill="FFFFFF"/>
        </w:rPr>
        <w:t>Financial accounting theory and analysis: text and cases</w:t>
      </w:r>
      <w:r>
        <w:rPr>
          <w:color w:val="222222"/>
          <w:shd w:val="clear" w:color="auto" w:fill="FFFFFF"/>
        </w:rPr>
        <w:t>. John Wiley &amp; Sons.</w:t>
      </w:r>
    </w:p>
    <w:p w14:paraId="297A538F" w14:textId="77777777" w:rsidR="006909C1" w:rsidRDefault="006909C1" w:rsidP="006909C1">
      <w:pPr>
        <w:rPr>
          <w:color w:val="222222"/>
          <w:shd w:val="clear" w:color="auto" w:fill="FFFFFF"/>
        </w:rPr>
      </w:pPr>
      <w:r>
        <w:rPr>
          <w:color w:val="222222"/>
          <w:shd w:val="clear" w:color="auto" w:fill="FFFFFF"/>
        </w:rPr>
        <w:t>Shehata, N., Mitry, C., Shawki, M. and El-Helaly, M., 2020. Incorporating Nearpod in undergraduate financial accounting classes in Egypt. </w:t>
      </w:r>
      <w:r>
        <w:rPr>
          <w:i/>
          <w:iCs/>
          <w:color w:val="222222"/>
          <w:shd w:val="clear" w:color="auto" w:fill="FFFFFF"/>
        </w:rPr>
        <w:t>Accounting Education</w:t>
      </w:r>
      <w:r>
        <w:rPr>
          <w:color w:val="222222"/>
          <w:shd w:val="clear" w:color="auto" w:fill="FFFFFF"/>
        </w:rPr>
        <w:t>, </w:t>
      </w:r>
      <w:r>
        <w:rPr>
          <w:i/>
          <w:iCs/>
          <w:color w:val="222222"/>
          <w:shd w:val="clear" w:color="auto" w:fill="FFFFFF"/>
        </w:rPr>
        <w:t>29</w:t>
      </w:r>
      <w:r>
        <w:rPr>
          <w:color w:val="222222"/>
          <w:shd w:val="clear" w:color="auto" w:fill="FFFFFF"/>
        </w:rPr>
        <w:t>(2), pp.137-152.</w:t>
      </w:r>
    </w:p>
    <w:p w14:paraId="54E450AB" w14:textId="77777777" w:rsidR="006909C1" w:rsidRDefault="006909C1" w:rsidP="006909C1">
      <w:pPr>
        <w:rPr>
          <w:color w:val="222222"/>
          <w:shd w:val="clear" w:color="auto" w:fill="FFFFFF"/>
        </w:rPr>
      </w:pPr>
      <w:r>
        <w:rPr>
          <w:color w:val="222222"/>
          <w:shd w:val="clear" w:color="auto" w:fill="FFFFFF"/>
        </w:rPr>
        <w:t>Tohirovich, Q.N., 2021. International financial accounting standards in Uzbekistan. </w:t>
      </w:r>
      <w:r>
        <w:rPr>
          <w:i/>
          <w:iCs/>
          <w:color w:val="222222"/>
          <w:shd w:val="clear" w:color="auto" w:fill="FFFFFF"/>
        </w:rPr>
        <w:t>ACADEMICIA: An International Multidisciplinary Research Journal</w:t>
      </w:r>
      <w:r>
        <w:rPr>
          <w:color w:val="222222"/>
          <w:shd w:val="clear" w:color="auto" w:fill="FFFFFF"/>
        </w:rPr>
        <w:t>, </w:t>
      </w:r>
      <w:r>
        <w:rPr>
          <w:i/>
          <w:iCs/>
          <w:color w:val="222222"/>
          <w:shd w:val="clear" w:color="auto" w:fill="FFFFFF"/>
        </w:rPr>
        <w:t>11</w:t>
      </w:r>
      <w:r>
        <w:rPr>
          <w:color w:val="222222"/>
          <w:shd w:val="clear" w:color="auto" w:fill="FFFFFF"/>
        </w:rPr>
        <w:t>(4), pp.328-333.</w:t>
      </w:r>
    </w:p>
    <w:p w14:paraId="55F7810B" w14:textId="77777777" w:rsidR="006909C1" w:rsidRDefault="006909C1" w:rsidP="006909C1">
      <w:pPr>
        <w:rPr>
          <w:color w:val="222222"/>
          <w:shd w:val="clear" w:color="auto" w:fill="FFFFFF"/>
        </w:rPr>
      </w:pPr>
      <w:r>
        <w:rPr>
          <w:color w:val="222222"/>
          <w:shd w:val="clear" w:color="auto" w:fill="FFFFFF"/>
        </w:rPr>
        <w:t>Weygandt, J.J., Kimmel, P.D. and Kieso, D.E., 2018. </w:t>
      </w:r>
      <w:r>
        <w:rPr>
          <w:i/>
          <w:iCs/>
          <w:color w:val="222222"/>
          <w:shd w:val="clear" w:color="auto" w:fill="FFFFFF"/>
        </w:rPr>
        <w:t>Financial Accounting with International Financial Reporting Standards</w:t>
      </w:r>
      <w:r>
        <w:rPr>
          <w:color w:val="222222"/>
          <w:shd w:val="clear" w:color="auto" w:fill="FFFFFF"/>
        </w:rPr>
        <w:t>. John Wiley &amp; Sons.</w:t>
      </w:r>
    </w:p>
    <w:p w14:paraId="131E636F" w14:textId="77777777" w:rsidR="006909C1" w:rsidRDefault="006909C1" w:rsidP="006909C1">
      <w:pPr>
        <w:rPr>
          <w:color w:val="222222"/>
          <w:shd w:val="clear" w:color="auto" w:fill="FFFFFF"/>
        </w:rPr>
      </w:pPr>
      <w:r>
        <w:rPr>
          <w:color w:val="222222"/>
          <w:shd w:val="clear" w:color="auto" w:fill="FFFFFF"/>
        </w:rPr>
        <w:t>Weygandt, J.J., Kimmel, P.D. and Kieso, D.E., 2019. </w:t>
      </w:r>
      <w:r>
        <w:rPr>
          <w:i/>
          <w:iCs/>
          <w:color w:val="222222"/>
          <w:shd w:val="clear" w:color="auto" w:fill="FFFFFF"/>
        </w:rPr>
        <w:t>Financial accounting</w:t>
      </w:r>
      <w:r>
        <w:rPr>
          <w:color w:val="222222"/>
          <w:shd w:val="clear" w:color="auto" w:fill="FFFFFF"/>
        </w:rPr>
        <w:t>. John Wiley &amp; Sons.</w:t>
      </w:r>
    </w:p>
    <w:p w14:paraId="0FD94409" w14:textId="77777777" w:rsidR="006909C1" w:rsidRDefault="006909C1" w:rsidP="006909C1">
      <w:r>
        <w:t>Wood, F., 2015. Frank Wood's Business Accounting, 13</w:t>
      </w:r>
      <w:r>
        <w:rPr>
          <w:vertAlign w:val="superscript"/>
        </w:rPr>
        <w:t>th</w:t>
      </w:r>
      <w:r>
        <w:t xml:space="preserve"> Edition. Pearson Education Limited.</w:t>
      </w:r>
    </w:p>
    <w:p w14:paraId="1D13D547" w14:textId="77777777" w:rsidR="006909C1" w:rsidRDefault="006909C1" w:rsidP="006909C1">
      <w:pPr>
        <w:rPr>
          <w:color w:val="222222"/>
          <w:shd w:val="clear" w:color="auto" w:fill="FFFFFF"/>
        </w:rPr>
      </w:pPr>
    </w:p>
    <w:p w14:paraId="1CE9CDA0" w14:textId="77777777" w:rsidR="006909C1" w:rsidRDefault="006909C1" w:rsidP="006909C1">
      <w:pPr>
        <w:rPr>
          <w:b/>
        </w:rPr>
      </w:pPr>
    </w:p>
    <w:p w14:paraId="50823BE1" w14:textId="77777777" w:rsidR="006909C1" w:rsidRDefault="006909C1" w:rsidP="006909C1">
      <w:pPr>
        <w:spacing w:line="276" w:lineRule="auto"/>
        <w:jc w:val="left"/>
        <w:rPr>
          <w:rFonts w:ascii="Arial" w:eastAsia="Arial" w:hAnsi="Arial" w:cs="Arial"/>
          <w:sz w:val="22"/>
          <w:szCs w:val="22"/>
        </w:rPr>
      </w:pPr>
    </w:p>
    <w:p w14:paraId="2F400EE4" w14:textId="77777777" w:rsidR="006909C1" w:rsidRDefault="006909C1" w:rsidP="006909C1"/>
    <w:p w14:paraId="263F0AB8" w14:textId="77777777" w:rsidR="007C06FC" w:rsidRDefault="007C06FC"/>
    <w:sectPr w:rsidR="007C0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FD8"/>
    <w:rsid w:val="003313B9"/>
    <w:rsid w:val="00683E16"/>
    <w:rsid w:val="006909C1"/>
    <w:rsid w:val="00693D07"/>
    <w:rsid w:val="007C06FC"/>
    <w:rsid w:val="008A7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76A34"/>
  <w15:chartTrackingRefBased/>
  <w15:docId w15:val="{5801915A-7579-4C9C-8FF7-8B25CE0F5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9C1"/>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autoRedefine/>
    <w:qFormat/>
    <w:rsid w:val="006909C1"/>
    <w:pPr>
      <w:outlineLvl w:val="0"/>
    </w:pPr>
    <w:rPr>
      <w:b/>
      <w:color w:val="000000" w:themeColor="text1"/>
      <w:sz w:val="32"/>
    </w:rPr>
  </w:style>
  <w:style w:type="paragraph" w:styleId="Heading2">
    <w:name w:val="heading 2"/>
    <w:basedOn w:val="Normal"/>
    <w:next w:val="Normal"/>
    <w:link w:val="Heading2Char"/>
    <w:autoRedefine/>
    <w:semiHidden/>
    <w:unhideWhenUsed/>
    <w:qFormat/>
    <w:rsid w:val="006909C1"/>
    <w:pPr>
      <w:outlineLvl w:val="1"/>
    </w:pPr>
    <w:rPr>
      <w:b/>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909C1"/>
    <w:rPr>
      <w:rFonts w:ascii="Times New Roman" w:eastAsia="Times New Roman" w:hAnsi="Times New Roman" w:cs="Times New Roman"/>
      <w:b/>
      <w:color w:val="000000" w:themeColor="text1"/>
      <w:sz w:val="32"/>
      <w:szCs w:val="24"/>
      <w:lang w:eastAsia="en-IN"/>
    </w:rPr>
  </w:style>
  <w:style w:type="character" w:customStyle="1" w:styleId="Heading2Char">
    <w:name w:val="Heading 2 Char"/>
    <w:basedOn w:val="DefaultParagraphFont"/>
    <w:link w:val="Heading2"/>
    <w:semiHidden/>
    <w:rsid w:val="006909C1"/>
    <w:rPr>
      <w:rFonts w:ascii="Times New Roman" w:eastAsia="Times New Roman" w:hAnsi="Times New Roman" w:cs="Times New Roman"/>
      <w:b/>
      <w:color w:val="000000" w:themeColor="text1"/>
      <w:sz w:val="28"/>
      <w:szCs w:val="24"/>
      <w:lang w:eastAsia="en-IN"/>
    </w:rPr>
  </w:style>
  <w:style w:type="character" w:styleId="Hyperlink">
    <w:name w:val="Hyperlink"/>
    <w:basedOn w:val="DefaultParagraphFont"/>
    <w:uiPriority w:val="99"/>
    <w:semiHidden/>
    <w:unhideWhenUsed/>
    <w:rsid w:val="006909C1"/>
    <w:rPr>
      <w:color w:val="0563C1" w:themeColor="hyperlink"/>
      <w:u w:val="single"/>
    </w:rPr>
  </w:style>
  <w:style w:type="paragraph" w:styleId="TOC1">
    <w:name w:val="toc 1"/>
    <w:basedOn w:val="Normal"/>
    <w:next w:val="Normal"/>
    <w:autoRedefine/>
    <w:uiPriority w:val="39"/>
    <w:semiHidden/>
    <w:unhideWhenUsed/>
    <w:rsid w:val="006909C1"/>
    <w:pPr>
      <w:spacing w:after="100"/>
    </w:pPr>
  </w:style>
  <w:style w:type="paragraph" w:styleId="TOC2">
    <w:name w:val="toc 2"/>
    <w:basedOn w:val="Normal"/>
    <w:next w:val="Normal"/>
    <w:autoRedefine/>
    <w:uiPriority w:val="39"/>
    <w:semiHidden/>
    <w:unhideWhenUsed/>
    <w:rsid w:val="006909C1"/>
    <w:pPr>
      <w:spacing w:after="100"/>
      <w:ind w:left="240"/>
    </w:pPr>
  </w:style>
  <w:style w:type="paragraph" w:styleId="TOCHeading">
    <w:name w:val="TOC Heading"/>
    <w:basedOn w:val="Heading1"/>
    <w:next w:val="Normal"/>
    <w:uiPriority w:val="39"/>
    <w:semiHidden/>
    <w:unhideWhenUsed/>
    <w:qFormat/>
    <w:rsid w:val="006909C1"/>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678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iq\OneDrive\Desktop\LCBB4001-%20Assessment%201%20(1).docx"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webSettings" Target="webSettings.xml"/><Relationship Id="rId21" Type="http://schemas.openxmlformats.org/officeDocument/2006/relationships/image" Target="media/image9.png"/><Relationship Id="rId7" Type="http://schemas.openxmlformats.org/officeDocument/2006/relationships/hyperlink" Target="file:///C:\Users\mariq\OneDrive\Desktop\LCBB4001-%20Assessment%201%20(1).docx" TargetMode="External"/><Relationship Id="rId12" Type="http://schemas.openxmlformats.org/officeDocument/2006/relationships/hyperlink" Target="file:///C:\Users\mariq\OneDrive\Desktop\LCBB4001-%20Assessment%201%20(1).docx"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mariq\OneDrive\Desktop\LCBB4001-%20Assessment%201%20(1).docx" TargetMode="External"/><Relationship Id="rId11" Type="http://schemas.openxmlformats.org/officeDocument/2006/relationships/hyperlink" Target="file:///C:\Users\mariq\OneDrive\Desktop\LCBB4001-%20Assessment%201%20(1).docx" TargetMode="External"/><Relationship Id="rId24" Type="http://schemas.openxmlformats.org/officeDocument/2006/relationships/image" Target="media/image12.png"/><Relationship Id="rId5" Type="http://schemas.openxmlformats.org/officeDocument/2006/relationships/hyperlink" Target="file:///C:\Users\mariq\OneDrive\Desktop\LCBB4001-%20Assessment%201%20(1).docx" TargetMode="Externa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file:///C:\Users\mariq\OneDrive\Desktop\LCBB4001-%20Assessment%201%20(1).docx" TargetMode="External"/><Relationship Id="rId19" Type="http://schemas.openxmlformats.org/officeDocument/2006/relationships/image" Target="media/image7.png"/><Relationship Id="rId4" Type="http://schemas.openxmlformats.org/officeDocument/2006/relationships/hyperlink" Target="file:///C:\Users\mariq\OneDrive\Desktop\LCBB4001-%20Assessment%201%20(1).docx" TargetMode="External"/><Relationship Id="rId9" Type="http://schemas.openxmlformats.org/officeDocument/2006/relationships/hyperlink" Target="file:///C:\Users\mariq\OneDrive\Desktop\LCBB4001-%20Assessment%201%20(1).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1561</TotalTime>
  <Pages>16</Pages>
  <Words>4213</Words>
  <Characters>24018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Ilieva (2123768)</dc:creator>
  <cp:keywords/>
  <dc:description/>
  <cp:lastModifiedBy>Mariya Ilieva (2123768)</cp:lastModifiedBy>
  <cp:revision>3</cp:revision>
  <dcterms:created xsi:type="dcterms:W3CDTF">2022-08-30T14:36:00Z</dcterms:created>
  <dcterms:modified xsi:type="dcterms:W3CDTF">2022-08-31T17:01:00Z</dcterms:modified>
</cp:coreProperties>
</file>