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2196C" w14:textId="77777777" w:rsidR="00412DBD" w:rsidRPr="00D655F0" w:rsidRDefault="00412DBD" w:rsidP="00412DBD">
      <w:pPr>
        <w:spacing w:line="360" w:lineRule="auto"/>
        <w:jc w:val="both"/>
        <w:rPr>
          <w:u w:val="single"/>
        </w:rPr>
      </w:pPr>
      <w:r w:rsidRPr="00D655F0">
        <w:rPr>
          <w:noProof/>
        </w:rPr>
        <mc:AlternateContent>
          <mc:Choice Requires="wps">
            <w:drawing>
              <wp:anchor distT="0" distB="0" distL="114300" distR="114300" simplePos="0" relativeHeight="251657216" behindDoc="0" locked="0" layoutInCell="1" allowOverlap="1" wp14:anchorId="39DFC60D" wp14:editId="58BDA162">
                <wp:simplePos x="0" y="0"/>
                <wp:positionH relativeFrom="column">
                  <wp:posOffset>-323850</wp:posOffset>
                </wp:positionH>
                <wp:positionV relativeFrom="paragraph">
                  <wp:posOffset>514985</wp:posOffset>
                </wp:positionV>
                <wp:extent cx="6635750" cy="31750"/>
                <wp:effectExtent l="0" t="0" r="12700" b="6350"/>
                <wp:wrapNone/>
                <wp:docPr id="23859478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9A8A2DE" id="Straight Connector 3"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40.55pt" to="497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" strokecolor="#156082 [3204]" strokeweight="1pt">
                <v:stroke joinstyle="miter"/>
                <o:lock v:ext="edit" shapetype="f"/>
              </v:line>
            </w:pict>
          </mc:Fallback>
        </mc:AlternateContent>
      </w:r>
    </w:p>
    <w:p w14:paraId="27162FD5" w14:textId="77777777" w:rsidR="00412DBD" w:rsidRPr="00D655F0" w:rsidRDefault="00412DBD" w:rsidP="00412DBD">
      <w:pPr>
        <w:jc w:val="both"/>
        <w:rPr>
          <w:highlight w:val="yellow"/>
        </w:rPr>
      </w:pPr>
    </w:p>
    <w:p w14:paraId="1935D1ED" w14:textId="77777777" w:rsidR="00412DBD" w:rsidRPr="00D655F0" w:rsidRDefault="00412DBD" w:rsidP="00412DBD">
      <w:pPr>
        <w:jc w:val="both"/>
      </w:pPr>
    </w:p>
    <w:p w14:paraId="40C338E1" w14:textId="77777777" w:rsidR="00412DBD" w:rsidRPr="00D655F0" w:rsidRDefault="00412DBD" w:rsidP="00412DBD">
      <w:pPr>
        <w:jc w:val="both"/>
      </w:pPr>
    </w:p>
    <w:p w14:paraId="1C69EA08" w14:textId="77777777" w:rsidR="00412DBD" w:rsidRDefault="00412DBD" w:rsidP="00412DBD">
      <w:pPr>
        <w:jc w:val="center"/>
      </w:pPr>
      <w:r w:rsidRPr="00D655F0">
        <w:t>Post Merger People Challenge</w:t>
      </w:r>
    </w:p>
    <w:p w14:paraId="79E88E30" w14:textId="104CE66A" w:rsidR="006311AC" w:rsidRPr="00D655F0" w:rsidRDefault="006311AC" w:rsidP="00412DBD">
      <w:pPr>
        <w:jc w:val="center"/>
      </w:pPr>
      <w:r>
        <w:t>A Line Managers Evaluation at AFI</w:t>
      </w:r>
    </w:p>
    <w:p w14:paraId="2643E3AA" w14:textId="77777777" w:rsidR="00412DBD" w:rsidRPr="00D655F0" w:rsidRDefault="00412DBD" w:rsidP="00412DBD">
      <w:pPr>
        <w:spacing w:line="360" w:lineRule="auto"/>
        <w:jc w:val="center"/>
        <w:rPr>
          <w:color w:val="112846"/>
        </w:rPr>
      </w:pPr>
    </w:p>
    <w:p w14:paraId="1581B16D" w14:textId="77777777" w:rsidR="00412DBD" w:rsidRPr="00D655F0" w:rsidRDefault="00412DBD" w:rsidP="00412DBD">
      <w:pPr>
        <w:spacing w:line="360" w:lineRule="auto"/>
        <w:jc w:val="center"/>
        <w:rPr>
          <w:color w:val="112846"/>
        </w:rPr>
      </w:pPr>
      <w:r w:rsidRPr="00D655F0">
        <w:rPr>
          <w:color w:val="112846"/>
        </w:rPr>
        <w:t>Supplementary Notes to Academic Poster</w:t>
      </w:r>
    </w:p>
    <w:p w14:paraId="2B804CB5" w14:textId="77777777" w:rsidR="00412DBD" w:rsidRPr="00D655F0" w:rsidRDefault="00412DBD" w:rsidP="00412DBD">
      <w:pPr>
        <w:spacing w:line="360" w:lineRule="auto"/>
        <w:jc w:val="center"/>
        <w:rPr>
          <w:color w:val="112846"/>
        </w:rPr>
      </w:pPr>
    </w:p>
    <w:p w14:paraId="740B98BD" w14:textId="6B5FD508" w:rsidR="00412DBD" w:rsidRPr="00D655F0" w:rsidRDefault="0030779E" w:rsidP="00412DBD">
      <w:pPr>
        <w:spacing w:line="360" w:lineRule="auto"/>
        <w:jc w:val="center"/>
        <w:rPr>
          <w:color w:val="112846"/>
        </w:rPr>
      </w:pPr>
      <w:r>
        <w:rPr>
          <w:noProof/>
          <w:color w:val="112846"/>
          <w14:ligatures w14:val="standardContextual"/>
        </w:rPr>
        <w:drawing>
          <wp:inline distT="0" distB="0" distL="0" distR="0" wp14:anchorId="567C759D" wp14:editId="16C574FC">
            <wp:extent cx="3038899" cy="2762636"/>
            <wp:effectExtent l="0" t="0" r="0" b="0"/>
            <wp:docPr id="413843371" name="Picture 1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43371" name="Picture 10" descr="A close-up of a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038899" cy="2762636"/>
                    </a:xfrm>
                    <a:prstGeom prst="rect">
                      <a:avLst/>
                    </a:prstGeom>
                  </pic:spPr>
                </pic:pic>
              </a:graphicData>
            </a:graphic>
          </wp:inline>
        </w:drawing>
      </w:r>
    </w:p>
    <w:p w14:paraId="7BEF7475" w14:textId="77777777" w:rsidR="00412DBD" w:rsidRPr="00D655F0" w:rsidRDefault="00412DBD" w:rsidP="00412DBD">
      <w:pPr>
        <w:spacing w:line="360" w:lineRule="auto"/>
        <w:jc w:val="center"/>
        <w:rPr>
          <w:color w:val="112846"/>
        </w:rPr>
      </w:pPr>
    </w:p>
    <w:p w14:paraId="5C5FCD29" w14:textId="77777777" w:rsidR="00412DBD" w:rsidRPr="00D655F0" w:rsidRDefault="00412DBD" w:rsidP="00412DBD">
      <w:pPr>
        <w:spacing w:line="360" w:lineRule="auto"/>
        <w:jc w:val="center"/>
      </w:pPr>
      <w:r w:rsidRPr="00D655F0">
        <w:t xml:space="preserve">Name: Nia </w:t>
      </w:r>
      <w:proofErr w:type="spellStart"/>
      <w:r w:rsidRPr="00D655F0">
        <w:t>Milcoy</w:t>
      </w:r>
      <w:proofErr w:type="spellEnd"/>
    </w:p>
    <w:p w14:paraId="624E76AF" w14:textId="77777777" w:rsidR="00412DBD" w:rsidRPr="00D655F0" w:rsidRDefault="00412DBD" w:rsidP="00412DBD">
      <w:pPr>
        <w:spacing w:line="360" w:lineRule="auto"/>
        <w:jc w:val="center"/>
      </w:pPr>
      <w:r w:rsidRPr="00D655F0">
        <w:t>Student number: 0600733</w:t>
      </w:r>
    </w:p>
    <w:p w14:paraId="772BFAC7" w14:textId="36D771D9" w:rsidR="00412DBD" w:rsidRPr="00D655F0" w:rsidRDefault="00412DBD" w:rsidP="00412DBD">
      <w:pPr>
        <w:spacing w:line="360" w:lineRule="auto"/>
        <w:jc w:val="center"/>
      </w:pPr>
      <w:r w:rsidRPr="00D655F0">
        <w:t>Word Count: (</w:t>
      </w:r>
      <w:r w:rsidR="008A2E0B">
        <w:t>3</w:t>
      </w:r>
      <w:r w:rsidR="00345344">
        <w:t>,456</w:t>
      </w:r>
      <w:r w:rsidRPr="00D655F0">
        <w:t>)</w:t>
      </w:r>
    </w:p>
    <w:p w14:paraId="6D409103" w14:textId="77777777" w:rsidR="00412DBD" w:rsidRPr="00D655F0" w:rsidRDefault="00412DBD" w:rsidP="00412DBD">
      <w:pPr>
        <w:jc w:val="center"/>
        <w:rPr>
          <w:highlight w:val="yellow"/>
        </w:rPr>
      </w:pPr>
    </w:p>
    <w:p w14:paraId="61080F82" w14:textId="77777777" w:rsidR="00412DBD" w:rsidRDefault="00412DBD" w:rsidP="00412DBD">
      <w:pPr>
        <w:jc w:val="center"/>
      </w:pPr>
    </w:p>
    <w:p w14:paraId="3A48B757" w14:textId="77777777" w:rsidR="000D6613" w:rsidRDefault="000D6613" w:rsidP="00412DBD">
      <w:pPr>
        <w:jc w:val="center"/>
      </w:pPr>
    </w:p>
    <w:p w14:paraId="4495822B" w14:textId="77777777" w:rsidR="000D6613" w:rsidRDefault="000D6613" w:rsidP="00412DBD">
      <w:pPr>
        <w:jc w:val="center"/>
      </w:pPr>
    </w:p>
    <w:p w14:paraId="03BD12C8" w14:textId="77777777" w:rsidR="000D6613" w:rsidRPr="00D655F0" w:rsidRDefault="000D6613" w:rsidP="00412DBD">
      <w:pPr>
        <w:jc w:val="center"/>
      </w:pPr>
    </w:p>
    <w:sdt>
      <w:sdtPr>
        <w:rPr>
          <w:rFonts w:ascii="Arial" w:eastAsiaTheme="minorHAnsi" w:hAnsi="Arial" w:cs="Arial"/>
          <w:color w:val="auto"/>
          <w:sz w:val="24"/>
          <w:szCs w:val="24"/>
          <w:lang w:val="en-GB"/>
        </w:rPr>
        <w:id w:val="1472797172"/>
        <w:docPartObj>
          <w:docPartGallery w:val="Table of Contents"/>
          <w:docPartUnique/>
        </w:docPartObj>
      </w:sdtPr>
      <w:sdtEndPr>
        <w:rPr>
          <w:b/>
          <w:bCs/>
        </w:rPr>
      </w:sdtEndPr>
      <w:sdtContent>
        <w:p w14:paraId="2B46CF38" w14:textId="6C559FEC" w:rsidR="006E6F89" w:rsidRDefault="006E6F89">
          <w:pPr>
            <w:pStyle w:val="TOCHeading"/>
          </w:pPr>
          <w:r>
            <w:rPr>
              <w:lang w:val="en-GB"/>
            </w:rPr>
            <w:t>Contents</w:t>
          </w:r>
        </w:p>
        <w:p w14:paraId="360BA60C" w14:textId="52B6323F" w:rsidR="000D550E" w:rsidRDefault="006E6F89">
          <w:pPr>
            <w:pStyle w:val="TOC1"/>
            <w:tabs>
              <w:tab w:val="left" w:pos="480"/>
            </w:tabs>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210069311" w:history="1">
            <w:r w:rsidR="000D550E" w:rsidRPr="00CF5A1B">
              <w:rPr>
                <w:rStyle w:val="Hyperlink"/>
              </w:rPr>
              <w:t>1.</w:t>
            </w:r>
            <w:r w:rsidR="000D550E">
              <w:rPr>
                <w:rFonts w:asciiTheme="minorHAnsi" w:eastAsiaTheme="minorEastAsia" w:hAnsiTheme="minorHAnsi" w:cstheme="minorBidi"/>
                <w:kern w:val="2"/>
                <w:lang w:eastAsia="en-GB"/>
                <w14:ligatures w14:val="standardContextual"/>
              </w:rPr>
              <w:tab/>
            </w:r>
            <w:r w:rsidR="000D550E" w:rsidRPr="00CF5A1B">
              <w:rPr>
                <w:rStyle w:val="Hyperlink"/>
              </w:rPr>
              <w:t>Executive Summary</w:t>
            </w:r>
            <w:r w:rsidR="000D550E">
              <w:rPr>
                <w:webHidden/>
              </w:rPr>
              <w:tab/>
            </w:r>
            <w:r w:rsidR="000D550E">
              <w:rPr>
                <w:webHidden/>
              </w:rPr>
              <w:fldChar w:fldCharType="begin"/>
            </w:r>
            <w:r w:rsidR="000D550E">
              <w:rPr>
                <w:webHidden/>
              </w:rPr>
              <w:instrText xml:space="preserve"> PAGEREF _Toc210069311 \h </w:instrText>
            </w:r>
            <w:r w:rsidR="000D550E">
              <w:rPr>
                <w:webHidden/>
              </w:rPr>
            </w:r>
            <w:r w:rsidR="000D550E">
              <w:rPr>
                <w:webHidden/>
              </w:rPr>
              <w:fldChar w:fldCharType="separate"/>
            </w:r>
            <w:r w:rsidR="000D550E">
              <w:rPr>
                <w:webHidden/>
              </w:rPr>
              <w:t>4</w:t>
            </w:r>
            <w:r w:rsidR="000D550E">
              <w:rPr>
                <w:webHidden/>
              </w:rPr>
              <w:fldChar w:fldCharType="end"/>
            </w:r>
          </w:hyperlink>
        </w:p>
        <w:p w14:paraId="77EDDF37" w14:textId="030F76ED" w:rsidR="000D550E" w:rsidRDefault="000D550E">
          <w:pPr>
            <w:pStyle w:val="TOC1"/>
            <w:tabs>
              <w:tab w:val="left" w:pos="480"/>
            </w:tabs>
            <w:rPr>
              <w:rFonts w:asciiTheme="minorHAnsi" w:eastAsiaTheme="minorEastAsia" w:hAnsiTheme="minorHAnsi" w:cstheme="minorBidi"/>
              <w:kern w:val="2"/>
              <w:lang w:eastAsia="en-GB"/>
              <w14:ligatures w14:val="standardContextual"/>
            </w:rPr>
          </w:pPr>
          <w:hyperlink w:anchor="_Toc210069312" w:history="1">
            <w:r w:rsidRPr="00CF5A1B">
              <w:rPr>
                <w:rStyle w:val="Hyperlink"/>
              </w:rPr>
              <w:t>2.</w:t>
            </w:r>
            <w:r>
              <w:rPr>
                <w:rFonts w:asciiTheme="minorHAnsi" w:eastAsiaTheme="minorEastAsia" w:hAnsiTheme="minorHAnsi" w:cstheme="minorBidi"/>
                <w:kern w:val="2"/>
                <w:lang w:eastAsia="en-GB"/>
                <w14:ligatures w14:val="standardContextual"/>
              </w:rPr>
              <w:tab/>
            </w:r>
            <w:r w:rsidRPr="00CF5A1B">
              <w:rPr>
                <w:rStyle w:val="Hyperlink"/>
              </w:rPr>
              <w:t>Poster</w:t>
            </w:r>
            <w:r>
              <w:rPr>
                <w:webHidden/>
              </w:rPr>
              <w:tab/>
            </w:r>
            <w:r>
              <w:rPr>
                <w:webHidden/>
              </w:rPr>
              <w:fldChar w:fldCharType="begin"/>
            </w:r>
            <w:r>
              <w:rPr>
                <w:webHidden/>
              </w:rPr>
              <w:instrText xml:space="preserve"> PAGEREF _Toc210069312 \h </w:instrText>
            </w:r>
            <w:r>
              <w:rPr>
                <w:webHidden/>
              </w:rPr>
            </w:r>
            <w:r>
              <w:rPr>
                <w:webHidden/>
              </w:rPr>
              <w:fldChar w:fldCharType="separate"/>
            </w:r>
            <w:r>
              <w:rPr>
                <w:webHidden/>
              </w:rPr>
              <w:t>5</w:t>
            </w:r>
            <w:r>
              <w:rPr>
                <w:webHidden/>
              </w:rPr>
              <w:fldChar w:fldCharType="end"/>
            </w:r>
          </w:hyperlink>
        </w:p>
        <w:p w14:paraId="7B993E68" w14:textId="0148C09A"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13" w:history="1">
            <w:r w:rsidRPr="00CF5A1B">
              <w:rPr>
                <w:rStyle w:val="Hyperlink"/>
              </w:rPr>
              <w:t>2.1 Post-Merger People Challenges: A Line Managers’ Evaluation at AFI</w:t>
            </w:r>
            <w:r>
              <w:rPr>
                <w:webHidden/>
              </w:rPr>
              <w:tab/>
            </w:r>
            <w:r>
              <w:rPr>
                <w:webHidden/>
              </w:rPr>
              <w:fldChar w:fldCharType="begin"/>
            </w:r>
            <w:r>
              <w:rPr>
                <w:webHidden/>
              </w:rPr>
              <w:instrText xml:space="preserve"> PAGEREF _Toc210069313 \h </w:instrText>
            </w:r>
            <w:r>
              <w:rPr>
                <w:webHidden/>
              </w:rPr>
            </w:r>
            <w:r>
              <w:rPr>
                <w:webHidden/>
              </w:rPr>
              <w:fldChar w:fldCharType="separate"/>
            </w:r>
            <w:r>
              <w:rPr>
                <w:webHidden/>
              </w:rPr>
              <w:t>5</w:t>
            </w:r>
            <w:r>
              <w:rPr>
                <w:webHidden/>
              </w:rPr>
              <w:fldChar w:fldCharType="end"/>
            </w:r>
          </w:hyperlink>
        </w:p>
        <w:p w14:paraId="40FC1EAE" w14:textId="40F781B9"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14" w:history="1">
            <w:r w:rsidRPr="00CF5A1B">
              <w:rPr>
                <w:rStyle w:val="Hyperlink"/>
                <w:noProof/>
              </w:rPr>
              <w:t>2.1.a About AFI</w:t>
            </w:r>
            <w:r>
              <w:rPr>
                <w:noProof/>
                <w:webHidden/>
              </w:rPr>
              <w:tab/>
            </w:r>
            <w:r>
              <w:rPr>
                <w:noProof/>
                <w:webHidden/>
              </w:rPr>
              <w:fldChar w:fldCharType="begin"/>
            </w:r>
            <w:r>
              <w:rPr>
                <w:noProof/>
                <w:webHidden/>
              </w:rPr>
              <w:instrText xml:space="preserve"> PAGEREF _Toc210069314 \h </w:instrText>
            </w:r>
            <w:r>
              <w:rPr>
                <w:noProof/>
                <w:webHidden/>
              </w:rPr>
            </w:r>
            <w:r>
              <w:rPr>
                <w:noProof/>
                <w:webHidden/>
              </w:rPr>
              <w:fldChar w:fldCharType="separate"/>
            </w:r>
            <w:r>
              <w:rPr>
                <w:noProof/>
                <w:webHidden/>
              </w:rPr>
              <w:t>5</w:t>
            </w:r>
            <w:r>
              <w:rPr>
                <w:noProof/>
                <w:webHidden/>
              </w:rPr>
              <w:fldChar w:fldCharType="end"/>
            </w:r>
          </w:hyperlink>
        </w:p>
        <w:p w14:paraId="2331DFA4" w14:textId="79D6320A"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15" w:history="1">
            <w:r w:rsidRPr="00CF5A1B">
              <w:rPr>
                <w:rStyle w:val="Hyperlink"/>
                <w:noProof/>
              </w:rPr>
              <w:t>2.1.b Literature Review</w:t>
            </w:r>
            <w:r>
              <w:rPr>
                <w:noProof/>
                <w:webHidden/>
              </w:rPr>
              <w:tab/>
            </w:r>
            <w:r>
              <w:rPr>
                <w:noProof/>
                <w:webHidden/>
              </w:rPr>
              <w:fldChar w:fldCharType="begin"/>
            </w:r>
            <w:r>
              <w:rPr>
                <w:noProof/>
                <w:webHidden/>
              </w:rPr>
              <w:instrText xml:space="preserve"> PAGEREF _Toc210069315 \h </w:instrText>
            </w:r>
            <w:r>
              <w:rPr>
                <w:noProof/>
                <w:webHidden/>
              </w:rPr>
            </w:r>
            <w:r>
              <w:rPr>
                <w:noProof/>
                <w:webHidden/>
              </w:rPr>
              <w:fldChar w:fldCharType="separate"/>
            </w:r>
            <w:r>
              <w:rPr>
                <w:noProof/>
                <w:webHidden/>
              </w:rPr>
              <w:t>5</w:t>
            </w:r>
            <w:r>
              <w:rPr>
                <w:noProof/>
                <w:webHidden/>
              </w:rPr>
              <w:fldChar w:fldCharType="end"/>
            </w:r>
          </w:hyperlink>
        </w:p>
        <w:p w14:paraId="4B5D55AB" w14:textId="2C79F57F"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16" w:history="1">
            <w:r w:rsidRPr="00CF5A1B">
              <w:rPr>
                <w:rStyle w:val="Hyperlink"/>
                <w:noProof/>
              </w:rPr>
              <w:t>2.1.c Research Methodology</w:t>
            </w:r>
            <w:r>
              <w:rPr>
                <w:noProof/>
                <w:webHidden/>
              </w:rPr>
              <w:tab/>
            </w:r>
            <w:r>
              <w:rPr>
                <w:noProof/>
                <w:webHidden/>
              </w:rPr>
              <w:fldChar w:fldCharType="begin"/>
            </w:r>
            <w:r>
              <w:rPr>
                <w:noProof/>
                <w:webHidden/>
              </w:rPr>
              <w:instrText xml:space="preserve"> PAGEREF _Toc210069316 \h </w:instrText>
            </w:r>
            <w:r>
              <w:rPr>
                <w:noProof/>
                <w:webHidden/>
              </w:rPr>
            </w:r>
            <w:r>
              <w:rPr>
                <w:noProof/>
                <w:webHidden/>
              </w:rPr>
              <w:fldChar w:fldCharType="separate"/>
            </w:r>
            <w:r>
              <w:rPr>
                <w:noProof/>
                <w:webHidden/>
              </w:rPr>
              <w:t>6</w:t>
            </w:r>
            <w:r>
              <w:rPr>
                <w:noProof/>
                <w:webHidden/>
              </w:rPr>
              <w:fldChar w:fldCharType="end"/>
            </w:r>
          </w:hyperlink>
        </w:p>
        <w:p w14:paraId="56AC58B6" w14:textId="6F3D201B"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17" w:history="1">
            <w:r w:rsidRPr="00CF5A1B">
              <w:rPr>
                <w:rStyle w:val="Hyperlink"/>
                <w:noProof/>
              </w:rPr>
              <w:t>2.1.d Key Findings</w:t>
            </w:r>
            <w:r>
              <w:rPr>
                <w:noProof/>
                <w:webHidden/>
              </w:rPr>
              <w:tab/>
            </w:r>
            <w:r>
              <w:rPr>
                <w:noProof/>
                <w:webHidden/>
              </w:rPr>
              <w:fldChar w:fldCharType="begin"/>
            </w:r>
            <w:r>
              <w:rPr>
                <w:noProof/>
                <w:webHidden/>
              </w:rPr>
              <w:instrText xml:space="preserve"> PAGEREF _Toc210069317 \h </w:instrText>
            </w:r>
            <w:r>
              <w:rPr>
                <w:noProof/>
                <w:webHidden/>
              </w:rPr>
            </w:r>
            <w:r>
              <w:rPr>
                <w:noProof/>
                <w:webHidden/>
              </w:rPr>
              <w:fldChar w:fldCharType="separate"/>
            </w:r>
            <w:r>
              <w:rPr>
                <w:noProof/>
                <w:webHidden/>
              </w:rPr>
              <w:t>6</w:t>
            </w:r>
            <w:r>
              <w:rPr>
                <w:noProof/>
                <w:webHidden/>
              </w:rPr>
              <w:fldChar w:fldCharType="end"/>
            </w:r>
          </w:hyperlink>
        </w:p>
        <w:p w14:paraId="2CD424EC" w14:textId="4D463C0D"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18" w:history="1">
            <w:r w:rsidRPr="00CF5A1B">
              <w:rPr>
                <w:rStyle w:val="Hyperlink"/>
                <w:noProof/>
              </w:rPr>
              <w:t>2.1.e Conclusion</w:t>
            </w:r>
            <w:r>
              <w:rPr>
                <w:noProof/>
                <w:webHidden/>
              </w:rPr>
              <w:tab/>
            </w:r>
            <w:r>
              <w:rPr>
                <w:noProof/>
                <w:webHidden/>
              </w:rPr>
              <w:fldChar w:fldCharType="begin"/>
            </w:r>
            <w:r>
              <w:rPr>
                <w:noProof/>
                <w:webHidden/>
              </w:rPr>
              <w:instrText xml:space="preserve"> PAGEREF _Toc210069318 \h </w:instrText>
            </w:r>
            <w:r>
              <w:rPr>
                <w:noProof/>
                <w:webHidden/>
              </w:rPr>
            </w:r>
            <w:r>
              <w:rPr>
                <w:noProof/>
                <w:webHidden/>
              </w:rPr>
              <w:fldChar w:fldCharType="separate"/>
            </w:r>
            <w:r>
              <w:rPr>
                <w:noProof/>
                <w:webHidden/>
              </w:rPr>
              <w:t>7</w:t>
            </w:r>
            <w:r>
              <w:rPr>
                <w:noProof/>
                <w:webHidden/>
              </w:rPr>
              <w:fldChar w:fldCharType="end"/>
            </w:r>
          </w:hyperlink>
        </w:p>
        <w:p w14:paraId="61992D4D" w14:textId="6A3ED4DF" w:rsidR="000D550E" w:rsidRDefault="000D550E">
          <w:pPr>
            <w:pStyle w:val="TOC1"/>
            <w:rPr>
              <w:rFonts w:asciiTheme="minorHAnsi" w:eastAsiaTheme="minorEastAsia" w:hAnsiTheme="minorHAnsi" w:cstheme="minorBidi"/>
              <w:kern w:val="2"/>
              <w:lang w:eastAsia="en-GB"/>
              <w14:ligatures w14:val="standardContextual"/>
            </w:rPr>
          </w:pPr>
          <w:hyperlink w:anchor="_Toc210069319" w:history="1">
            <w:r w:rsidRPr="00CF5A1B">
              <w:rPr>
                <w:rStyle w:val="Hyperlink"/>
                <w:b/>
                <w:bCs/>
              </w:rPr>
              <w:t>Supplementary Notes</w:t>
            </w:r>
            <w:r>
              <w:rPr>
                <w:webHidden/>
              </w:rPr>
              <w:tab/>
            </w:r>
            <w:r>
              <w:rPr>
                <w:webHidden/>
              </w:rPr>
              <w:fldChar w:fldCharType="begin"/>
            </w:r>
            <w:r>
              <w:rPr>
                <w:webHidden/>
              </w:rPr>
              <w:instrText xml:space="preserve"> PAGEREF _Toc210069319 \h </w:instrText>
            </w:r>
            <w:r>
              <w:rPr>
                <w:webHidden/>
              </w:rPr>
            </w:r>
            <w:r>
              <w:rPr>
                <w:webHidden/>
              </w:rPr>
              <w:fldChar w:fldCharType="separate"/>
            </w:r>
            <w:r>
              <w:rPr>
                <w:webHidden/>
              </w:rPr>
              <w:t>7</w:t>
            </w:r>
            <w:r>
              <w:rPr>
                <w:webHidden/>
              </w:rPr>
              <w:fldChar w:fldCharType="end"/>
            </w:r>
          </w:hyperlink>
        </w:p>
        <w:p w14:paraId="4C6BCC52" w14:textId="58AF4286" w:rsidR="000D550E" w:rsidRDefault="000D550E">
          <w:pPr>
            <w:pStyle w:val="TOC1"/>
            <w:rPr>
              <w:rFonts w:asciiTheme="minorHAnsi" w:eastAsiaTheme="minorEastAsia" w:hAnsiTheme="minorHAnsi" w:cstheme="minorBidi"/>
              <w:kern w:val="2"/>
              <w:lang w:eastAsia="en-GB"/>
              <w14:ligatures w14:val="standardContextual"/>
            </w:rPr>
          </w:pPr>
          <w:hyperlink w:anchor="_Toc210069320" w:history="1">
            <w:r w:rsidRPr="00CF5A1B">
              <w:rPr>
                <w:rStyle w:val="Hyperlink"/>
              </w:rPr>
              <w:t>3. Introduction</w:t>
            </w:r>
            <w:r>
              <w:rPr>
                <w:webHidden/>
              </w:rPr>
              <w:tab/>
            </w:r>
            <w:r>
              <w:rPr>
                <w:webHidden/>
              </w:rPr>
              <w:fldChar w:fldCharType="begin"/>
            </w:r>
            <w:r>
              <w:rPr>
                <w:webHidden/>
              </w:rPr>
              <w:instrText xml:space="preserve"> PAGEREF _Toc210069320 \h </w:instrText>
            </w:r>
            <w:r>
              <w:rPr>
                <w:webHidden/>
              </w:rPr>
            </w:r>
            <w:r>
              <w:rPr>
                <w:webHidden/>
              </w:rPr>
              <w:fldChar w:fldCharType="separate"/>
            </w:r>
            <w:r>
              <w:rPr>
                <w:webHidden/>
              </w:rPr>
              <w:t>7</w:t>
            </w:r>
            <w:r>
              <w:rPr>
                <w:webHidden/>
              </w:rPr>
              <w:fldChar w:fldCharType="end"/>
            </w:r>
          </w:hyperlink>
        </w:p>
        <w:p w14:paraId="5E8A4E76" w14:textId="1C10AFE1" w:rsidR="000D550E" w:rsidRDefault="000D550E">
          <w:pPr>
            <w:pStyle w:val="TOC1"/>
            <w:rPr>
              <w:rFonts w:asciiTheme="minorHAnsi" w:eastAsiaTheme="minorEastAsia" w:hAnsiTheme="minorHAnsi" w:cstheme="minorBidi"/>
              <w:kern w:val="2"/>
              <w:lang w:eastAsia="en-GB"/>
              <w14:ligatures w14:val="standardContextual"/>
            </w:rPr>
          </w:pPr>
          <w:hyperlink w:anchor="_Toc210069321" w:history="1">
            <w:r w:rsidRPr="00CF5A1B">
              <w:rPr>
                <w:rStyle w:val="Hyperlink"/>
              </w:rPr>
              <w:t>4. Literature Review</w:t>
            </w:r>
            <w:r>
              <w:rPr>
                <w:webHidden/>
              </w:rPr>
              <w:tab/>
            </w:r>
            <w:r>
              <w:rPr>
                <w:webHidden/>
              </w:rPr>
              <w:fldChar w:fldCharType="begin"/>
            </w:r>
            <w:r>
              <w:rPr>
                <w:webHidden/>
              </w:rPr>
              <w:instrText xml:space="preserve"> PAGEREF _Toc210069321 \h </w:instrText>
            </w:r>
            <w:r>
              <w:rPr>
                <w:webHidden/>
              </w:rPr>
            </w:r>
            <w:r>
              <w:rPr>
                <w:webHidden/>
              </w:rPr>
              <w:fldChar w:fldCharType="separate"/>
            </w:r>
            <w:r>
              <w:rPr>
                <w:webHidden/>
              </w:rPr>
              <w:t>8</w:t>
            </w:r>
            <w:r>
              <w:rPr>
                <w:webHidden/>
              </w:rPr>
              <w:fldChar w:fldCharType="end"/>
            </w:r>
          </w:hyperlink>
        </w:p>
        <w:p w14:paraId="7AF0FB8D" w14:textId="4D3C91D4"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2" w:history="1">
            <w:r w:rsidRPr="00CF5A1B">
              <w:rPr>
                <w:rStyle w:val="Hyperlink"/>
              </w:rPr>
              <w:t>4.1 Change Management Frameworks and Human Responses</w:t>
            </w:r>
            <w:r>
              <w:rPr>
                <w:webHidden/>
              </w:rPr>
              <w:tab/>
            </w:r>
            <w:r>
              <w:rPr>
                <w:webHidden/>
              </w:rPr>
              <w:fldChar w:fldCharType="begin"/>
            </w:r>
            <w:r>
              <w:rPr>
                <w:webHidden/>
              </w:rPr>
              <w:instrText xml:space="preserve"> PAGEREF _Toc210069322 \h </w:instrText>
            </w:r>
            <w:r>
              <w:rPr>
                <w:webHidden/>
              </w:rPr>
            </w:r>
            <w:r>
              <w:rPr>
                <w:webHidden/>
              </w:rPr>
              <w:fldChar w:fldCharType="separate"/>
            </w:r>
            <w:r>
              <w:rPr>
                <w:webHidden/>
              </w:rPr>
              <w:t>8</w:t>
            </w:r>
            <w:r>
              <w:rPr>
                <w:webHidden/>
              </w:rPr>
              <w:fldChar w:fldCharType="end"/>
            </w:r>
          </w:hyperlink>
        </w:p>
        <w:p w14:paraId="09EF45A4" w14:textId="25C7F2D8"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3" w:history="1">
            <w:r w:rsidRPr="00CF5A1B">
              <w:rPr>
                <w:rStyle w:val="Hyperlink"/>
              </w:rPr>
              <w:t>4.2 Line Managers and Devolved HR Responsibilities</w:t>
            </w:r>
            <w:r>
              <w:rPr>
                <w:webHidden/>
              </w:rPr>
              <w:tab/>
            </w:r>
            <w:r>
              <w:rPr>
                <w:webHidden/>
              </w:rPr>
              <w:fldChar w:fldCharType="begin"/>
            </w:r>
            <w:r>
              <w:rPr>
                <w:webHidden/>
              </w:rPr>
              <w:instrText xml:space="preserve"> PAGEREF _Toc210069323 \h </w:instrText>
            </w:r>
            <w:r>
              <w:rPr>
                <w:webHidden/>
              </w:rPr>
            </w:r>
            <w:r>
              <w:rPr>
                <w:webHidden/>
              </w:rPr>
              <w:fldChar w:fldCharType="separate"/>
            </w:r>
            <w:r>
              <w:rPr>
                <w:webHidden/>
              </w:rPr>
              <w:t>9</w:t>
            </w:r>
            <w:r>
              <w:rPr>
                <w:webHidden/>
              </w:rPr>
              <w:fldChar w:fldCharType="end"/>
            </w:r>
          </w:hyperlink>
        </w:p>
        <w:p w14:paraId="3B4F49F8" w14:textId="01EB1703"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4" w:history="1">
            <w:r w:rsidRPr="00CF5A1B">
              <w:rPr>
                <w:rStyle w:val="Hyperlink"/>
              </w:rPr>
              <w:t>4.3 Evidence-Based HR and Benchmarking</w:t>
            </w:r>
            <w:r>
              <w:rPr>
                <w:webHidden/>
              </w:rPr>
              <w:tab/>
            </w:r>
            <w:r>
              <w:rPr>
                <w:webHidden/>
              </w:rPr>
              <w:fldChar w:fldCharType="begin"/>
            </w:r>
            <w:r>
              <w:rPr>
                <w:webHidden/>
              </w:rPr>
              <w:instrText xml:space="preserve"> PAGEREF _Toc210069324 \h </w:instrText>
            </w:r>
            <w:r>
              <w:rPr>
                <w:webHidden/>
              </w:rPr>
            </w:r>
            <w:r>
              <w:rPr>
                <w:webHidden/>
              </w:rPr>
              <w:fldChar w:fldCharType="separate"/>
            </w:r>
            <w:r>
              <w:rPr>
                <w:webHidden/>
              </w:rPr>
              <w:t>9</w:t>
            </w:r>
            <w:r>
              <w:rPr>
                <w:webHidden/>
              </w:rPr>
              <w:fldChar w:fldCharType="end"/>
            </w:r>
          </w:hyperlink>
        </w:p>
        <w:p w14:paraId="6BD57B12" w14:textId="1B71339E"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5" w:history="1">
            <w:r w:rsidRPr="00CF5A1B">
              <w:rPr>
                <w:rStyle w:val="Hyperlink"/>
              </w:rPr>
              <w:t>4.4 Decision-Making, Opportunity Cost, and Strategic Choices</w:t>
            </w:r>
            <w:r>
              <w:rPr>
                <w:webHidden/>
              </w:rPr>
              <w:tab/>
            </w:r>
            <w:r>
              <w:rPr>
                <w:webHidden/>
              </w:rPr>
              <w:fldChar w:fldCharType="begin"/>
            </w:r>
            <w:r>
              <w:rPr>
                <w:webHidden/>
              </w:rPr>
              <w:instrText xml:space="preserve"> PAGEREF _Toc210069325 \h </w:instrText>
            </w:r>
            <w:r>
              <w:rPr>
                <w:webHidden/>
              </w:rPr>
            </w:r>
            <w:r>
              <w:rPr>
                <w:webHidden/>
              </w:rPr>
              <w:fldChar w:fldCharType="separate"/>
            </w:r>
            <w:r>
              <w:rPr>
                <w:webHidden/>
              </w:rPr>
              <w:t>9</w:t>
            </w:r>
            <w:r>
              <w:rPr>
                <w:webHidden/>
              </w:rPr>
              <w:fldChar w:fldCharType="end"/>
            </w:r>
          </w:hyperlink>
        </w:p>
        <w:p w14:paraId="77DF426B" w14:textId="0C636910"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6" w:history="1">
            <w:r w:rsidRPr="00CF5A1B">
              <w:rPr>
                <w:rStyle w:val="Hyperlink"/>
              </w:rPr>
              <w:t>4.5 Critical Synthesis</w:t>
            </w:r>
            <w:r>
              <w:rPr>
                <w:webHidden/>
              </w:rPr>
              <w:tab/>
            </w:r>
            <w:r>
              <w:rPr>
                <w:webHidden/>
              </w:rPr>
              <w:fldChar w:fldCharType="begin"/>
            </w:r>
            <w:r>
              <w:rPr>
                <w:webHidden/>
              </w:rPr>
              <w:instrText xml:space="preserve"> PAGEREF _Toc210069326 \h </w:instrText>
            </w:r>
            <w:r>
              <w:rPr>
                <w:webHidden/>
              </w:rPr>
            </w:r>
            <w:r>
              <w:rPr>
                <w:webHidden/>
              </w:rPr>
              <w:fldChar w:fldCharType="separate"/>
            </w:r>
            <w:r>
              <w:rPr>
                <w:webHidden/>
              </w:rPr>
              <w:t>10</w:t>
            </w:r>
            <w:r>
              <w:rPr>
                <w:webHidden/>
              </w:rPr>
              <w:fldChar w:fldCharType="end"/>
            </w:r>
          </w:hyperlink>
        </w:p>
        <w:p w14:paraId="4B03FDD4" w14:textId="24635CF8" w:rsidR="000D550E" w:rsidRDefault="000D550E">
          <w:pPr>
            <w:pStyle w:val="TOC1"/>
            <w:rPr>
              <w:rFonts w:asciiTheme="minorHAnsi" w:eastAsiaTheme="minorEastAsia" w:hAnsiTheme="minorHAnsi" w:cstheme="minorBidi"/>
              <w:kern w:val="2"/>
              <w:lang w:eastAsia="en-GB"/>
              <w14:ligatures w14:val="standardContextual"/>
            </w:rPr>
          </w:pPr>
          <w:hyperlink w:anchor="_Toc210069327" w:history="1">
            <w:r w:rsidRPr="00CF5A1B">
              <w:rPr>
                <w:rStyle w:val="Hyperlink"/>
              </w:rPr>
              <w:t>5. Methodology</w:t>
            </w:r>
            <w:r>
              <w:rPr>
                <w:webHidden/>
              </w:rPr>
              <w:tab/>
            </w:r>
            <w:r>
              <w:rPr>
                <w:webHidden/>
              </w:rPr>
              <w:fldChar w:fldCharType="begin"/>
            </w:r>
            <w:r>
              <w:rPr>
                <w:webHidden/>
              </w:rPr>
              <w:instrText xml:space="preserve"> PAGEREF _Toc210069327 \h </w:instrText>
            </w:r>
            <w:r>
              <w:rPr>
                <w:webHidden/>
              </w:rPr>
            </w:r>
            <w:r>
              <w:rPr>
                <w:webHidden/>
              </w:rPr>
              <w:fldChar w:fldCharType="separate"/>
            </w:r>
            <w:r>
              <w:rPr>
                <w:webHidden/>
              </w:rPr>
              <w:t>10</w:t>
            </w:r>
            <w:r>
              <w:rPr>
                <w:webHidden/>
              </w:rPr>
              <w:fldChar w:fldCharType="end"/>
            </w:r>
          </w:hyperlink>
        </w:p>
        <w:p w14:paraId="732D8AB3" w14:textId="762ADE9E"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8" w:history="1">
            <w:r w:rsidRPr="00CF5A1B">
              <w:rPr>
                <w:rStyle w:val="Hyperlink"/>
              </w:rPr>
              <w:t>5.1 Research Aim and Objectives</w:t>
            </w:r>
            <w:r>
              <w:rPr>
                <w:webHidden/>
              </w:rPr>
              <w:tab/>
            </w:r>
            <w:r>
              <w:rPr>
                <w:webHidden/>
              </w:rPr>
              <w:fldChar w:fldCharType="begin"/>
            </w:r>
            <w:r>
              <w:rPr>
                <w:webHidden/>
              </w:rPr>
              <w:instrText xml:space="preserve"> PAGEREF _Toc210069328 \h </w:instrText>
            </w:r>
            <w:r>
              <w:rPr>
                <w:webHidden/>
              </w:rPr>
            </w:r>
            <w:r>
              <w:rPr>
                <w:webHidden/>
              </w:rPr>
              <w:fldChar w:fldCharType="separate"/>
            </w:r>
            <w:r>
              <w:rPr>
                <w:webHidden/>
              </w:rPr>
              <w:t>10</w:t>
            </w:r>
            <w:r>
              <w:rPr>
                <w:webHidden/>
              </w:rPr>
              <w:fldChar w:fldCharType="end"/>
            </w:r>
          </w:hyperlink>
        </w:p>
        <w:p w14:paraId="352EE951" w14:textId="798D82DC"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29" w:history="1">
            <w:r w:rsidRPr="00CF5A1B">
              <w:rPr>
                <w:rStyle w:val="Hyperlink"/>
              </w:rPr>
              <w:t>5.2 Research Philosophy</w:t>
            </w:r>
            <w:r>
              <w:rPr>
                <w:webHidden/>
              </w:rPr>
              <w:tab/>
            </w:r>
            <w:r>
              <w:rPr>
                <w:webHidden/>
              </w:rPr>
              <w:fldChar w:fldCharType="begin"/>
            </w:r>
            <w:r>
              <w:rPr>
                <w:webHidden/>
              </w:rPr>
              <w:instrText xml:space="preserve"> PAGEREF _Toc210069329 \h </w:instrText>
            </w:r>
            <w:r>
              <w:rPr>
                <w:webHidden/>
              </w:rPr>
            </w:r>
            <w:r>
              <w:rPr>
                <w:webHidden/>
              </w:rPr>
              <w:fldChar w:fldCharType="separate"/>
            </w:r>
            <w:r>
              <w:rPr>
                <w:webHidden/>
              </w:rPr>
              <w:t>10</w:t>
            </w:r>
            <w:r>
              <w:rPr>
                <w:webHidden/>
              </w:rPr>
              <w:fldChar w:fldCharType="end"/>
            </w:r>
          </w:hyperlink>
        </w:p>
        <w:p w14:paraId="63B99EAB" w14:textId="34B2670F"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0" w:history="1">
            <w:r w:rsidRPr="00CF5A1B">
              <w:rPr>
                <w:rStyle w:val="Hyperlink"/>
              </w:rPr>
              <w:t>5.3 The Research Onion</w:t>
            </w:r>
            <w:r>
              <w:rPr>
                <w:webHidden/>
              </w:rPr>
              <w:tab/>
            </w:r>
            <w:r>
              <w:rPr>
                <w:webHidden/>
              </w:rPr>
              <w:fldChar w:fldCharType="begin"/>
            </w:r>
            <w:r>
              <w:rPr>
                <w:webHidden/>
              </w:rPr>
              <w:instrText xml:space="preserve"> PAGEREF _Toc210069330 \h </w:instrText>
            </w:r>
            <w:r>
              <w:rPr>
                <w:webHidden/>
              </w:rPr>
            </w:r>
            <w:r>
              <w:rPr>
                <w:webHidden/>
              </w:rPr>
              <w:fldChar w:fldCharType="separate"/>
            </w:r>
            <w:r>
              <w:rPr>
                <w:webHidden/>
              </w:rPr>
              <w:t>10</w:t>
            </w:r>
            <w:r>
              <w:rPr>
                <w:webHidden/>
              </w:rPr>
              <w:fldChar w:fldCharType="end"/>
            </w:r>
          </w:hyperlink>
        </w:p>
        <w:p w14:paraId="6308E295" w14:textId="1C92FA9E"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31" w:history="1">
            <w:r w:rsidRPr="00CF5A1B">
              <w:rPr>
                <w:rStyle w:val="Hyperlink"/>
                <w:noProof/>
              </w:rPr>
              <w:t>Figure 1:</w:t>
            </w:r>
            <w:r>
              <w:rPr>
                <w:noProof/>
                <w:webHidden/>
              </w:rPr>
              <w:tab/>
            </w:r>
            <w:r>
              <w:rPr>
                <w:noProof/>
                <w:webHidden/>
              </w:rPr>
              <w:fldChar w:fldCharType="begin"/>
            </w:r>
            <w:r>
              <w:rPr>
                <w:noProof/>
                <w:webHidden/>
              </w:rPr>
              <w:instrText xml:space="preserve"> PAGEREF _Toc210069331 \h </w:instrText>
            </w:r>
            <w:r>
              <w:rPr>
                <w:noProof/>
                <w:webHidden/>
              </w:rPr>
            </w:r>
            <w:r>
              <w:rPr>
                <w:noProof/>
                <w:webHidden/>
              </w:rPr>
              <w:fldChar w:fldCharType="separate"/>
            </w:r>
            <w:r>
              <w:rPr>
                <w:noProof/>
                <w:webHidden/>
              </w:rPr>
              <w:t>11</w:t>
            </w:r>
            <w:r>
              <w:rPr>
                <w:noProof/>
                <w:webHidden/>
              </w:rPr>
              <w:fldChar w:fldCharType="end"/>
            </w:r>
          </w:hyperlink>
        </w:p>
        <w:p w14:paraId="66E94D83" w14:textId="57C85416"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32" w:history="1">
            <w:r w:rsidRPr="00CF5A1B">
              <w:rPr>
                <w:rStyle w:val="Hyperlink"/>
                <w:noProof/>
              </w:rPr>
              <w:t>The Research Onion (Adapted from: Saunders, Lewis and Thornhill, 2019)</w:t>
            </w:r>
            <w:r>
              <w:rPr>
                <w:noProof/>
                <w:webHidden/>
              </w:rPr>
              <w:tab/>
            </w:r>
            <w:r>
              <w:rPr>
                <w:noProof/>
                <w:webHidden/>
              </w:rPr>
              <w:fldChar w:fldCharType="begin"/>
            </w:r>
            <w:r>
              <w:rPr>
                <w:noProof/>
                <w:webHidden/>
              </w:rPr>
              <w:instrText xml:space="preserve"> PAGEREF _Toc210069332 \h </w:instrText>
            </w:r>
            <w:r>
              <w:rPr>
                <w:noProof/>
                <w:webHidden/>
              </w:rPr>
            </w:r>
            <w:r>
              <w:rPr>
                <w:noProof/>
                <w:webHidden/>
              </w:rPr>
              <w:fldChar w:fldCharType="separate"/>
            </w:r>
            <w:r>
              <w:rPr>
                <w:noProof/>
                <w:webHidden/>
              </w:rPr>
              <w:t>11</w:t>
            </w:r>
            <w:r>
              <w:rPr>
                <w:noProof/>
                <w:webHidden/>
              </w:rPr>
              <w:fldChar w:fldCharType="end"/>
            </w:r>
          </w:hyperlink>
        </w:p>
        <w:p w14:paraId="1F4F7D33" w14:textId="554EB11C"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3" w:history="1">
            <w:r w:rsidRPr="00CF5A1B">
              <w:rPr>
                <w:rStyle w:val="Hyperlink"/>
              </w:rPr>
              <w:t>5.4 Research Design</w:t>
            </w:r>
            <w:r>
              <w:rPr>
                <w:webHidden/>
              </w:rPr>
              <w:tab/>
            </w:r>
            <w:r>
              <w:rPr>
                <w:webHidden/>
              </w:rPr>
              <w:fldChar w:fldCharType="begin"/>
            </w:r>
            <w:r>
              <w:rPr>
                <w:webHidden/>
              </w:rPr>
              <w:instrText xml:space="preserve"> PAGEREF _Toc210069333 \h </w:instrText>
            </w:r>
            <w:r>
              <w:rPr>
                <w:webHidden/>
              </w:rPr>
            </w:r>
            <w:r>
              <w:rPr>
                <w:webHidden/>
              </w:rPr>
              <w:fldChar w:fldCharType="separate"/>
            </w:r>
            <w:r>
              <w:rPr>
                <w:webHidden/>
              </w:rPr>
              <w:t>11</w:t>
            </w:r>
            <w:r>
              <w:rPr>
                <w:webHidden/>
              </w:rPr>
              <w:fldChar w:fldCharType="end"/>
            </w:r>
          </w:hyperlink>
        </w:p>
        <w:p w14:paraId="4782C280" w14:textId="1A00FF53"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4" w:history="1">
            <w:r w:rsidRPr="00CF5A1B">
              <w:rPr>
                <w:rStyle w:val="Hyperlink"/>
              </w:rPr>
              <w:t>5.6 Data Collection</w:t>
            </w:r>
            <w:r>
              <w:rPr>
                <w:webHidden/>
              </w:rPr>
              <w:tab/>
            </w:r>
            <w:r>
              <w:rPr>
                <w:webHidden/>
              </w:rPr>
              <w:fldChar w:fldCharType="begin"/>
            </w:r>
            <w:r>
              <w:rPr>
                <w:webHidden/>
              </w:rPr>
              <w:instrText xml:space="preserve"> PAGEREF _Toc210069334 \h </w:instrText>
            </w:r>
            <w:r>
              <w:rPr>
                <w:webHidden/>
              </w:rPr>
            </w:r>
            <w:r>
              <w:rPr>
                <w:webHidden/>
              </w:rPr>
              <w:fldChar w:fldCharType="separate"/>
            </w:r>
            <w:r>
              <w:rPr>
                <w:webHidden/>
              </w:rPr>
              <w:t>12</w:t>
            </w:r>
            <w:r>
              <w:rPr>
                <w:webHidden/>
              </w:rPr>
              <w:fldChar w:fldCharType="end"/>
            </w:r>
          </w:hyperlink>
        </w:p>
        <w:p w14:paraId="7E6C9272" w14:textId="1A01D7F1"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5" w:history="1">
            <w:r w:rsidRPr="00CF5A1B">
              <w:rPr>
                <w:rStyle w:val="Hyperlink"/>
              </w:rPr>
              <w:t>5.7 Data Analysis</w:t>
            </w:r>
            <w:r>
              <w:rPr>
                <w:webHidden/>
              </w:rPr>
              <w:tab/>
            </w:r>
            <w:r>
              <w:rPr>
                <w:webHidden/>
              </w:rPr>
              <w:fldChar w:fldCharType="begin"/>
            </w:r>
            <w:r>
              <w:rPr>
                <w:webHidden/>
              </w:rPr>
              <w:instrText xml:space="preserve"> PAGEREF _Toc210069335 \h </w:instrText>
            </w:r>
            <w:r>
              <w:rPr>
                <w:webHidden/>
              </w:rPr>
            </w:r>
            <w:r>
              <w:rPr>
                <w:webHidden/>
              </w:rPr>
              <w:fldChar w:fldCharType="separate"/>
            </w:r>
            <w:r>
              <w:rPr>
                <w:webHidden/>
              </w:rPr>
              <w:t>12</w:t>
            </w:r>
            <w:r>
              <w:rPr>
                <w:webHidden/>
              </w:rPr>
              <w:fldChar w:fldCharType="end"/>
            </w:r>
          </w:hyperlink>
        </w:p>
        <w:p w14:paraId="263B1979" w14:textId="6E5253CD"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6" w:history="1">
            <w:r w:rsidRPr="00CF5A1B">
              <w:rPr>
                <w:rStyle w:val="Hyperlink"/>
              </w:rPr>
              <w:t>5.8 Ethical Considerations</w:t>
            </w:r>
            <w:r>
              <w:rPr>
                <w:webHidden/>
              </w:rPr>
              <w:tab/>
            </w:r>
            <w:r>
              <w:rPr>
                <w:webHidden/>
              </w:rPr>
              <w:fldChar w:fldCharType="begin"/>
            </w:r>
            <w:r>
              <w:rPr>
                <w:webHidden/>
              </w:rPr>
              <w:instrText xml:space="preserve"> PAGEREF _Toc210069336 \h </w:instrText>
            </w:r>
            <w:r>
              <w:rPr>
                <w:webHidden/>
              </w:rPr>
            </w:r>
            <w:r>
              <w:rPr>
                <w:webHidden/>
              </w:rPr>
              <w:fldChar w:fldCharType="separate"/>
            </w:r>
            <w:r>
              <w:rPr>
                <w:webHidden/>
              </w:rPr>
              <w:t>12</w:t>
            </w:r>
            <w:r>
              <w:rPr>
                <w:webHidden/>
              </w:rPr>
              <w:fldChar w:fldCharType="end"/>
            </w:r>
          </w:hyperlink>
        </w:p>
        <w:p w14:paraId="444D0CC0" w14:textId="4ABE5C1C" w:rsidR="000D550E" w:rsidRDefault="000D550E">
          <w:pPr>
            <w:pStyle w:val="TOC1"/>
            <w:rPr>
              <w:rFonts w:asciiTheme="minorHAnsi" w:eastAsiaTheme="minorEastAsia" w:hAnsiTheme="minorHAnsi" w:cstheme="minorBidi"/>
              <w:kern w:val="2"/>
              <w:lang w:eastAsia="en-GB"/>
              <w14:ligatures w14:val="standardContextual"/>
            </w:rPr>
          </w:pPr>
          <w:hyperlink w:anchor="_Toc210069337" w:history="1">
            <w:r w:rsidRPr="00CF5A1B">
              <w:rPr>
                <w:rStyle w:val="Hyperlink"/>
              </w:rPr>
              <w:t>6. Research Findings</w:t>
            </w:r>
            <w:r>
              <w:rPr>
                <w:webHidden/>
              </w:rPr>
              <w:tab/>
            </w:r>
            <w:r>
              <w:rPr>
                <w:webHidden/>
              </w:rPr>
              <w:fldChar w:fldCharType="begin"/>
            </w:r>
            <w:r>
              <w:rPr>
                <w:webHidden/>
              </w:rPr>
              <w:instrText xml:space="preserve"> PAGEREF _Toc210069337 \h </w:instrText>
            </w:r>
            <w:r>
              <w:rPr>
                <w:webHidden/>
              </w:rPr>
            </w:r>
            <w:r>
              <w:rPr>
                <w:webHidden/>
              </w:rPr>
              <w:fldChar w:fldCharType="separate"/>
            </w:r>
            <w:r>
              <w:rPr>
                <w:webHidden/>
              </w:rPr>
              <w:t>12</w:t>
            </w:r>
            <w:r>
              <w:rPr>
                <w:webHidden/>
              </w:rPr>
              <w:fldChar w:fldCharType="end"/>
            </w:r>
          </w:hyperlink>
        </w:p>
        <w:p w14:paraId="5AEEFAC3" w14:textId="53DF0E7A"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8" w:history="1">
            <w:r w:rsidRPr="00CF5A1B">
              <w:rPr>
                <w:rStyle w:val="Hyperlink"/>
              </w:rPr>
              <w:t>6.2 Confidence and Capability in New Responsibilities</w:t>
            </w:r>
            <w:r>
              <w:rPr>
                <w:webHidden/>
              </w:rPr>
              <w:tab/>
            </w:r>
            <w:r>
              <w:rPr>
                <w:webHidden/>
              </w:rPr>
              <w:fldChar w:fldCharType="begin"/>
            </w:r>
            <w:r>
              <w:rPr>
                <w:webHidden/>
              </w:rPr>
              <w:instrText xml:space="preserve"> PAGEREF _Toc210069338 \h </w:instrText>
            </w:r>
            <w:r>
              <w:rPr>
                <w:webHidden/>
              </w:rPr>
            </w:r>
            <w:r>
              <w:rPr>
                <w:webHidden/>
              </w:rPr>
              <w:fldChar w:fldCharType="separate"/>
            </w:r>
            <w:r>
              <w:rPr>
                <w:webHidden/>
              </w:rPr>
              <w:t>14</w:t>
            </w:r>
            <w:r>
              <w:rPr>
                <w:webHidden/>
              </w:rPr>
              <w:fldChar w:fldCharType="end"/>
            </w:r>
          </w:hyperlink>
        </w:p>
        <w:p w14:paraId="1D1702F4" w14:textId="11F3FFE2"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39" w:history="1">
            <w:r w:rsidRPr="00CF5A1B">
              <w:rPr>
                <w:rStyle w:val="Hyperlink"/>
              </w:rPr>
              <w:t>6.3 Training and Development Experience</w:t>
            </w:r>
            <w:r>
              <w:rPr>
                <w:webHidden/>
              </w:rPr>
              <w:tab/>
            </w:r>
            <w:r>
              <w:rPr>
                <w:webHidden/>
              </w:rPr>
              <w:fldChar w:fldCharType="begin"/>
            </w:r>
            <w:r>
              <w:rPr>
                <w:webHidden/>
              </w:rPr>
              <w:instrText xml:space="preserve"> PAGEREF _Toc210069339 \h </w:instrText>
            </w:r>
            <w:r>
              <w:rPr>
                <w:webHidden/>
              </w:rPr>
            </w:r>
            <w:r>
              <w:rPr>
                <w:webHidden/>
              </w:rPr>
              <w:fldChar w:fldCharType="separate"/>
            </w:r>
            <w:r>
              <w:rPr>
                <w:webHidden/>
              </w:rPr>
              <w:t>14</w:t>
            </w:r>
            <w:r>
              <w:rPr>
                <w:webHidden/>
              </w:rPr>
              <w:fldChar w:fldCharType="end"/>
            </w:r>
          </w:hyperlink>
        </w:p>
        <w:p w14:paraId="16D904A3" w14:textId="629D7599"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0" w:history="1">
            <w:r w:rsidRPr="00CF5A1B">
              <w:rPr>
                <w:rStyle w:val="Hyperlink"/>
              </w:rPr>
              <w:t>6.4 Communication and Support Structures</w:t>
            </w:r>
            <w:r>
              <w:rPr>
                <w:webHidden/>
              </w:rPr>
              <w:tab/>
            </w:r>
            <w:r>
              <w:rPr>
                <w:webHidden/>
              </w:rPr>
              <w:fldChar w:fldCharType="begin"/>
            </w:r>
            <w:r>
              <w:rPr>
                <w:webHidden/>
              </w:rPr>
              <w:instrText xml:space="preserve"> PAGEREF _Toc210069340 \h </w:instrText>
            </w:r>
            <w:r>
              <w:rPr>
                <w:webHidden/>
              </w:rPr>
            </w:r>
            <w:r>
              <w:rPr>
                <w:webHidden/>
              </w:rPr>
              <w:fldChar w:fldCharType="separate"/>
            </w:r>
            <w:r>
              <w:rPr>
                <w:webHidden/>
              </w:rPr>
              <w:t>14</w:t>
            </w:r>
            <w:r>
              <w:rPr>
                <w:webHidden/>
              </w:rPr>
              <w:fldChar w:fldCharType="end"/>
            </w:r>
          </w:hyperlink>
        </w:p>
        <w:p w14:paraId="1E93AB52" w14:textId="417F6830"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1" w:history="1">
            <w:r w:rsidRPr="00CF5A1B">
              <w:rPr>
                <w:rStyle w:val="Hyperlink"/>
              </w:rPr>
              <w:t>6.5 Cultural Fit and Organisational Barriers</w:t>
            </w:r>
            <w:r>
              <w:rPr>
                <w:webHidden/>
              </w:rPr>
              <w:tab/>
            </w:r>
            <w:r>
              <w:rPr>
                <w:webHidden/>
              </w:rPr>
              <w:fldChar w:fldCharType="begin"/>
            </w:r>
            <w:r>
              <w:rPr>
                <w:webHidden/>
              </w:rPr>
              <w:instrText xml:space="preserve"> PAGEREF _Toc210069341 \h </w:instrText>
            </w:r>
            <w:r>
              <w:rPr>
                <w:webHidden/>
              </w:rPr>
            </w:r>
            <w:r>
              <w:rPr>
                <w:webHidden/>
              </w:rPr>
              <w:fldChar w:fldCharType="separate"/>
            </w:r>
            <w:r>
              <w:rPr>
                <w:webHidden/>
              </w:rPr>
              <w:t>15</w:t>
            </w:r>
            <w:r>
              <w:rPr>
                <w:webHidden/>
              </w:rPr>
              <w:fldChar w:fldCharType="end"/>
            </w:r>
          </w:hyperlink>
        </w:p>
        <w:p w14:paraId="222034EB" w14:textId="7EBB4902"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2" w:history="1">
            <w:r w:rsidRPr="00CF5A1B">
              <w:rPr>
                <w:rStyle w:val="Hyperlink"/>
              </w:rPr>
              <w:t>6.6 Opportunities for Improvement and Risk Awareness</w:t>
            </w:r>
            <w:r>
              <w:rPr>
                <w:webHidden/>
              </w:rPr>
              <w:tab/>
            </w:r>
            <w:r>
              <w:rPr>
                <w:webHidden/>
              </w:rPr>
              <w:fldChar w:fldCharType="begin"/>
            </w:r>
            <w:r>
              <w:rPr>
                <w:webHidden/>
              </w:rPr>
              <w:instrText xml:space="preserve"> PAGEREF _Toc210069342 \h </w:instrText>
            </w:r>
            <w:r>
              <w:rPr>
                <w:webHidden/>
              </w:rPr>
            </w:r>
            <w:r>
              <w:rPr>
                <w:webHidden/>
              </w:rPr>
              <w:fldChar w:fldCharType="separate"/>
            </w:r>
            <w:r>
              <w:rPr>
                <w:webHidden/>
              </w:rPr>
              <w:t>15</w:t>
            </w:r>
            <w:r>
              <w:rPr>
                <w:webHidden/>
              </w:rPr>
              <w:fldChar w:fldCharType="end"/>
            </w:r>
          </w:hyperlink>
        </w:p>
        <w:p w14:paraId="489AE3D4" w14:textId="21D77052"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3" w:history="1">
            <w:r w:rsidRPr="00CF5A1B">
              <w:rPr>
                <w:rStyle w:val="Hyperlink"/>
              </w:rPr>
              <w:t>6.7 Overall Synthesis</w:t>
            </w:r>
            <w:r>
              <w:rPr>
                <w:webHidden/>
              </w:rPr>
              <w:tab/>
            </w:r>
            <w:r>
              <w:rPr>
                <w:webHidden/>
              </w:rPr>
              <w:fldChar w:fldCharType="begin"/>
            </w:r>
            <w:r>
              <w:rPr>
                <w:webHidden/>
              </w:rPr>
              <w:instrText xml:space="preserve"> PAGEREF _Toc210069343 \h </w:instrText>
            </w:r>
            <w:r>
              <w:rPr>
                <w:webHidden/>
              </w:rPr>
            </w:r>
            <w:r>
              <w:rPr>
                <w:webHidden/>
              </w:rPr>
              <w:fldChar w:fldCharType="separate"/>
            </w:r>
            <w:r>
              <w:rPr>
                <w:webHidden/>
              </w:rPr>
              <w:t>15</w:t>
            </w:r>
            <w:r>
              <w:rPr>
                <w:webHidden/>
              </w:rPr>
              <w:fldChar w:fldCharType="end"/>
            </w:r>
          </w:hyperlink>
        </w:p>
        <w:p w14:paraId="7923084A" w14:textId="5BA937AE" w:rsidR="000D550E" w:rsidRDefault="000D550E">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0069344" w:history="1">
            <w:r w:rsidRPr="00CF5A1B">
              <w:rPr>
                <w:rStyle w:val="Hyperlink"/>
                <w:noProof/>
              </w:rPr>
              <w:t>Figure 2 This graph maps themes, demonstrating coherence between findings and aims.</w:t>
            </w:r>
            <w:r>
              <w:rPr>
                <w:noProof/>
                <w:webHidden/>
              </w:rPr>
              <w:tab/>
            </w:r>
            <w:r>
              <w:rPr>
                <w:noProof/>
                <w:webHidden/>
              </w:rPr>
              <w:fldChar w:fldCharType="begin"/>
            </w:r>
            <w:r>
              <w:rPr>
                <w:noProof/>
                <w:webHidden/>
              </w:rPr>
              <w:instrText xml:space="preserve"> PAGEREF _Toc210069344 \h </w:instrText>
            </w:r>
            <w:r>
              <w:rPr>
                <w:noProof/>
                <w:webHidden/>
              </w:rPr>
            </w:r>
            <w:r>
              <w:rPr>
                <w:noProof/>
                <w:webHidden/>
              </w:rPr>
              <w:fldChar w:fldCharType="separate"/>
            </w:r>
            <w:r>
              <w:rPr>
                <w:noProof/>
                <w:webHidden/>
              </w:rPr>
              <w:t>16</w:t>
            </w:r>
            <w:r>
              <w:rPr>
                <w:noProof/>
                <w:webHidden/>
              </w:rPr>
              <w:fldChar w:fldCharType="end"/>
            </w:r>
          </w:hyperlink>
        </w:p>
        <w:p w14:paraId="5001FBA3" w14:textId="2FCC35E5" w:rsidR="000D550E" w:rsidRDefault="000D550E">
          <w:pPr>
            <w:pStyle w:val="TOC1"/>
            <w:rPr>
              <w:rFonts w:asciiTheme="minorHAnsi" w:eastAsiaTheme="minorEastAsia" w:hAnsiTheme="minorHAnsi" w:cstheme="minorBidi"/>
              <w:kern w:val="2"/>
              <w:lang w:eastAsia="en-GB"/>
              <w14:ligatures w14:val="standardContextual"/>
            </w:rPr>
          </w:pPr>
          <w:hyperlink w:anchor="_Toc210069345" w:history="1">
            <w:r w:rsidRPr="00CF5A1B">
              <w:rPr>
                <w:rStyle w:val="Hyperlink"/>
              </w:rPr>
              <w:t>8. Conclusion</w:t>
            </w:r>
            <w:r>
              <w:rPr>
                <w:webHidden/>
              </w:rPr>
              <w:tab/>
            </w:r>
            <w:r>
              <w:rPr>
                <w:webHidden/>
              </w:rPr>
              <w:fldChar w:fldCharType="begin"/>
            </w:r>
            <w:r>
              <w:rPr>
                <w:webHidden/>
              </w:rPr>
              <w:instrText xml:space="preserve"> PAGEREF _Toc210069345 \h </w:instrText>
            </w:r>
            <w:r>
              <w:rPr>
                <w:webHidden/>
              </w:rPr>
            </w:r>
            <w:r>
              <w:rPr>
                <w:webHidden/>
              </w:rPr>
              <w:fldChar w:fldCharType="separate"/>
            </w:r>
            <w:r>
              <w:rPr>
                <w:webHidden/>
              </w:rPr>
              <w:t>16</w:t>
            </w:r>
            <w:r>
              <w:rPr>
                <w:webHidden/>
              </w:rPr>
              <w:fldChar w:fldCharType="end"/>
            </w:r>
          </w:hyperlink>
        </w:p>
        <w:p w14:paraId="771F86AF" w14:textId="4CFE6F23" w:rsidR="000D550E" w:rsidRDefault="000D550E">
          <w:pPr>
            <w:pStyle w:val="TOC1"/>
            <w:rPr>
              <w:rFonts w:asciiTheme="minorHAnsi" w:eastAsiaTheme="minorEastAsia" w:hAnsiTheme="minorHAnsi" w:cstheme="minorBidi"/>
              <w:kern w:val="2"/>
              <w:lang w:eastAsia="en-GB"/>
              <w14:ligatures w14:val="standardContextual"/>
            </w:rPr>
          </w:pPr>
          <w:hyperlink w:anchor="_Toc210069346" w:history="1">
            <w:r w:rsidRPr="00CF5A1B">
              <w:rPr>
                <w:rStyle w:val="Hyperlink"/>
              </w:rPr>
              <w:t>7. Reference List</w:t>
            </w:r>
            <w:r>
              <w:rPr>
                <w:webHidden/>
              </w:rPr>
              <w:tab/>
            </w:r>
            <w:r>
              <w:rPr>
                <w:webHidden/>
              </w:rPr>
              <w:fldChar w:fldCharType="begin"/>
            </w:r>
            <w:r>
              <w:rPr>
                <w:webHidden/>
              </w:rPr>
              <w:instrText xml:space="preserve"> PAGEREF _Toc210069346 \h </w:instrText>
            </w:r>
            <w:r>
              <w:rPr>
                <w:webHidden/>
              </w:rPr>
            </w:r>
            <w:r>
              <w:rPr>
                <w:webHidden/>
              </w:rPr>
              <w:fldChar w:fldCharType="separate"/>
            </w:r>
            <w:r>
              <w:rPr>
                <w:webHidden/>
              </w:rPr>
              <w:t>18</w:t>
            </w:r>
            <w:r>
              <w:rPr>
                <w:webHidden/>
              </w:rPr>
              <w:fldChar w:fldCharType="end"/>
            </w:r>
          </w:hyperlink>
        </w:p>
        <w:p w14:paraId="0F7EEC0D" w14:textId="3B08CEC3" w:rsidR="000D550E" w:rsidRDefault="000D550E">
          <w:pPr>
            <w:pStyle w:val="TOC1"/>
            <w:rPr>
              <w:rFonts w:asciiTheme="minorHAnsi" w:eastAsiaTheme="minorEastAsia" w:hAnsiTheme="minorHAnsi" w:cstheme="minorBidi"/>
              <w:kern w:val="2"/>
              <w:lang w:eastAsia="en-GB"/>
              <w14:ligatures w14:val="standardContextual"/>
            </w:rPr>
          </w:pPr>
          <w:hyperlink w:anchor="_Toc210069347" w:history="1">
            <w:r w:rsidRPr="00CF5A1B">
              <w:rPr>
                <w:rStyle w:val="Hyperlink"/>
              </w:rPr>
              <w:t>8. Appendices</w:t>
            </w:r>
            <w:r>
              <w:rPr>
                <w:webHidden/>
              </w:rPr>
              <w:tab/>
            </w:r>
            <w:r>
              <w:rPr>
                <w:webHidden/>
              </w:rPr>
              <w:fldChar w:fldCharType="begin"/>
            </w:r>
            <w:r>
              <w:rPr>
                <w:webHidden/>
              </w:rPr>
              <w:instrText xml:space="preserve"> PAGEREF _Toc210069347 \h </w:instrText>
            </w:r>
            <w:r>
              <w:rPr>
                <w:webHidden/>
              </w:rPr>
            </w:r>
            <w:r>
              <w:rPr>
                <w:webHidden/>
              </w:rPr>
              <w:fldChar w:fldCharType="separate"/>
            </w:r>
            <w:r>
              <w:rPr>
                <w:webHidden/>
              </w:rPr>
              <w:t>22</w:t>
            </w:r>
            <w:r>
              <w:rPr>
                <w:webHidden/>
              </w:rPr>
              <w:fldChar w:fldCharType="end"/>
            </w:r>
          </w:hyperlink>
        </w:p>
        <w:p w14:paraId="13326799" w14:textId="4243C218"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8" w:history="1">
            <w:r w:rsidRPr="00CF5A1B">
              <w:rPr>
                <w:rStyle w:val="Hyperlink"/>
              </w:rPr>
              <w:t>Appendix 1- Interview Guide: AFI Post-Merger Line Manager Interview Schedule</w:t>
            </w:r>
            <w:r>
              <w:rPr>
                <w:webHidden/>
              </w:rPr>
              <w:tab/>
            </w:r>
            <w:r>
              <w:rPr>
                <w:webHidden/>
              </w:rPr>
              <w:fldChar w:fldCharType="begin"/>
            </w:r>
            <w:r>
              <w:rPr>
                <w:webHidden/>
              </w:rPr>
              <w:instrText xml:space="preserve"> PAGEREF _Toc210069348 \h </w:instrText>
            </w:r>
            <w:r>
              <w:rPr>
                <w:webHidden/>
              </w:rPr>
            </w:r>
            <w:r>
              <w:rPr>
                <w:webHidden/>
              </w:rPr>
              <w:fldChar w:fldCharType="separate"/>
            </w:r>
            <w:r>
              <w:rPr>
                <w:webHidden/>
              </w:rPr>
              <w:t>22</w:t>
            </w:r>
            <w:r>
              <w:rPr>
                <w:webHidden/>
              </w:rPr>
              <w:fldChar w:fldCharType="end"/>
            </w:r>
          </w:hyperlink>
        </w:p>
        <w:p w14:paraId="0FBD06E4" w14:textId="2A3055BF"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49" w:history="1">
            <w:r w:rsidRPr="00CF5A1B">
              <w:rPr>
                <w:rStyle w:val="Hyperlink"/>
              </w:rPr>
              <w:t>Appendix 2 – Figure 1: The Research Onion</w:t>
            </w:r>
            <w:r>
              <w:rPr>
                <w:webHidden/>
              </w:rPr>
              <w:tab/>
            </w:r>
            <w:r>
              <w:rPr>
                <w:webHidden/>
              </w:rPr>
              <w:fldChar w:fldCharType="begin"/>
            </w:r>
            <w:r>
              <w:rPr>
                <w:webHidden/>
              </w:rPr>
              <w:instrText xml:space="preserve"> PAGEREF _Toc210069349 \h </w:instrText>
            </w:r>
            <w:r>
              <w:rPr>
                <w:webHidden/>
              </w:rPr>
            </w:r>
            <w:r>
              <w:rPr>
                <w:webHidden/>
              </w:rPr>
              <w:fldChar w:fldCharType="separate"/>
            </w:r>
            <w:r>
              <w:rPr>
                <w:webHidden/>
              </w:rPr>
              <w:t>24</w:t>
            </w:r>
            <w:r>
              <w:rPr>
                <w:webHidden/>
              </w:rPr>
              <w:fldChar w:fldCharType="end"/>
            </w:r>
          </w:hyperlink>
        </w:p>
        <w:p w14:paraId="61BE160B" w14:textId="5904496F"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50" w:history="1">
            <w:r w:rsidRPr="00CF5A1B">
              <w:rPr>
                <w:rStyle w:val="Hyperlink"/>
              </w:rPr>
              <w:t xml:space="preserve">Appendix 3 – Participant Coverage Table </w:t>
            </w:r>
            <w:r w:rsidRPr="00CF5A1B">
              <w:rPr>
                <w:rStyle w:val="Hyperlink"/>
                <w:rFonts w:eastAsiaTheme="minorHAnsi"/>
                <w:i/>
                <w:iCs/>
              </w:rPr>
              <w:t>(Source: Research Data, 2025)</w:t>
            </w:r>
            <w:r>
              <w:rPr>
                <w:webHidden/>
              </w:rPr>
              <w:tab/>
            </w:r>
            <w:r>
              <w:rPr>
                <w:webHidden/>
              </w:rPr>
              <w:fldChar w:fldCharType="begin"/>
            </w:r>
            <w:r>
              <w:rPr>
                <w:webHidden/>
              </w:rPr>
              <w:instrText xml:space="preserve"> PAGEREF _Toc210069350 \h </w:instrText>
            </w:r>
            <w:r>
              <w:rPr>
                <w:webHidden/>
              </w:rPr>
            </w:r>
            <w:r>
              <w:rPr>
                <w:webHidden/>
              </w:rPr>
              <w:fldChar w:fldCharType="separate"/>
            </w:r>
            <w:r>
              <w:rPr>
                <w:webHidden/>
              </w:rPr>
              <w:t>24</w:t>
            </w:r>
            <w:r>
              <w:rPr>
                <w:webHidden/>
              </w:rPr>
              <w:fldChar w:fldCharType="end"/>
            </w:r>
          </w:hyperlink>
        </w:p>
        <w:p w14:paraId="54608D32" w14:textId="5B762E4A" w:rsidR="000D550E" w:rsidRDefault="000D550E">
          <w:pPr>
            <w:pStyle w:val="TOC2"/>
            <w:rPr>
              <w:rFonts w:asciiTheme="minorHAnsi" w:eastAsiaTheme="minorEastAsia" w:hAnsiTheme="minorHAnsi" w:cstheme="minorBidi"/>
              <w:kern w:val="2"/>
              <w:shd w:val="clear" w:color="auto" w:fill="auto"/>
              <w:lang w:eastAsia="en-GB"/>
              <w14:ligatures w14:val="standardContextual"/>
            </w:rPr>
          </w:pPr>
          <w:hyperlink w:anchor="_Toc210069351" w:history="1">
            <w:r w:rsidRPr="00CF5A1B">
              <w:rPr>
                <w:rStyle w:val="Hyperlink"/>
              </w:rPr>
              <w:t>Appendix 4 – Thematic Analysis Table</w:t>
            </w:r>
            <w:r>
              <w:rPr>
                <w:webHidden/>
              </w:rPr>
              <w:tab/>
            </w:r>
            <w:r>
              <w:rPr>
                <w:webHidden/>
              </w:rPr>
              <w:fldChar w:fldCharType="begin"/>
            </w:r>
            <w:r>
              <w:rPr>
                <w:webHidden/>
              </w:rPr>
              <w:instrText xml:space="preserve"> PAGEREF _Toc210069351 \h </w:instrText>
            </w:r>
            <w:r>
              <w:rPr>
                <w:webHidden/>
              </w:rPr>
            </w:r>
            <w:r>
              <w:rPr>
                <w:webHidden/>
              </w:rPr>
              <w:fldChar w:fldCharType="separate"/>
            </w:r>
            <w:r>
              <w:rPr>
                <w:webHidden/>
              </w:rPr>
              <w:t>25</w:t>
            </w:r>
            <w:r>
              <w:rPr>
                <w:webHidden/>
              </w:rPr>
              <w:fldChar w:fldCharType="end"/>
            </w:r>
          </w:hyperlink>
        </w:p>
        <w:p w14:paraId="5688723B" w14:textId="171591E8" w:rsidR="006E6F89" w:rsidRDefault="006E6F89">
          <w:r>
            <w:rPr>
              <w:b/>
              <w:bCs/>
            </w:rPr>
            <w:fldChar w:fldCharType="end"/>
          </w:r>
        </w:p>
      </w:sdtContent>
    </w:sdt>
    <w:p w14:paraId="52F8CE7C" w14:textId="58BDE888" w:rsidR="00EF6637" w:rsidRDefault="00EF6637">
      <w:pPr>
        <w:spacing w:line="278" w:lineRule="auto"/>
      </w:pPr>
      <w:r>
        <w:br w:type="page"/>
      </w:r>
    </w:p>
    <w:p w14:paraId="088E9E00" w14:textId="77777777" w:rsidR="00412DBD" w:rsidRPr="00D655F0" w:rsidRDefault="00412DBD" w:rsidP="00412DBD">
      <w:pPr>
        <w:jc w:val="both"/>
      </w:pPr>
    </w:p>
    <w:p w14:paraId="5F9BD035" w14:textId="10669985" w:rsidR="00BA69DC" w:rsidRPr="00EF6637" w:rsidRDefault="00BA69DC" w:rsidP="00EF6637">
      <w:pPr>
        <w:pStyle w:val="Heading1"/>
        <w:numPr>
          <w:ilvl w:val="0"/>
          <w:numId w:val="5"/>
        </w:numPr>
        <w:rPr>
          <w:rFonts w:ascii="Arial" w:hAnsi="Arial" w:cs="Arial"/>
          <w:sz w:val="32"/>
          <w:szCs w:val="32"/>
          <w:u w:val="single"/>
        </w:rPr>
      </w:pPr>
      <w:bookmarkStart w:id="0" w:name="_Toc210069311"/>
      <w:r w:rsidRPr="00EF6637">
        <w:rPr>
          <w:rFonts w:ascii="Arial" w:hAnsi="Arial" w:cs="Arial"/>
          <w:sz w:val="32"/>
          <w:szCs w:val="32"/>
          <w:u w:val="single"/>
        </w:rPr>
        <w:t>Executive Summary</w:t>
      </w:r>
      <w:bookmarkEnd w:id="0"/>
    </w:p>
    <w:p w14:paraId="778F7B62" w14:textId="77777777" w:rsidR="00BA69DC" w:rsidRPr="00D655F0" w:rsidRDefault="00BA69DC" w:rsidP="00EF6637">
      <w:pPr>
        <w:spacing w:line="360" w:lineRule="auto"/>
        <w:jc w:val="both"/>
      </w:pPr>
      <w:r w:rsidRPr="00D655F0">
        <w:t xml:space="preserve">This study investigates the post-merger people challenges faced by AFI following its acquisition of </w:t>
      </w:r>
      <w:proofErr w:type="spellStart"/>
      <w:r w:rsidRPr="00D655F0">
        <w:t>Volac</w:t>
      </w:r>
      <w:proofErr w:type="spellEnd"/>
      <w:r w:rsidRPr="00D655F0">
        <w:t xml:space="preserve"> Whey Nutrition (VWN), with a particular focus on the evolving role of line managers. The research is grounded in the recognition that while mergers are often justified on strategic and financial grounds, their success is frequently undermined by cultural misalignment and insufficient support for the people charged with delivering change.</w:t>
      </w:r>
    </w:p>
    <w:p w14:paraId="567D61A6" w14:textId="77777777" w:rsidR="00BA69DC" w:rsidRPr="00D655F0" w:rsidRDefault="00BA69DC" w:rsidP="00EF6637">
      <w:pPr>
        <w:spacing w:line="360" w:lineRule="auto"/>
        <w:jc w:val="both"/>
      </w:pPr>
      <w:r w:rsidRPr="00D655F0">
        <w:t>Line managers at AFI, historically focused on operational delivery, were suddenly required to act as the conduit between strategic HR initiatives and everyday practice. The study aimed to examine their confidence, capability, and support needs, and to evaluate potential HR solutions to strengthen organisational change outcomes.</w:t>
      </w:r>
    </w:p>
    <w:p w14:paraId="231811AC" w14:textId="1234B2C1" w:rsidR="00BA69DC" w:rsidRPr="00D655F0" w:rsidRDefault="00BA69DC" w:rsidP="00EF6637">
      <w:pPr>
        <w:spacing w:line="360" w:lineRule="auto"/>
        <w:jc w:val="both"/>
      </w:pPr>
      <w:r w:rsidRPr="00D655F0">
        <w:t xml:space="preserve">A qualitative case study methodology was adopted, underpinned by an interpretivist philosophy to capture lived managerial experiences. Data was collected through semi-structured interviews with </w:t>
      </w:r>
      <w:r w:rsidR="000D6613" w:rsidRPr="00D655F0">
        <w:t>six-line</w:t>
      </w:r>
      <w:r w:rsidRPr="00D655F0">
        <w:t xml:space="preserve"> managers, supplemented by secondary organisational data and benchmarking literature. Thematic analysis identified six key themes: emotional readiness, confidence and capability, training and development, communication and support structures, cultural integration, and opportunities for improvement.</w:t>
      </w:r>
    </w:p>
    <w:p w14:paraId="6D6AAA54" w14:textId="77777777" w:rsidR="00BA69DC" w:rsidRPr="00D655F0" w:rsidRDefault="00BA69DC" w:rsidP="00EF6637">
      <w:pPr>
        <w:spacing w:line="360" w:lineRule="auto"/>
        <w:jc w:val="both"/>
      </w:pPr>
      <w:r w:rsidRPr="00D655F0">
        <w:t>Findings revealed that while managers demonstrated high levels of intrinsic confidence, their effectiveness was undermined by unclear expectations, inadequate training, and inconsistent communication. Training programmes were often generic and poorly timed, limiting their impact. Communication, though frequent, lacked clarity and practical relevance, while cultural misalignment between UK and Danish teams created barriers to collaboration and decision-making. Despite these challenges, managers offered constructive suggestions, including clearer role definitions, modular and tailored training, cross-site mentoring, and enhanced leadership visibility.</w:t>
      </w:r>
    </w:p>
    <w:p w14:paraId="30155738" w14:textId="77777777" w:rsidR="00BA69DC" w:rsidRPr="00D655F0" w:rsidRDefault="00BA69DC" w:rsidP="00EF6637">
      <w:pPr>
        <w:spacing w:line="360" w:lineRule="auto"/>
        <w:jc w:val="both"/>
      </w:pPr>
      <w:r w:rsidRPr="00D655F0">
        <w:t xml:space="preserve">The study highlights the enduring value of classic frameworks such as Kotter’s (1996) Eight-Step Model, Herzberg’s (1959) Two-Factor Theory, and Bandura’s (1977) Self-Efficacy Theory, while emphasising the need to complement these with contemporary perspectives such as Edmondson’s (2019) psychological safety and CIPD’s (2023) </w:t>
      </w:r>
      <w:r w:rsidRPr="00D655F0">
        <w:lastRenderedPageBreak/>
        <w:t>digital HR models. The research concludes that AFI must invest in clearer role clarity, context-specific training, and strengthened communication to unlock the full potential of its line managers as agents of change.</w:t>
      </w:r>
    </w:p>
    <w:p w14:paraId="3DBFDF2D" w14:textId="6D17B868" w:rsidR="00BA69DC" w:rsidRPr="00D655F0" w:rsidRDefault="006E7322" w:rsidP="00EF6637">
      <w:pPr>
        <w:spacing w:line="360" w:lineRule="auto"/>
        <w:jc w:val="both"/>
      </w:pPr>
      <w:r>
        <w:t>T</w:t>
      </w:r>
      <w:r w:rsidR="00BA69DC" w:rsidRPr="00D655F0">
        <w:t>he findings provide transferable insights for HR professionals managing post-merger integration. By embedding people-centred strategies alongside structured change frameworks, organisations can build resilience, sustain engagement, and ensure that strategic ambitions are realised in practice.</w:t>
      </w:r>
      <w:r w:rsidR="006E5CAB">
        <w:t xml:space="preserve"> </w:t>
      </w:r>
      <w:r w:rsidR="006E5CAB" w:rsidRPr="006E5CAB">
        <w:t>The analysis therefore contributes directly to AFI’s business case for change, ensuring HR recommendations are evidence-based, actionable, and aligned with strategic goals</w:t>
      </w:r>
    </w:p>
    <w:p w14:paraId="69C73EFD" w14:textId="77777777" w:rsidR="00412DBD" w:rsidRPr="00D655F0" w:rsidRDefault="00412DBD" w:rsidP="00412DBD">
      <w:pPr>
        <w:jc w:val="both"/>
      </w:pPr>
    </w:p>
    <w:p w14:paraId="167D3679" w14:textId="57531AD4" w:rsidR="00425234" w:rsidRPr="00D655F0" w:rsidRDefault="00425234" w:rsidP="00121B31">
      <w:pPr>
        <w:pStyle w:val="Heading1"/>
        <w:numPr>
          <w:ilvl w:val="0"/>
          <w:numId w:val="5"/>
        </w:numPr>
        <w:rPr>
          <w:rFonts w:ascii="Arial" w:hAnsi="Arial" w:cs="Arial"/>
          <w:sz w:val="32"/>
          <w:szCs w:val="32"/>
          <w:u w:val="single"/>
        </w:rPr>
      </w:pPr>
      <w:bookmarkStart w:id="1" w:name="_Toc210069312"/>
      <w:r w:rsidRPr="00D655F0">
        <w:rPr>
          <w:rFonts w:ascii="Arial" w:hAnsi="Arial" w:cs="Arial"/>
          <w:sz w:val="32"/>
          <w:szCs w:val="32"/>
          <w:u w:val="single"/>
        </w:rPr>
        <w:t>Poster</w:t>
      </w:r>
      <w:bookmarkEnd w:id="1"/>
    </w:p>
    <w:p w14:paraId="6E5DC17C" w14:textId="4401581E" w:rsidR="00AF335F" w:rsidRPr="00D655F0" w:rsidRDefault="00121B31" w:rsidP="00121B31">
      <w:pPr>
        <w:pStyle w:val="Heading2"/>
        <w:rPr>
          <w:rFonts w:ascii="Arial" w:hAnsi="Arial" w:cs="Arial"/>
          <w:sz w:val="24"/>
          <w:szCs w:val="24"/>
        </w:rPr>
      </w:pPr>
      <w:bookmarkStart w:id="2" w:name="_Toc210069313"/>
      <w:r w:rsidRPr="00D655F0">
        <w:rPr>
          <w:rFonts w:ascii="Arial" w:hAnsi="Arial" w:cs="Arial"/>
          <w:sz w:val="24"/>
          <w:szCs w:val="24"/>
        </w:rPr>
        <w:t xml:space="preserve">2.1 </w:t>
      </w:r>
      <w:r w:rsidR="00AF335F" w:rsidRPr="00D655F0">
        <w:rPr>
          <w:rFonts w:ascii="Arial" w:hAnsi="Arial" w:cs="Arial"/>
          <w:sz w:val="24"/>
          <w:szCs w:val="24"/>
        </w:rPr>
        <w:t>Post-Merger People Challenges: A Line Managers’ Evaluation at AFI</w:t>
      </w:r>
      <w:bookmarkEnd w:id="2"/>
    </w:p>
    <w:p w14:paraId="1DD4A849" w14:textId="05D70F82" w:rsidR="00AF335F" w:rsidRPr="00D655F0" w:rsidRDefault="002D1A57" w:rsidP="00121B31">
      <w:pPr>
        <w:pStyle w:val="Heading3"/>
        <w:rPr>
          <w:rFonts w:cs="Arial"/>
          <w:sz w:val="24"/>
          <w:szCs w:val="24"/>
        </w:rPr>
      </w:pPr>
      <w:bookmarkStart w:id="3" w:name="_Toc210069314"/>
      <w:r>
        <w:rPr>
          <w:rFonts w:cs="Arial"/>
          <w:sz w:val="24"/>
          <w:szCs w:val="24"/>
        </w:rPr>
        <w:t xml:space="preserve">2.1.a </w:t>
      </w:r>
      <w:r w:rsidR="00AF335F" w:rsidRPr="00D655F0">
        <w:rPr>
          <w:rFonts w:cs="Arial"/>
          <w:sz w:val="24"/>
          <w:szCs w:val="24"/>
        </w:rPr>
        <w:t>About AFI</w:t>
      </w:r>
      <w:bookmarkEnd w:id="3"/>
    </w:p>
    <w:p w14:paraId="37306527" w14:textId="77777777" w:rsidR="00333559" w:rsidRDefault="00333559" w:rsidP="00EF6637">
      <w:pPr>
        <w:spacing w:line="360" w:lineRule="auto"/>
        <w:jc w:val="both"/>
      </w:pPr>
      <w:r w:rsidRPr="00333559">
        <w:t xml:space="preserve">AFI is a UK–Danish organisation that acquired </w:t>
      </w:r>
      <w:proofErr w:type="spellStart"/>
      <w:r w:rsidRPr="00333559">
        <w:t>Volac</w:t>
      </w:r>
      <w:proofErr w:type="spellEnd"/>
      <w:r w:rsidRPr="00333559">
        <w:t xml:space="preserve"> Whey Nutrition (VWN) in November 2024. The integration aimed to streamline operations, reduce duplication, and build a unified culture across sites. A major change was the shift from an HR-led to a management-led model, with line managers assuming responsibility for staff performance, development, and wellbeing. This created opportunities for agile leadership but also heavier workloads, inconsistent guidance, and cultural frictions between UK and Danish teams. Understanding these dynamics is critical for sustaining long-term post-merger success.</w:t>
      </w:r>
    </w:p>
    <w:p w14:paraId="3C9E7D68" w14:textId="6DF6FC0D" w:rsidR="00AF335F" w:rsidRPr="00D655F0" w:rsidRDefault="002D1A57" w:rsidP="00121B31">
      <w:pPr>
        <w:pStyle w:val="Heading3"/>
        <w:rPr>
          <w:rFonts w:cs="Arial"/>
          <w:sz w:val="24"/>
          <w:szCs w:val="24"/>
        </w:rPr>
      </w:pPr>
      <w:bookmarkStart w:id="4" w:name="_Toc210069315"/>
      <w:r>
        <w:rPr>
          <w:rFonts w:cs="Arial"/>
          <w:sz w:val="24"/>
          <w:szCs w:val="24"/>
        </w:rPr>
        <w:t xml:space="preserve">2.1.b </w:t>
      </w:r>
      <w:r w:rsidR="00AF335F" w:rsidRPr="00D655F0">
        <w:rPr>
          <w:rFonts w:cs="Arial"/>
          <w:sz w:val="24"/>
          <w:szCs w:val="24"/>
        </w:rPr>
        <w:t>Literature Review</w:t>
      </w:r>
      <w:bookmarkEnd w:id="4"/>
    </w:p>
    <w:p w14:paraId="256C1F54" w14:textId="77777777" w:rsidR="00F94B08" w:rsidRPr="00F94B08" w:rsidRDefault="00F94B08" w:rsidP="00EF6637">
      <w:pPr>
        <w:spacing w:line="360" w:lineRule="auto"/>
        <w:jc w:val="both"/>
      </w:pPr>
      <w:r w:rsidRPr="00F94B08">
        <w:t xml:space="preserve">Organisational change is commonly framed through Lewin’s (1951) three-step model and Kotter’s (1996) eight-step framework. While widely used, both face criticism for being simplistic </w:t>
      </w:r>
      <w:proofErr w:type="gramStart"/>
      <w:r w:rsidRPr="00F94B08">
        <w:t>or</w:t>
      </w:r>
      <w:proofErr w:type="gramEnd"/>
      <w:r w:rsidRPr="00F94B08">
        <w:t xml:space="preserve"> rigid in fast-changing contexts (Burnes, 2017; Appelbaum </w:t>
      </w:r>
      <w:r w:rsidRPr="00640C04">
        <w:rPr>
          <w:i/>
          <w:iCs/>
        </w:rPr>
        <w:t xml:space="preserve">et al., </w:t>
      </w:r>
      <w:r w:rsidRPr="00F94B08">
        <w:t>2012). Contemporary perspectives emphasise agility, communication, and psychological safety (Combe, 2014; Edmondson, 2019).</w:t>
      </w:r>
    </w:p>
    <w:p w14:paraId="3FFA9828" w14:textId="72C1D1F8" w:rsidR="00F94B08" w:rsidRPr="00F94B08" w:rsidRDefault="00F94B08" w:rsidP="00EF6637">
      <w:pPr>
        <w:spacing w:line="360" w:lineRule="auto"/>
        <w:jc w:val="both"/>
      </w:pPr>
      <w:r w:rsidRPr="00F94B08">
        <w:t xml:space="preserve">Line managers are pivotal to HR delivery, but their effectiveness relies on capability, clarity, and support (Purcell </w:t>
      </w:r>
      <w:r w:rsidR="00640C04">
        <w:t>and</w:t>
      </w:r>
      <w:r w:rsidRPr="00F94B08">
        <w:t xml:space="preserve"> Hutchinson, 2007; Torrington </w:t>
      </w:r>
      <w:r w:rsidRPr="00AA260D">
        <w:rPr>
          <w:i/>
          <w:iCs/>
        </w:rPr>
        <w:t>et al</w:t>
      </w:r>
      <w:r w:rsidRPr="00F94B08">
        <w:t>., 2017). Bandura’s (1977) self-efficacy theory highlights the role of confidence, while Herzberg’s (1959) two-factor theory shows how relevant training and recognition motivate managers.</w:t>
      </w:r>
    </w:p>
    <w:p w14:paraId="0BAC0AAE" w14:textId="7C9965ED" w:rsidR="00F94B08" w:rsidRPr="00F94B08" w:rsidRDefault="00F94B08" w:rsidP="00EF6637">
      <w:pPr>
        <w:spacing w:line="360" w:lineRule="auto"/>
        <w:jc w:val="both"/>
      </w:pPr>
      <w:r w:rsidRPr="00F94B08">
        <w:lastRenderedPageBreak/>
        <w:t>Evidence-based HR</w:t>
      </w:r>
      <w:r w:rsidR="00CA3807">
        <w:t>,</w:t>
      </w:r>
      <w:r w:rsidRPr="00F94B08">
        <w:t xml:space="preserve"> Barends </w:t>
      </w:r>
      <w:r w:rsidRPr="00AA260D">
        <w:rPr>
          <w:i/>
          <w:iCs/>
        </w:rPr>
        <w:t>et al</w:t>
      </w:r>
      <w:r w:rsidRPr="00F94B08">
        <w:t xml:space="preserve">., </w:t>
      </w:r>
      <w:r w:rsidR="00CA3807">
        <w:t>(</w:t>
      </w:r>
      <w:r w:rsidRPr="00F94B08">
        <w:t xml:space="preserve">2014) and benchmarking provide useful tools, but over-reliance risks imitation without cultural fit (Marchington </w:t>
      </w:r>
      <w:proofErr w:type="spellStart"/>
      <w:r w:rsidR="00640C04">
        <w:t>and</w:t>
      </w:r>
      <w:r w:rsidRPr="00F94B08">
        <w:t>Wilkinson</w:t>
      </w:r>
      <w:proofErr w:type="spellEnd"/>
      <w:r w:rsidRPr="00F94B08">
        <w:t>, 2016). Overall, the literature indicates that post-merger success depends on both structural change and equipping line managers with tailored support.</w:t>
      </w:r>
    </w:p>
    <w:p w14:paraId="62226803" w14:textId="05A2A44B" w:rsidR="00F94B08" w:rsidRPr="00F94B08" w:rsidRDefault="00F94B08" w:rsidP="00F94B08">
      <w:pPr>
        <w:jc w:val="both"/>
      </w:pPr>
    </w:p>
    <w:p w14:paraId="5F221E33" w14:textId="4383A3C6" w:rsidR="00AF335F" w:rsidRPr="00D655F0" w:rsidRDefault="002D1A57" w:rsidP="00121B31">
      <w:pPr>
        <w:pStyle w:val="Heading3"/>
        <w:rPr>
          <w:rFonts w:cs="Arial"/>
          <w:sz w:val="24"/>
          <w:szCs w:val="24"/>
        </w:rPr>
      </w:pPr>
      <w:bookmarkStart w:id="5" w:name="_Toc210069316"/>
      <w:r>
        <w:rPr>
          <w:rFonts w:cs="Arial"/>
          <w:sz w:val="24"/>
          <w:szCs w:val="24"/>
        </w:rPr>
        <w:t>2.1.</w:t>
      </w:r>
      <w:r w:rsidR="00E820A1">
        <w:rPr>
          <w:rFonts w:cs="Arial"/>
          <w:sz w:val="24"/>
          <w:szCs w:val="24"/>
        </w:rPr>
        <w:t>c</w:t>
      </w:r>
      <w:r>
        <w:rPr>
          <w:rFonts w:cs="Arial"/>
          <w:sz w:val="24"/>
          <w:szCs w:val="24"/>
        </w:rPr>
        <w:t xml:space="preserve"> </w:t>
      </w:r>
      <w:r w:rsidR="009E380A" w:rsidRPr="009E380A">
        <w:rPr>
          <w:rFonts w:cs="Arial"/>
          <w:sz w:val="24"/>
          <w:szCs w:val="24"/>
        </w:rPr>
        <w:t>Research Methodology</w:t>
      </w:r>
      <w:bookmarkEnd w:id="5"/>
    </w:p>
    <w:p w14:paraId="52F9B340" w14:textId="206628F2" w:rsidR="0039239B" w:rsidRPr="0039239B" w:rsidRDefault="0039239B" w:rsidP="00CA3807">
      <w:pPr>
        <w:spacing w:line="360" w:lineRule="auto"/>
        <w:jc w:val="both"/>
      </w:pPr>
      <w:r w:rsidRPr="0039239B">
        <w:t xml:space="preserve">A qualitative case study approach was adopted (Walker </w:t>
      </w:r>
      <w:r w:rsidR="00640C04">
        <w:t>and</w:t>
      </w:r>
      <w:r w:rsidRPr="0039239B">
        <w:t xml:space="preserve"> Solvason, 2014). Six mid-level line managers directly involved in AFI’s post-merger transition participated in semi-structured interviews</w:t>
      </w:r>
      <w:r w:rsidR="00262119">
        <w:t xml:space="preserve"> (Appendix 1)</w:t>
      </w:r>
      <w:r w:rsidRPr="0039239B">
        <w:t>. A purposive sampling strategy ensured participants were well placed at the intersection of operational and strategic responsibilities.</w:t>
      </w:r>
    </w:p>
    <w:p w14:paraId="7FE6EE3D" w14:textId="77777777" w:rsidR="00DD3D31" w:rsidRPr="00191024" w:rsidRDefault="00DD3D31" w:rsidP="00DD3D31">
      <w:pPr>
        <w:spacing w:line="360" w:lineRule="auto"/>
        <w:jc w:val="both"/>
        <w:rPr>
          <w:color w:val="000000" w:themeColor="text1"/>
        </w:rPr>
      </w:pPr>
      <w:r w:rsidRPr="00191024">
        <w:rPr>
          <w:color w:val="000000" w:themeColor="text1"/>
        </w:rPr>
        <w:t>To enhance the credibility and depth of the analysis, data triangulation was employed (Flick, 2018). In addition to primary qualitative data, secondary sources such as HR policies, training logs, and external benchmarks were reviewed. Triangulation allowed for cross-verification of themes, ensuring that findings were not reliant on a single data source. This process strengthened the validity of interpretations by confirming consistencies and highlighting discrepancies between documented policies and participant perceptions. It also provided a richer, more contextualised understanding of the organisational environment, thereby increasing the overall trustworthiness and rigour of the study.</w:t>
      </w:r>
    </w:p>
    <w:p w14:paraId="5739CD99" w14:textId="1C09ADEA" w:rsidR="0039239B" w:rsidRPr="0039239B" w:rsidRDefault="0039239B" w:rsidP="00CA3807">
      <w:pPr>
        <w:spacing w:line="360" w:lineRule="auto"/>
        <w:jc w:val="both"/>
      </w:pPr>
      <w:r w:rsidRPr="0039239B">
        <w:t>Ethical approval was obtained. Participants were provided with clear information, gave informed consent, and were assured of confidentiality and anonymity</w:t>
      </w:r>
      <w:r w:rsidR="00AE555C">
        <w:t xml:space="preserve"> (BERA, 2024)</w:t>
      </w:r>
      <w:r w:rsidRPr="0039239B">
        <w:t>. Reflexivity was maintained, with the researcher acknowledging potential bias as an insider/outsider.</w:t>
      </w:r>
    </w:p>
    <w:p w14:paraId="3AED6471" w14:textId="5F9150AE" w:rsidR="00AF335F" w:rsidRDefault="00AF335F" w:rsidP="00AF335F">
      <w:pPr>
        <w:jc w:val="both"/>
      </w:pPr>
    </w:p>
    <w:p w14:paraId="01D2720B" w14:textId="19E40E08" w:rsidR="009E380A" w:rsidRDefault="009E380A" w:rsidP="00C10992">
      <w:pPr>
        <w:pStyle w:val="Heading3"/>
        <w:rPr>
          <w:rFonts w:cs="Arial"/>
          <w:sz w:val="24"/>
          <w:szCs w:val="24"/>
        </w:rPr>
      </w:pPr>
      <w:bookmarkStart w:id="6" w:name="_Toc210069317"/>
      <w:r>
        <w:rPr>
          <w:rFonts w:cs="Arial"/>
          <w:sz w:val="24"/>
          <w:szCs w:val="24"/>
        </w:rPr>
        <w:t>2.1.</w:t>
      </w:r>
      <w:r w:rsidR="00E820A1">
        <w:rPr>
          <w:rFonts w:cs="Arial"/>
          <w:sz w:val="24"/>
          <w:szCs w:val="24"/>
        </w:rPr>
        <w:t>d</w:t>
      </w:r>
      <w:r>
        <w:rPr>
          <w:rFonts w:cs="Arial"/>
          <w:sz w:val="24"/>
          <w:szCs w:val="24"/>
        </w:rPr>
        <w:t xml:space="preserve"> </w:t>
      </w:r>
      <w:r w:rsidR="00C10992" w:rsidRPr="00C10992">
        <w:rPr>
          <w:rFonts w:cs="Arial"/>
          <w:sz w:val="24"/>
          <w:szCs w:val="24"/>
        </w:rPr>
        <w:t>Key Findings</w:t>
      </w:r>
      <w:bookmarkEnd w:id="6"/>
    </w:p>
    <w:p w14:paraId="36770287" w14:textId="77777777" w:rsidR="00E86506" w:rsidRPr="00E86506" w:rsidRDefault="00E86506" w:rsidP="006A2415">
      <w:pPr>
        <w:spacing w:line="360" w:lineRule="auto"/>
        <w:jc w:val="both"/>
      </w:pPr>
      <w:r w:rsidRPr="00E86506">
        <w:t xml:space="preserve">Managers expressed a range of emotions, from optimism to frustration, reflecting both resilience and strain in adapting to new responsibilities. All six rated their confidence highly (4–5/5), consistent with Bandura’s (1977) self-efficacy theory, yet uncertainty grew due to unclear expectations and lack of structured feedback. Five of six criticised training as generic and poorly timed, echoing Herzberg’s (1959) view that the absence </w:t>
      </w:r>
      <w:r w:rsidRPr="00E86506">
        <w:lastRenderedPageBreak/>
        <w:t>of relevant development demotivates, while one manager acknowledged condensed but useful provision.</w:t>
      </w:r>
    </w:p>
    <w:p w14:paraId="0EA8D794" w14:textId="77777777" w:rsidR="00E86506" w:rsidRPr="00E86506" w:rsidRDefault="00E86506" w:rsidP="006A2415">
      <w:pPr>
        <w:spacing w:line="360" w:lineRule="auto"/>
        <w:jc w:val="both"/>
      </w:pPr>
      <w:r w:rsidRPr="00E86506">
        <w:t>Communication was frequent but inconsistent; four managers described leadership updates as unclear or poorly timed, reinforcing Kotter’s (1996) emphasis that messaging must be continuous, clear, and practical to sustain change. Three managers highlighted cultural tensions between UK and Danish teams, citing differences in decision-making styles, while others described integration as generally supportive.</w:t>
      </w:r>
    </w:p>
    <w:p w14:paraId="7E62F6C5" w14:textId="77777777" w:rsidR="00E86506" w:rsidRPr="00E86506" w:rsidRDefault="00E86506" w:rsidP="006A2415">
      <w:pPr>
        <w:spacing w:line="360" w:lineRule="auto"/>
        <w:jc w:val="both"/>
      </w:pPr>
      <w:r w:rsidRPr="00E86506">
        <w:t>All six managers proposed improvements, including clearer role definitions, cross-site mentoring, and agile implementation teams. These recommendations align with contemporary HR perspectives that stress the value of agile leadership, psychological safety (Edmondson, 2019), and tailored support structures in complex, post-merger environments.</w:t>
      </w:r>
    </w:p>
    <w:p w14:paraId="40331BB1" w14:textId="58ED38AF" w:rsidR="00AF335F" w:rsidRPr="00D655F0" w:rsidRDefault="002D1A57" w:rsidP="00121B31">
      <w:pPr>
        <w:pStyle w:val="Heading3"/>
        <w:rPr>
          <w:rFonts w:cs="Arial"/>
          <w:sz w:val="24"/>
          <w:szCs w:val="24"/>
        </w:rPr>
      </w:pPr>
      <w:bookmarkStart w:id="7" w:name="_Toc210069318"/>
      <w:r>
        <w:rPr>
          <w:rFonts w:cs="Arial"/>
          <w:sz w:val="24"/>
          <w:szCs w:val="24"/>
        </w:rPr>
        <w:t>2.1.</w:t>
      </w:r>
      <w:r w:rsidR="00D31949">
        <w:rPr>
          <w:rFonts w:cs="Arial"/>
          <w:sz w:val="24"/>
          <w:szCs w:val="24"/>
        </w:rPr>
        <w:t>e</w:t>
      </w:r>
      <w:r>
        <w:rPr>
          <w:rFonts w:cs="Arial"/>
          <w:sz w:val="24"/>
          <w:szCs w:val="24"/>
        </w:rPr>
        <w:t xml:space="preserve"> </w:t>
      </w:r>
      <w:r w:rsidR="00AF335F" w:rsidRPr="00D655F0">
        <w:rPr>
          <w:rFonts w:cs="Arial"/>
          <w:sz w:val="24"/>
          <w:szCs w:val="24"/>
        </w:rPr>
        <w:t>Conclusion</w:t>
      </w:r>
      <w:bookmarkEnd w:id="7"/>
    </w:p>
    <w:p w14:paraId="0B7E9A04" w14:textId="75680971" w:rsidR="00EF0A10" w:rsidRDefault="00EF0A10" w:rsidP="00EF0A10">
      <w:pPr>
        <w:spacing w:line="360" w:lineRule="auto"/>
        <w:jc w:val="both"/>
      </w:pPr>
      <w:r w:rsidRPr="00191024">
        <w:rPr>
          <w:color w:val="000000" w:themeColor="text1"/>
        </w:rPr>
        <w:t>T</w:t>
      </w:r>
      <w:r w:rsidRPr="00191024">
        <w:rPr>
          <w:color w:val="000000" w:themeColor="text1"/>
        </w:rPr>
        <w:t xml:space="preserve">he shift to a management-led HR model created new challenges for line managers, despite their demonstrated resilience and adaptability. Training gaps, inconsistent communication, and cultural frictions emerged as the most pressing </w:t>
      </w:r>
      <w:r w:rsidRPr="00EF0A10">
        <w:t>barriers. Drawing on Kotter’s (1996) change management model, Bandura’s (1977) self-efficacy theory, and Herzberg’s (1959) motivation-hygiene theory, the findings indicate that confidence alone is insufficient without robust organisational support. Evidence-based recommendations include modular training programmes, mentoring schemes, clearer role definitions, and enhanced leadership visibility. Addressing these areas will not only facilitate AFI’s immediate post-merger integration but also strengthen its long-term strategy to develop agile and resilient leadership across sites. These insights contribute directly to AFI’s business case by demonstrating how effective people practices can be aligned with strategic organisational outcomes.</w:t>
      </w:r>
    </w:p>
    <w:p w14:paraId="4A921939" w14:textId="1234B7DF" w:rsidR="00892161" w:rsidRPr="002D1A57" w:rsidRDefault="00892161" w:rsidP="00121B31">
      <w:pPr>
        <w:pStyle w:val="Heading1"/>
        <w:rPr>
          <w:rFonts w:ascii="Arial" w:hAnsi="Arial" w:cs="Arial"/>
          <w:b/>
          <w:bCs/>
          <w:sz w:val="32"/>
          <w:szCs w:val="32"/>
          <w:u w:val="single"/>
        </w:rPr>
      </w:pPr>
      <w:bookmarkStart w:id="8" w:name="_Toc210069319"/>
      <w:r w:rsidRPr="002D1A57">
        <w:rPr>
          <w:rFonts w:ascii="Arial" w:hAnsi="Arial" w:cs="Arial"/>
          <w:b/>
          <w:bCs/>
          <w:sz w:val="32"/>
          <w:szCs w:val="32"/>
          <w:u w:val="single"/>
        </w:rPr>
        <w:t>Supplementary Notes</w:t>
      </w:r>
      <w:bookmarkEnd w:id="8"/>
    </w:p>
    <w:p w14:paraId="61DE8558" w14:textId="5E68A0E8" w:rsidR="00892161" w:rsidRPr="002D1A57" w:rsidRDefault="002D1A57" w:rsidP="00121B31">
      <w:pPr>
        <w:pStyle w:val="Heading1"/>
        <w:rPr>
          <w:rFonts w:ascii="Arial" w:hAnsi="Arial" w:cs="Arial"/>
          <w:sz w:val="32"/>
          <w:szCs w:val="32"/>
          <w:u w:val="single"/>
        </w:rPr>
      </w:pPr>
      <w:bookmarkStart w:id="9" w:name="_Toc210069320"/>
      <w:r w:rsidRPr="002D1A57">
        <w:rPr>
          <w:rFonts w:ascii="Arial" w:hAnsi="Arial" w:cs="Arial"/>
          <w:sz w:val="32"/>
          <w:szCs w:val="32"/>
          <w:u w:val="single"/>
        </w:rPr>
        <w:t>3</w:t>
      </w:r>
      <w:r w:rsidR="00892161" w:rsidRPr="002D1A57">
        <w:rPr>
          <w:rFonts w:ascii="Arial" w:hAnsi="Arial" w:cs="Arial"/>
          <w:sz w:val="32"/>
          <w:szCs w:val="32"/>
          <w:u w:val="single"/>
        </w:rPr>
        <w:t>. Introduction</w:t>
      </w:r>
      <w:bookmarkEnd w:id="9"/>
    </w:p>
    <w:p w14:paraId="30AE6633" w14:textId="77777777" w:rsidR="00892161" w:rsidRPr="00D655F0" w:rsidRDefault="00892161" w:rsidP="0068792F">
      <w:pPr>
        <w:pStyle w:val="NormalWeb"/>
        <w:spacing w:line="360" w:lineRule="auto"/>
        <w:jc w:val="both"/>
        <w:rPr>
          <w:rFonts w:ascii="Arial" w:hAnsi="Arial" w:cs="Arial"/>
        </w:rPr>
      </w:pPr>
      <w:r w:rsidRPr="00D655F0">
        <w:rPr>
          <w:rFonts w:ascii="Arial" w:hAnsi="Arial" w:cs="Arial"/>
        </w:rPr>
        <w:t xml:space="preserve">This research is situated within AFI’s post-merger restructuring following its acquisition of </w:t>
      </w:r>
      <w:proofErr w:type="spellStart"/>
      <w:r w:rsidRPr="00D655F0">
        <w:rPr>
          <w:rFonts w:ascii="Arial" w:hAnsi="Arial" w:cs="Arial"/>
        </w:rPr>
        <w:t>Volac</w:t>
      </w:r>
      <w:proofErr w:type="spellEnd"/>
      <w:r w:rsidRPr="00D655F0">
        <w:rPr>
          <w:rFonts w:ascii="Arial" w:hAnsi="Arial" w:cs="Arial"/>
        </w:rPr>
        <w:t xml:space="preserve"> Whey Nutrition (VWN). The change redefined line managers’ roles: once </w:t>
      </w:r>
      <w:r w:rsidRPr="00D655F0">
        <w:rPr>
          <w:rFonts w:ascii="Arial" w:hAnsi="Arial" w:cs="Arial"/>
        </w:rPr>
        <w:lastRenderedPageBreak/>
        <w:t xml:space="preserve">operationally focused, they are now responsible for delivering HR initiatives at team level. As Torrington </w:t>
      </w:r>
      <w:r w:rsidRPr="00AA260D">
        <w:rPr>
          <w:rFonts w:ascii="Arial" w:hAnsi="Arial" w:cs="Arial"/>
          <w:i/>
          <w:iCs/>
        </w:rPr>
        <w:t>et al</w:t>
      </w:r>
      <w:r w:rsidRPr="00D655F0">
        <w:rPr>
          <w:rFonts w:ascii="Arial" w:hAnsi="Arial" w:cs="Arial"/>
        </w:rPr>
        <w:t>. (2017) and Purcell and Hutchinson (2007) argue, line managers are critical to HR implementation, but their effectiveness depends on clear expectations, support, and resources.</w:t>
      </w:r>
    </w:p>
    <w:p w14:paraId="2D937537" w14:textId="2BE5D470" w:rsidR="00892161" w:rsidRPr="00D655F0" w:rsidRDefault="00892161" w:rsidP="0068792F">
      <w:pPr>
        <w:pStyle w:val="NormalWeb"/>
        <w:spacing w:line="360" w:lineRule="auto"/>
        <w:jc w:val="both"/>
        <w:rPr>
          <w:rFonts w:ascii="Arial" w:hAnsi="Arial" w:cs="Arial"/>
        </w:rPr>
      </w:pPr>
      <w:r w:rsidRPr="00D655F0">
        <w:rPr>
          <w:rFonts w:ascii="Arial" w:hAnsi="Arial" w:cs="Arial"/>
        </w:rPr>
        <w:t xml:space="preserve">AFI acquired VWN to expand in the whey sports nutrition market, gaining a high-performing site with £100m of prior investment. Yet the merger created challenges of aligning two systems and cultures. Research shows that most mergers fail not for financial reasons but because of people and cultural factors (McKinsey, 2016; SHRM, 2017). Within AFI, these pressures were most visible in the demands placed </w:t>
      </w:r>
      <w:proofErr w:type="gramStart"/>
      <w:r w:rsidRPr="00D655F0">
        <w:rPr>
          <w:rFonts w:ascii="Arial" w:hAnsi="Arial" w:cs="Arial"/>
        </w:rPr>
        <w:t>on line</w:t>
      </w:r>
      <w:proofErr w:type="gramEnd"/>
      <w:r w:rsidRPr="00D655F0">
        <w:rPr>
          <w:rFonts w:ascii="Arial" w:hAnsi="Arial" w:cs="Arial"/>
        </w:rPr>
        <w:t xml:space="preserve"> managers. This study therefore </w:t>
      </w:r>
      <w:r w:rsidR="00A177AA" w:rsidRPr="00D655F0">
        <w:rPr>
          <w:rFonts w:ascii="Arial" w:hAnsi="Arial" w:cs="Arial"/>
        </w:rPr>
        <w:t>examine</w:t>
      </w:r>
      <w:r w:rsidR="005D0107">
        <w:rPr>
          <w:rFonts w:ascii="Arial" w:hAnsi="Arial" w:cs="Arial"/>
        </w:rPr>
        <w:t>d</w:t>
      </w:r>
      <w:r w:rsidRPr="00D655F0">
        <w:rPr>
          <w:rFonts w:ascii="Arial" w:hAnsi="Arial" w:cs="Arial"/>
        </w:rPr>
        <w:t xml:space="preserve"> experiences, confidence, and capability in navigating these responsibilities, aiming to generate evidence-based HR insights to support sustainable post-merger success.</w:t>
      </w:r>
      <w:r w:rsidR="009A76CD">
        <w:rPr>
          <w:rFonts w:ascii="Arial" w:hAnsi="Arial" w:cs="Arial"/>
        </w:rPr>
        <w:t xml:space="preserve"> </w:t>
      </w:r>
    </w:p>
    <w:p w14:paraId="02735878" w14:textId="5C04BDFC" w:rsidR="00892161" w:rsidRPr="002D1A57" w:rsidRDefault="002D1A57" w:rsidP="00121B31">
      <w:pPr>
        <w:pStyle w:val="Heading1"/>
        <w:rPr>
          <w:rFonts w:ascii="Arial" w:hAnsi="Arial" w:cs="Arial"/>
          <w:sz w:val="32"/>
          <w:szCs w:val="32"/>
          <w:u w:val="single"/>
        </w:rPr>
      </w:pPr>
      <w:bookmarkStart w:id="10" w:name="_Toc210069321"/>
      <w:r w:rsidRPr="002D1A57">
        <w:rPr>
          <w:rFonts w:ascii="Arial" w:hAnsi="Arial" w:cs="Arial"/>
          <w:sz w:val="32"/>
          <w:szCs w:val="32"/>
          <w:u w:val="single"/>
        </w:rPr>
        <w:t>4</w:t>
      </w:r>
      <w:r w:rsidR="00892161" w:rsidRPr="002D1A57">
        <w:rPr>
          <w:rFonts w:ascii="Arial" w:hAnsi="Arial" w:cs="Arial"/>
          <w:sz w:val="32"/>
          <w:szCs w:val="32"/>
          <w:u w:val="single"/>
        </w:rPr>
        <w:t>. Literature Review</w:t>
      </w:r>
      <w:bookmarkEnd w:id="10"/>
    </w:p>
    <w:p w14:paraId="1E159AC9" w14:textId="531EAE7D" w:rsidR="00892161" w:rsidRPr="00D655F0" w:rsidRDefault="002D1A57" w:rsidP="00121B31">
      <w:pPr>
        <w:pStyle w:val="Heading2"/>
        <w:rPr>
          <w:rFonts w:ascii="Arial" w:hAnsi="Arial" w:cs="Arial"/>
          <w:sz w:val="24"/>
          <w:szCs w:val="24"/>
        </w:rPr>
      </w:pPr>
      <w:bookmarkStart w:id="11" w:name="_Toc210069322"/>
      <w:r>
        <w:rPr>
          <w:rFonts w:ascii="Arial" w:hAnsi="Arial" w:cs="Arial"/>
          <w:sz w:val="24"/>
          <w:szCs w:val="24"/>
        </w:rPr>
        <w:t>4</w:t>
      </w:r>
      <w:r w:rsidR="00892161" w:rsidRPr="00D655F0">
        <w:rPr>
          <w:rFonts w:ascii="Arial" w:hAnsi="Arial" w:cs="Arial"/>
          <w:sz w:val="24"/>
          <w:szCs w:val="24"/>
        </w:rPr>
        <w:t>.1 Change Management Frameworks and Human Responses</w:t>
      </w:r>
      <w:bookmarkEnd w:id="11"/>
    </w:p>
    <w:p w14:paraId="3DDFC46C" w14:textId="77777777" w:rsidR="00892161" w:rsidRPr="00D655F0" w:rsidRDefault="00892161" w:rsidP="008C7AD1">
      <w:pPr>
        <w:pStyle w:val="NormalWeb"/>
        <w:spacing w:line="360" w:lineRule="auto"/>
        <w:jc w:val="both"/>
        <w:rPr>
          <w:rFonts w:ascii="Arial" w:hAnsi="Arial" w:cs="Arial"/>
        </w:rPr>
      </w:pPr>
      <w:r w:rsidRPr="00D655F0">
        <w:rPr>
          <w:rFonts w:ascii="Arial" w:hAnsi="Arial" w:cs="Arial"/>
        </w:rPr>
        <w:t>Change management has long been studied through models such as Lewin’s (1951) three-step process and Kotter’s (1996) eight-step framework. While Lewin provides a useful foundation, it has been criticised as simplistic in dynamic settings (Burnes, 2017). Kotter’s structured model remains widely used in large-scale change and was explicitly applied in AFI’s integration of VWN, creating urgency, guiding coalitions, and cascading vision. However, gaps emerged in sustaining change, particularly in equipping line managers for their new HR roles.</w:t>
      </w:r>
    </w:p>
    <w:p w14:paraId="4C7F44F1" w14:textId="77777777" w:rsidR="00892161" w:rsidRPr="00D655F0" w:rsidRDefault="00892161" w:rsidP="008C7AD1">
      <w:pPr>
        <w:pStyle w:val="NormalWeb"/>
        <w:spacing w:line="360" w:lineRule="auto"/>
        <w:jc w:val="both"/>
        <w:rPr>
          <w:rFonts w:ascii="Arial" w:hAnsi="Arial" w:cs="Arial"/>
        </w:rPr>
      </w:pPr>
      <w:r w:rsidRPr="00D655F0">
        <w:rPr>
          <w:rFonts w:ascii="Arial" w:hAnsi="Arial" w:cs="Arial"/>
        </w:rPr>
        <w:t>Contemporary perspectives, such as Agile Change (Appelo, 2011) and Combe’s (2014) “change agility,” emphasise flexibility and iterative learning. The Kübler-Ross Change Curve (1969) highlights emotional responses, though its deterministic stages are limited in capturing variation. Weiner’s (2009) readiness for change theory adds insight into shared commitment but is less applicable to AFI’s stepwise integration. Overall, Kotter’s framework best reflects AFI’s organisational approach, though modern perspectives highlight the importance of adaptability and emotional support.</w:t>
      </w:r>
    </w:p>
    <w:p w14:paraId="4984A5FF" w14:textId="63F4A87E" w:rsidR="00892161" w:rsidRPr="00D655F0" w:rsidRDefault="002D1A57" w:rsidP="00121B31">
      <w:pPr>
        <w:pStyle w:val="Heading2"/>
        <w:rPr>
          <w:rFonts w:ascii="Arial" w:hAnsi="Arial" w:cs="Arial"/>
          <w:sz w:val="24"/>
          <w:szCs w:val="24"/>
        </w:rPr>
      </w:pPr>
      <w:bookmarkStart w:id="12" w:name="_Toc210069323"/>
      <w:r>
        <w:rPr>
          <w:rFonts w:ascii="Arial" w:hAnsi="Arial" w:cs="Arial"/>
          <w:sz w:val="24"/>
          <w:szCs w:val="24"/>
        </w:rPr>
        <w:lastRenderedPageBreak/>
        <w:t>4</w:t>
      </w:r>
      <w:r w:rsidR="00892161" w:rsidRPr="00D655F0">
        <w:rPr>
          <w:rFonts w:ascii="Arial" w:hAnsi="Arial" w:cs="Arial"/>
          <w:sz w:val="24"/>
          <w:szCs w:val="24"/>
        </w:rPr>
        <w:t>.2 Line Managers and Devolved HR Responsibilities</w:t>
      </w:r>
      <w:bookmarkEnd w:id="12"/>
    </w:p>
    <w:p w14:paraId="00E0F651" w14:textId="694D0E97" w:rsidR="00892161" w:rsidRPr="00D655F0" w:rsidRDefault="00892161" w:rsidP="00C71C8A">
      <w:pPr>
        <w:pStyle w:val="NormalWeb"/>
        <w:spacing w:line="360" w:lineRule="auto"/>
        <w:jc w:val="both"/>
        <w:rPr>
          <w:rFonts w:ascii="Arial" w:hAnsi="Arial" w:cs="Arial"/>
        </w:rPr>
      </w:pPr>
      <w:r w:rsidRPr="00D655F0">
        <w:rPr>
          <w:rFonts w:ascii="Arial" w:hAnsi="Arial" w:cs="Arial"/>
        </w:rPr>
        <w:t xml:space="preserve">Line managers are increasingly viewed as central agents in delivering HR practices (Purcell </w:t>
      </w:r>
      <w:r w:rsidR="00AB249E">
        <w:rPr>
          <w:rFonts w:ascii="Arial" w:hAnsi="Arial" w:cs="Arial"/>
        </w:rPr>
        <w:t>and</w:t>
      </w:r>
      <w:r w:rsidRPr="00D655F0">
        <w:rPr>
          <w:rFonts w:ascii="Arial" w:hAnsi="Arial" w:cs="Arial"/>
        </w:rPr>
        <w:t xml:space="preserve"> Hutchinson, 2007; Torrington </w:t>
      </w:r>
      <w:r w:rsidRPr="00AA260D">
        <w:rPr>
          <w:rFonts w:ascii="Arial" w:hAnsi="Arial" w:cs="Arial"/>
          <w:i/>
          <w:iCs/>
        </w:rPr>
        <w:t>et al</w:t>
      </w:r>
      <w:r w:rsidRPr="00D655F0">
        <w:rPr>
          <w:rFonts w:ascii="Arial" w:hAnsi="Arial" w:cs="Arial"/>
        </w:rPr>
        <w:t xml:space="preserve">., 2017). Their success depends on capability, clarity, and organisational support. Bandura’s (1977) self-efficacy theory explains how belief in ability influences performance, while Herzberg’s (1959) two-factor model shows how development opportunities </w:t>
      </w:r>
      <w:proofErr w:type="gramStart"/>
      <w:r w:rsidRPr="00D655F0">
        <w:rPr>
          <w:rFonts w:ascii="Arial" w:hAnsi="Arial" w:cs="Arial"/>
        </w:rPr>
        <w:t>motivate</w:t>
      </w:r>
      <w:proofErr w:type="gramEnd"/>
      <w:r w:rsidRPr="00D655F0">
        <w:rPr>
          <w:rFonts w:ascii="Arial" w:hAnsi="Arial" w:cs="Arial"/>
        </w:rPr>
        <w:t xml:space="preserve"> and poor communication demotivates.</w:t>
      </w:r>
    </w:p>
    <w:p w14:paraId="51562A43" w14:textId="77777777" w:rsidR="00892161" w:rsidRPr="00D655F0" w:rsidRDefault="00892161" w:rsidP="00C71C8A">
      <w:pPr>
        <w:pStyle w:val="NormalWeb"/>
        <w:spacing w:line="360" w:lineRule="auto"/>
        <w:jc w:val="both"/>
        <w:rPr>
          <w:rFonts w:ascii="Arial" w:hAnsi="Arial" w:cs="Arial"/>
        </w:rPr>
      </w:pPr>
      <w:r w:rsidRPr="00D655F0">
        <w:rPr>
          <w:rFonts w:ascii="Arial" w:hAnsi="Arial" w:cs="Arial"/>
        </w:rPr>
        <w:t>Prosci’s ADKAR model (2003) highlights the need for awareness, desire, knowledge, ability, and reinforcement, offering a lens for evaluating whether AFI’s managers had the capability and motivation to embed change. Ulrich’s (1997) HR Business Partner model reinforces HR’s role in supporting and coaching managers, while recent CIPD (2023) guidance stresses digital tools and real-time feedback as enablers of ongoing support.</w:t>
      </w:r>
    </w:p>
    <w:p w14:paraId="71A025F4" w14:textId="23A35520" w:rsidR="00892161" w:rsidRPr="00D655F0" w:rsidRDefault="002D1A57" w:rsidP="00121B31">
      <w:pPr>
        <w:pStyle w:val="Heading2"/>
        <w:rPr>
          <w:rFonts w:ascii="Arial" w:hAnsi="Arial" w:cs="Arial"/>
          <w:sz w:val="24"/>
          <w:szCs w:val="24"/>
        </w:rPr>
      </w:pPr>
      <w:bookmarkStart w:id="13" w:name="_Toc210069324"/>
      <w:r>
        <w:rPr>
          <w:rFonts w:ascii="Arial" w:hAnsi="Arial" w:cs="Arial"/>
          <w:sz w:val="24"/>
          <w:szCs w:val="24"/>
        </w:rPr>
        <w:t>4</w:t>
      </w:r>
      <w:r w:rsidR="00892161" w:rsidRPr="00D655F0">
        <w:rPr>
          <w:rFonts w:ascii="Arial" w:hAnsi="Arial" w:cs="Arial"/>
          <w:sz w:val="24"/>
          <w:szCs w:val="24"/>
        </w:rPr>
        <w:t>.3 Evidence-Based HR and Benchmarking</w:t>
      </w:r>
      <w:bookmarkEnd w:id="13"/>
    </w:p>
    <w:p w14:paraId="27DCF03D" w14:textId="3470ADAD" w:rsidR="00892161" w:rsidRPr="00D655F0" w:rsidRDefault="00892161" w:rsidP="00914A1B">
      <w:pPr>
        <w:pStyle w:val="NormalWeb"/>
        <w:spacing w:line="360" w:lineRule="auto"/>
        <w:jc w:val="both"/>
        <w:rPr>
          <w:rFonts w:ascii="Arial" w:hAnsi="Arial" w:cs="Arial"/>
        </w:rPr>
      </w:pPr>
      <w:r w:rsidRPr="00D655F0">
        <w:rPr>
          <w:rFonts w:ascii="Arial" w:hAnsi="Arial" w:cs="Arial"/>
        </w:rPr>
        <w:t xml:space="preserve">Evidence-based HR (Barends </w:t>
      </w:r>
      <w:r w:rsidRPr="00AA260D">
        <w:rPr>
          <w:rFonts w:ascii="Arial" w:hAnsi="Arial" w:cs="Arial"/>
          <w:i/>
          <w:iCs/>
        </w:rPr>
        <w:t>et al</w:t>
      </w:r>
      <w:r w:rsidRPr="00D655F0">
        <w:rPr>
          <w:rFonts w:ascii="Arial" w:hAnsi="Arial" w:cs="Arial"/>
        </w:rPr>
        <w:t>., 2014) promotes decisions grounded in data, research, and stakeholder perspectives. Benchmarking is one mechanism for this, enabling comparisons with external standards to identify gaps (AIHR, n</w:t>
      </w:r>
      <w:r w:rsidR="00AA260D">
        <w:rPr>
          <w:rFonts w:ascii="Arial" w:hAnsi="Arial" w:cs="Arial"/>
        </w:rPr>
        <w:t xml:space="preserve">o </w:t>
      </w:r>
      <w:r w:rsidRPr="00D655F0">
        <w:rPr>
          <w:rFonts w:ascii="Arial" w:hAnsi="Arial" w:cs="Arial"/>
        </w:rPr>
        <w:t>d</w:t>
      </w:r>
      <w:r w:rsidR="00587BB7">
        <w:rPr>
          <w:rFonts w:ascii="Arial" w:hAnsi="Arial" w:cs="Arial"/>
        </w:rPr>
        <w:t>ate</w:t>
      </w:r>
      <w:r w:rsidRPr="00D655F0">
        <w:rPr>
          <w:rFonts w:ascii="Arial" w:hAnsi="Arial" w:cs="Arial"/>
        </w:rPr>
        <w:t xml:space="preserve">.). In mergers, benchmarking can highlight integration priorities, but over-reliance risks imitation without context (Marchington </w:t>
      </w:r>
      <w:r w:rsidR="00AB249E">
        <w:rPr>
          <w:rFonts w:ascii="Arial" w:hAnsi="Arial" w:cs="Arial"/>
        </w:rPr>
        <w:t>and</w:t>
      </w:r>
      <w:r w:rsidRPr="00D655F0">
        <w:rPr>
          <w:rFonts w:ascii="Arial" w:hAnsi="Arial" w:cs="Arial"/>
        </w:rPr>
        <w:t xml:space="preserve"> Wilkinson, 2016). For AFI, benchmarking against peers was useful, yet the unique challenge of equipping line managers required tailored rather than off-the-shelf solutions.</w:t>
      </w:r>
    </w:p>
    <w:p w14:paraId="61F90B88" w14:textId="0724A186" w:rsidR="00892161" w:rsidRPr="00D655F0" w:rsidRDefault="002D1A57" w:rsidP="00121B31">
      <w:pPr>
        <w:pStyle w:val="Heading2"/>
        <w:rPr>
          <w:rFonts w:ascii="Arial" w:hAnsi="Arial" w:cs="Arial"/>
          <w:sz w:val="24"/>
          <w:szCs w:val="24"/>
        </w:rPr>
      </w:pPr>
      <w:bookmarkStart w:id="14" w:name="_Toc210069325"/>
      <w:r>
        <w:rPr>
          <w:rFonts w:ascii="Arial" w:hAnsi="Arial" w:cs="Arial"/>
          <w:sz w:val="24"/>
          <w:szCs w:val="24"/>
        </w:rPr>
        <w:t>4</w:t>
      </w:r>
      <w:r w:rsidR="00892161" w:rsidRPr="00D655F0">
        <w:rPr>
          <w:rFonts w:ascii="Arial" w:hAnsi="Arial" w:cs="Arial"/>
          <w:sz w:val="24"/>
          <w:szCs w:val="24"/>
        </w:rPr>
        <w:t>.4 Decision-Making, Opportunity Cost, and Strategic Choices</w:t>
      </w:r>
      <w:bookmarkEnd w:id="14"/>
    </w:p>
    <w:p w14:paraId="2A3C432A" w14:textId="77777777" w:rsidR="00892161" w:rsidRPr="00D655F0" w:rsidRDefault="00892161" w:rsidP="002B5512">
      <w:pPr>
        <w:pStyle w:val="NormalWeb"/>
        <w:spacing w:line="360" w:lineRule="auto"/>
        <w:jc w:val="both"/>
        <w:rPr>
          <w:rFonts w:ascii="Arial" w:hAnsi="Arial" w:cs="Arial"/>
        </w:rPr>
      </w:pPr>
      <w:r w:rsidRPr="00D655F0">
        <w:rPr>
          <w:rFonts w:ascii="Arial" w:hAnsi="Arial" w:cs="Arial"/>
        </w:rPr>
        <w:t>Adair (2016) describes decision-making as identifying problems, exploring options, and selecting action. For AFI, the challenge was how to support managers with their expanded HR responsibilities. Opportunity cost was significant: investment in training might delay efficiency but build long-term capability (Fernando, 2021). Capron and Mitchell (2012) emphasise balancing immediate integration with future capability, while Kew and Stredwick (2016) highlight HR’s role as a partner in embedding decisions collaboratively.</w:t>
      </w:r>
    </w:p>
    <w:p w14:paraId="64E9652B" w14:textId="1992BDF9" w:rsidR="00892161" w:rsidRPr="00D655F0" w:rsidRDefault="002D1A57" w:rsidP="00121B31">
      <w:pPr>
        <w:pStyle w:val="Heading2"/>
        <w:rPr>
          <w:rFonts w:ascii="Arial" w:hAnsi="Arial" w:cs="Arial"/>
          <w:sz w:val="24"/>
          <w:szCs w:val="24"/>
        </w:rPr>
      </w:pPr>
      <w:bookmarkStart w:id="15" w:name="_Toc210069326"/>
      <w:r>
        <w:rPr>
          <w:rFonts w:ascii="Arial" w:hAnsi="Arial" w:cs="Arial"/>
          <w:sz w:val="24"/>
          <w:szCs w:val="24"/>
        </w:rPr>
        <w:lastRenderedPageBreak/>
        <w:t>4</w:t>
      </w:r>
      <w:r w:rsidR="00892161" w:rsidRPr="00D655F0">
        <w:rPr>
          <w:rFonts w:ascii="Arial" w:hAnsi="Arial" w:cs="Arial"/>
          <w:sz w:val="24"/>
          <w:szCs w:val="24"/>
        </w:rPr>
        <w:t>.5 Critical Synthesis</w:t>
      </w:r>
      <w:bookmarkEnd w:id="15"/>
    </w:p>
    <w:p w14:paraId="68DB0453" w14:textId="22FEAF03" w:rsidR="00892161" w:rsidRPr="00D655F0" w:rsidRDefault="00892161" w:rsidP="00DD64D6">
      <w:pPr>
        <w:pStyle w:val="NormalWeb"/>
        <w:spacing w:line="360" w:lineRule="auto"/>
        <w:jc w:val="both"/>
        <w:rPr>
          <w:rFonts w:ascii="Arial" w:hAnsi="Arial" w:cs="Arial"/>
        </w:rPr>
      </w:pPr>
      <w:r w:rsidRPr="00D655F0">
        <w:rPr>
          <w:rFonts w:ascii="Arial" w:hAnsi="Arial" w:cs="Arial"/>
        </w:rPr>
        <w:t>Classic frameworks such as Lewin (1951), Kotter (1996), Herzberg (1959), and Bandura (1977) remain relevant but</w:t>
      </w:r>
      <w:r w:rsidR="00E87A5E">
        <w:rPr>
          <w:rFonts w:ascii="Arial" w:hAnsi="Arial" w:cs="Arial"/>
        </w:rPr>
        <w:t xml:space="preserve"> </w:t>
      </w:r>
      <w:r w:rsidR="00CC7504">
        <w:rPr>
          <w:rFonts w:ascii="Arial" w:hAnsi="Arial" w:cs="Arial"/>
        </w:rPr>
        <w:t>is</w:t>
      </w:r>
      <w:r w:rsidRPr="00D655F0">
        <w:rPr>
          <w:rFonts w:ascii="Arial" w:hAnsi="Arial" w:cs="Arial"/>
        </w:rPr>
        <w:t xml:space="preserve"> insufficient alone in modern, hybrid contexts. Kotter explains AFI’s integration at the organisational </w:t>
      </w:r>
      <w:proofErr w:type="gramStart"/>
      <w:r w:rsidRPr="00D655F0">
        <w:rPr>
          <w:rFonts w:ascii="Arial" w:hAnsi="Arial" w:cs="Arial"/>
        </w:rPr>
        <w:t>level, but</w:t>
      </w:r>
      <w:proofErr w:type="gramEnd"/>
      <w:r w:rsidRPr="00D655F0">
        <w:rPr>
          <w:rFonts w:ascii="Arial" w:hAnsi="Arial" w:cs="Arial"/>
        </w:rPr>
        <w:t xml:space="preserve"> does not address line managers’ micro-level challenges. Herzberg and Bandura highlight motivation and confidence but lack practical strategies for capability building.</w:t>
      </w:r>
    </w:p>
    <w:p w14:paraId="3541DEF6" w14:textId="438FADCD" w:rsidR="00892161" w:rsidRPr="00D655F0" w:rsidRDefault="00892161" w:rsidP="00DD64D6">
      <w:pPr>
        <w:pStyle w:val="NormalWeb"/>
        <w:spacing w:line="360" w:lineRule="auto"/>
        <w:jc w:val="both"/>
        <w:rPr>
          <w:rFonts w:ascii="Arial" w:hAnsi="Arial" w:cs="Arial"/>
        </w:rPr>
      </w:pPr>
      <w:r w:rsidRPr="00D655F0">
        <w:rPr>
          <w:rFonts w:ascii="Arial" w:hAnsi="Arial" w:cs="Arial"/>
        </w:rPr>
        <w:t xml:space="preserve">Contemporary perspectives add depth: Edmondson (2019) stresses psychological safety, CIPD (2023) points to digital HR tools, and Zipse </w:t>
      </w:r>
      <w:r w:rsidRPr="00587BB7">
        <w:rPr>
          <w:rFonts w:ascii="Arial" w:hAnsi="Arial" w:cs="Arial"/>
          <w:i/>
          <w:iCs/>
        </w:rPr>
        <w:t>et al</w:t>
      </w:r>
      <w:r w:rsidRPr="00D655F0">
        <w:rPr>
          <w:rFonts w:ascii="Arial" w:hAnsi="Arial" w:cs="Arial"/>
        </w:rPr>
        <w:t>.</w:t>
      </w:r>
      <w:r w:rsidR="00DD64D6">
        <w:rPr>
          <w:rFonts w:ascii="Arial" w:hAnsi="Arial" w:cs="Arial"/>
        </w:rPr>
        <w:t>,</w:t>
      </w:r>
      <w:r w:rsidRPr="00D655F0">
        <w:rPr>
          <w:rFonts w:ascii="Arial" w:hAnsi="Arial" w:cs="Arial"/>
        </w:rPr>
        <w:t xml:space="preserve"> (2024) explore sustainability-driven transformation. A clear gap exists in how organisations integrate these perspectives into post-merger HR practice, particularly in rural contexts like west Wales where the talent pool is limited. This study therefore investigates the lived experiences of AFI’s line managers, benchmarking findings against theory to generate actionable insights into supporting </w:t>
      </w:r>
      <w:proofErr w:type="gramStart"/>
      <w:r w:rsidRPr="00D655F0">
        <w:rPr>
          <w:rFonts w:ascii="Arial" w:hAnsi="Arial" w:cs="Arial"/>
        </w:rPr>
        <w:t>managers</w:t>
      </w:r>
      <w:proofErr w:type="gramEnd"/>
      <w:r w:rsidRPr="00D655F0">
        <w:rPr>
          <w:rFonts w:ascii="Arial" w:hAnsi="Arial" w:cs="Arial"/>
        </w:rPr>
        <w:t xml:space="preserve"> post-change.</w:t>
      </w:r>
    </w:p>
    <w:p w14:paraId="6F61EF01" w14:textId="574AAA73" w:rsidR="00F42317" w:rsidRPr="002D1A57" w:rsidRDefault="002D1A57" w:rsidP="00121B31">
      <w:pPr>
        <w:pStyle w:val="Heading1"/>
        <w:rPr>
          <w:rFonts w:ascii="Arial" w:hAnsi="Arial" w:cs="Arial"/>
          <w:sz w:val="32"/>
          <w:szCs w:val="32"/>
          <w:u w:val="single"/>
        </w:rPr>
      </w:pPr>
      <w:bookmarkStart w:id="16" w:name="_Toc210069327"/>
      <w:r>
        <w:rPr>
          <w:rFonts w:ascii="Arial" w:hAnsi="Arial" w:cs="Arial"/>
          <w:sz w:val="32"/>
          <w:szCs w:val="32"/>
          <w:u w:val="single"/>
        </w:rPr>
        <w:t>5</w:t>
      </w:r>
      <w:r w:rsidR="00F42317" w:rsidRPr="002D1A57">
        <w:rPr>
          <w:rFonts w:ascii="Arial" w:hAnsi="Arial" w:cs="Arial"/>
          <w:sz w:val="32"/>
          <w:szCs w:val="32"/>
          <w:u w:val="single"/>
        </w:rPr>
        <w:t>. Methodology</w:t>
      </w:r>
      <w:bookmarkEnd w:id="16"/>
    </w:p>
    <w:p w14:paraId="1B1ADBE6" w14:textId="6D42E3B2" w:rsidR="00F42317" w:rsidRPr="00D655F0" w:rsidRDefault="002D1A57" w:rsidP="00121B31">
      <w:pPr>
        <w:pStyle w:val="Heading2"/>
        <w:rPr>
          <w:rFonts w:ascii="Arial" w:hAnsi="Arial" w:cs="Arial"/>
          <w:sz w:val="24"/>
          <w:szCs w:val="24"/>
        </w:rPr>
      </w:pPr>
      <w:bookmarkStart w:id="17" w:name="_Toc210069328"/>
      <w:r>
        <w:rPr>
          <w:rFonts w:ascii="Arial" w:hAnsi="Arial" w:cs="Arial"/>
          <w:sz w:val="24"/>
          <w:szCs w:val="24"/>
        </w:rPr>
        <w:t>5</w:t>
      </w:r>
      <w:r w:rsidR="00F42317" w:rsidRPr="00D655F0">
        <w:rPr>
          <w:rFonts w:ascii="Arial" w:hAnsi="Arial" w:cs="Arial"/>
          <w:sz w:val="24"/>
          <w:szCs w:val="24"/>
        </w:rPr>
        <w:t>.1 Research Aim and Objectives</w:t>
      </w:r>
      <w:bookmarkEnd w:id="17"/>
    </w:p>
    <w:p w14:paraId="7072B4A2" w14:textId="51A0B096" w:rsidR="00F42317" w:rsidRPr="00587BB7" w:rsidRDefault="00936952" w:rsidP="00941293">
      <w:pPr>
        <w:spacing w:line="360" w:lineRule="auto"/>
        <w:jc w:val="both"/>
      </w:pPr>
      <w:r w:rsidRPr="00936952">
        <w:t>Th</w:t>
      </w:r>
      <w:r w:rsidR="00745A5B">
        <w:t>e</w:t>
      </w:r>
      <w:r w:rsidRPr="00936952">
        <w:t xml:space="preserve"> study aimed to investigate a business issue from a HR perspective</w:t>
      </w:r>
      <w:r w:rsidRPr="00936952">
        <w:t xml:space="preserve"> </w:t>
      </w:r>
      <w:r w:rsidR="00F42317" w:rsidRPr="00587BB7">
        <w:t>and evaluate potential solutions to drive organisational change and build a robust business case. Four objectives supported this: (1) review literature on HR challenges in post-merger contexts, (2) identify challenges faced at AFI, (3) capture managers’ perspectives on confidence, support, and capability, and (4) generate recommendations through evaluation of best practice.</w:t>
      </w:r>
    </w:p>
    <w:p w14:paraId="7B889FE3" w14:textId="60CE14EA" w:rsidR="00F42317" w:rsidRPr="00D655F0" w:rsidRDefault="002D1A57" w:rsidP="00121B31">
      <w:pPr>
        <w:pStyle w:val="Heading2"/>
        <w:rPr>
          <w:rFonts w:ascii="Arial" w:hAnsi="Arial" w:cs="Arial"/>
          <w:sz w:val="24"/>
          <w:szCs w:val="24"/>
        </w:rPr>
      </w:pPr>
      <w:bookmarkStart w:id="18" w:name="_Toc210069329"/>
      <w:r>
        <w:rPr>
          <w:rFonts w:ascii="Arial" w:hAnsi="Arial" w:cs="Arial"/>
          <w:sz w:val="24"/>
          <w:szCs w:val="24"/>
        </w:rPr>
        <w:t>5</w:t>
      </w:r>
      <w:r w:rsidR="00F42317" w:rsidRPr="00D655F0">
        <w:rPr>
          <w:rFonts w:ascii="Arial" w:hAnsi="Arial" w:cs="Arial"/>
          <w:sz w:val="24"/>
          <w:szCs w:val="24"/>
        </w:rPr>
        <w:t>.2 Research Philosophy</w:t>
      </w:r>
      <w:bookmarkEnd w:id="18"/>
    </w:p>
    <w:p w14:paraId="436ABD2D" w14:textId="7A8D2032" w:rsidR="00F42317" w:rsidRPr="00D655F0" w:rsidRDefault="00F42317" w:rsidP="00B32512">
      <w:pPr>
        <w:spacing w:line="360" w:lineRule="auto"/>
        <w:jc w:val="both"/>
      </w:pPr>
      <w:r w:rsidRPr="00D655F0">
        <w:t xml:space="preserve">The study adopted an interpretivist philosophy, appropriate for exploring lived experiences in complex organisational settings, as interpretivism assumes reality is socially constructed and best understood through participant meanings (Bryman, 2016). Positivism was rejected </w:t>
      </w:r>
      <w:r w:rsidR="00DE5CEA">
        <w:t>being</w:t>
      </w:r>
      <w:r w:rsidRPr="00D655F0">
        <w:t xml:space="preserve"> too focused on objectivity and generalisation, while pragmatism was discounted as it prioritises practical solutions over deeper interpretive insight (Saunders </w:t>
      </w:r>
      <w:r w:rsidRPr="00941293">
        <w:rPr>
          <w:i/>
          <w:iCs/>
        </w:rPr>
        <w:t>et al</w:t>
      </w:r>
      <w:r w:rsidRPr="00D655F0">
        <w:t xml:space="preserve">., 2019; Creswell </w:t>
      </w:r>
      <w:r w:rsidR="002F36B1">
        <w:t>and</w:t>
      </w:r>
      <w:r w:rsidRPr="00D655F0">
        <w:t xml:space="preserve"> </w:t>
      </w:r>
      <w:proofErr w:type="spellStart"/>
      <w:r w:rsidRPr="00D655F0">
        <w:t>Poth</w:t>
      </w:r>
      <w:proofErr w:type="spellEnd"/>
      <w:r w:rsidRPr="00D655F0">
        <w:t>, 2018).</w:t>
      </w:r>
    </w:p>
    <w:p w14:paraId="70E84EF9" w14:textId="2B8CA4E0" w:rsidR="00F42317" w:rsidRPr="00D655F0" w:rsidRDefault="002D1A57" w:rsidP="00B32512">
      <w:pPr>
        <w:pStyle w:val="Heading2"/>
        <w:jc w:val="both"/>
        <w:rPr>
          <w:rFonts w:ascii="Arial" w:hAnsi="Arial" w:cs="Arial"/>
          <w:sz w:val="24"/>
          <w:szCs w:val="24"/>
        </w:rPr>
      </w:pPr>
      <w:bookmarkStart w:id="19" w:name="_Toc210069330"/>
      <w:r>
        <w:rPr>
          <w:rFonts w:ascii="Arial" w:hAnsi="Arial" w:cs="Arial"/>
          <w:sz w:val="24"/>
          <w:szCs w:val="24"/>
        </w:rPr>
        <w:t>5</w:t>
      </w:r>
      <w:r w:rsidR="00F42317" w:rsidRPr="00D655F0">
        <w:rPr>
          <w:rFonts w:ascii="Arial" w:hAnsi="Arial" w:cs="Arial"/>
          <w:sz w:val="24"/>
          <w:szCs w:val="24"/>
        </w:rPr>
        <w:t>.3 The Research Onion</w:t>
      </w:r>
      <w:bookmarkEnd w:id="19"/>
    </w:p>
    <w:p w14:paraId="1B2A8851" w14:textId="77777777" w:rsidR="00F42317" w:rsidRPr="00D655F0" w:rsidRDefault="00F42317" w:rsidP="00B32512">
      <w:pPr>
        <w:spacing w:line="360" w:lineRule="auto"/>
        <w:jc w:val="both"/>
      </w:pPr>
      <w:r w:rsidRPr="00D655F0">
        <w:t xml:space="preserve">The methodological choices in this study can be mapped against the Research Onion (Saunders </w:t>
      </w:r>
      <w:r w:rsidRPr="00941293">
        <w:rPr>
          <w:i/>
          <w:iCs/>
        </w:rPr>
        <w:t>et al</w:t>
      </w:r>
      <w:r w:rsidRPr="00D655F0">
        <w:t xml:space="preserve">., 2019), moving from philosophy and approach through to data </w:t>
      </w:r>
      <w:r w:rsidRPr="00D655F0">
        <w:lastRenderedPageBreak/>
        <w:t>collection and analysis. In this case, the outer layers reflect an interpretivist stance and inductive approach, with a qualitative case study strategy at the centre. A full diagram and explanation are provided in Appendix 2.</w:t>
      </w:r>
    </w:p>
    <w:p w14:paraId="32C017EC" w14:textId="77777777" w:rsidR="00F42317" w:rsidRPr="00D655F0" w:rsidRDefault="00F42317" w:rsidP="00F42317">
      <w:pPr>
        <w:rPr>
          <w:color w:val="156082" w:themeColor="accent1"/>
        </w:rPr>
      </w:pPr>
      <w:r w:rsidRPr="00D655F0">
        <w:rPr>
          <w:noProof/>
        </w:rPr>
        <mc:AlternateContent>
          <mc:Choice Requires="wps">
            <w:drawing>
              <wp:inline distT="0" distB="0" distL="0" distR="0" wp14:anchorId="72149752" wp14:editId="1AFE0D77">
                <wp:extent cx="304800" cy="304800"/>
                <wp:effectExtent l="0" t="0" r="0" b="0"/>
                <wp:docPr id="18165827" name="Rectangle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D4C0C1" id="Rectangle 3"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655F0">
        <w:rPr>
          <w:noProof/>
        </w:rPr>
        <w:t xml:space="preserve"> </w:t>
      </w:r>
      <w:r w:rsidRPr="00D655F0">
        <w:rPr>
          <w:noProof/>
        </w:rPr>
        <w:drawing>
          <wp:inline distT="0" distB="0" distL="0" distR="0" wp14:anchorId="1F575EA1" wp14:editId="6E7146D5">
            <wp:extent cx="2347415" cy="1667692"/>
            <wp:effectExtent l="0" t="0" r="0" b="8890"/>
            <wp:docPr id="109949604" name="Picture 4" descr="A diagram of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9604" name="Picture 4" descr="A diagram of scientific metho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6806" cy="1674364"/>
                    </a:xfrm>
                    <a:prstGeom prst="rect">
                      <a:avLst/>
                    </a:prstGeom>
                    <a:noFill/>
                  </pic:spPr>
                </pic:pic>
              </a:graphicData>
            </a:graphic>
          </wp:inline>
        </w:drawing>
      </w:r>
      <w:r w:rsidRPr="00D655F0">
        <w:rPr>
          <w:noProof/>
        </w:rPr>
        <mc:AlternateContent>
          <mc:Choice Requires="wps">
            <w:drawing>
              <wp:inline distT="0" distB="0" distL="0" distR="0" wp14:anchorId="32106EC9" wp14:editId="3B76DA7B">
                <wp:extent cx="304800" cy="304800"/>
                <wp:effectExtent l="0" t="0" r="0" b="0"/>
                <wp:docPr id="1826814991" name="AutoShape 1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1DB79A" id="AutoShape 17"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2422423" w14:textId="77777777" w:rsidR="004F6BC2" w:rsidRPr="007C1102" w:rsidRDefault="004F6BC2" w:rsidP="00410772">
      <w:pPr>
        <w:pStyle w:val="Heading3"/>
      </w:pPr>
      <w:bookmarkStart w:id="20" w:name="_Toc210069331"/>
      <w:r w:rsidRPr="007C1102">
        <w:t>Figure 1:</w:t>
      </w:r>
      <w:bookmarkEnd w:id="20"/>
      <w:r w:rsidRPr="007C1102">
        <w:t xml:space="preserve"> </w:t>
      </w:r>
    </w:p>
    <w:p w14:paraId="2FF1A3F2" w14:textId="67AF992D" w:rsidR="004F6BC2" w:rsidRPr="007C1102" w:rsidRDefault="004F6BC2" w:rsidP="00410772">
      <w:pPr>
        <w:pStyle w:val="Heading3"/>
        <w:rPr>
          <w:strike/>
        </w:rPr>
      </w:pPr>
      <w:bookmarkStart w:id="21" w:name="_Toc210069332"/>
      <w:r w:rsidRPr="007C1102">
        <w:t>The Research Onion (</w:t>
      </w:r>
      <w:r w:rsidR="003030E3" w:rsidRPr="007C1102">
        <w:t>Adapted from:</w:t>
      </w:r>
      <w:r w:rsidRPr="007C1102">
        <w:t xml:space="preserve"> Saunders, Lewis and Thornhill, 2019</w:t>
      </w:r>
      <w:r w:rsidR="003030E3" w:rsidRPr="007C1102">
        <w:t>)</w:t>
      </w:r>
      <w:bookmarkEnd w:id="21"/>
      <w:r w:rsidR="003030E3" w:rsidRPr="007C1102">
        <w:t xml:space="preserve"> </w:t>
      </w:r>
    </w:p>
    <w:p w14:paraId="0E62744E" w14:textId="77777777" w:rsidR="00F42317" w:rsidRDefault="00F42317" w:rsidP="00F42317">
      <w:pPr>
        <w:jc w:val="both"/>
        <w:rPr>
          <w:color w:val="156082" w:themeColor="accent1"/>
        </w:rPr>
      </w:pPr>
    </w:p>
    <w:p w14:paraId="49BC4798" w14:textId="3F5229CD" w:rsidR="00F42317" w:rsidRPr="00D655F0" w:rsidRDefault="002D1A57" w:rsidP="00121B31">
      <w:pPr>
        <w:pStyle w:val="Heading2"/>
        <w:rPr>
          <w:rFonts w:ascii="Arial" w:hAnsi="Arial" w:cs="Arial"/>
          <w:sz w:val="24"/>
          <w:szCs w:val="24"/>
        </w:rPr>
      </w:pPr>
      <w:bookmarkStart w:id="22" w:name="_Toc210069333"/>
      <w:r>
        <w:rPr>
          <w:rFonts w:ascii="Arial" w:hAnsi="Arial" w:cs="Arial"/>
          <w:sz w:val="24"/>
          <w:szCs w:val="24"/>
        </w:rPr>
        <w:t>5</w:t>
      </w:r>
      <w:r w:rsidR="00F42317" w:rsidRPr="00D655F0">
        <w:rPr>
          <w:rFonts w:ascii="Arial" w:hAnsi="Arial" w:cs="Arial"/>
          <w:sz w:val="24"/>
          <w:szCs w:val="24"/>
        </w:rPr>
        <w:t>.4 Research Design</w:t>
      </w:r>
      <w:bookmarkEnd w:id="22"/>
    </w:p>
    <w:p w14:paraId="57136696" w14:textId="77BCAE48" w:rsidR="00F42317" w:rsidRPr="00D655F0" w:rsidRDefault="00F42317" w:rsidP="003030E3">
      <w:pPr>
        <w:spacing w:line="360" w:lineRule="auto"/>
        <w:jc w:val="both"/>
      </w:pPr>
      <w:r w:rsidRPr="00D655F0">
        <w:t xml:space="preserve">A qualitative case study design was used, allowing in-depth exploration of context-specific issues (Walker </w:t>
      </w:r>
      <w:r w:rsidR="00A62101">
        <w:t>and</w:t>
      </w:r>
      <w:r w:rsidRPr="00D655F0">
        <w:t xml:space="preserve"> Solvason, 2014). Semi-structured interviews were the primary </w:t>
      </w:r>
      <w:r w:rsidR="003030E3">
        <w:t xml:space="preserve">data collection </w:t>
      </w:r>
      <w:r w:rsidRPr="00D655F0">
        <w:t xml:space="preserve">method, offering consistency while enabling flexibility to probe emerging themes (Kallio </w:t>
      </w:r>
      <w:r w:rsidRPr="00586B96">
        <w:rPr>
          <w:i/>
          <w:iCs/>
        </w:rPr>
        <w:t>et al</w:t>
      </w:r>
      <w:r w:rsidRPr="00D655F0">
        <w:t>., 2016). To strengthen validity, interviews were triangulated with secondary data, including HR policy documents, training logs, and benchmarking literature.</w:t>
      </w:r>
    </w:p>
    <w:p w14:paraId="7453EFA6" w14:textId="4336E23F" w:rsidR="001105AD" w:rsidRPr="001105AD" w:rsidRDefault="001105AD" w:rsidP="001105AD">
      <w:pPr>
        <w:spacing w:line="360" w:lineRule="auto"/>
        <w:jc w:val="both"/>
      </w:pPr>
      <w:r w:rsidRPr="001105AD">
        <w:t xml:space="preserve">Six mid-level line managers were interviewed, all directly involved in the post-merger transition. Purposive sampling ensured participants were positioned at the intersection of strategic and operational duties, maximising the relevance and richness of the data (Tajik, Golzar </w:t>
      </w:r>
      <w:r w:rsidR="00A62101">
        <w:t>and</w:t>
      </w:r>
      <w:r w:rsidRPr="001105AD">
        <w:t xml:space="preserve"> Noor, 2025).</w:t>
      </w:r>
    </w:p>
    <w:p w14:paraId="531DA68B" w14:textId="77777777" w:rsidR="001105AD" w:rsidRPr="001105AD" w:rsidRDefault="001105AD" w:rsidP="001105AD">
      <w:pPr>
        <w:spacing w:line="360" w:lineRule="auto"/>
        <w:jc w:val="both"/>
      </w:pPr>
      <w:r w:rsidRPr="001105AD">
        <w:t>Collectively, these managers oversee approximately 192 employees, representing around 72% of AFI’s total workforce (~265 employees). This broad coverage highlights the significant scale and strategic importance of their devolved HR responsibilities and demonstrates that their perspectives are highly representative of the post-merger people experience.</w:t>
      </w:r>
    </w:p>
    <w:p w14:paraId="338B0A6C" w14:textId="77777777" w:rsidR="001105AD" w:rsidRPr="001105AD" w:rsidRDefault="001105AD" w:rsidP="001105AD">
      <w:pPr>
        <w:spacing w:line="360" w:lineRule="auto"/>
        <w:jc w:val="both"/>
      </w:pPr>
      <w:r w:rsidRPr="001105AD">
        <w:lastRenderedPageBreak/>
        <w:t>A detailed breakdown of participant roles, departmental functions, and the number of direct reports is provided in Appendix 3, evidencing the scope of their influence and reinforcing the validity of the sample in capturing organisation-wide change impacts.</w:t>
      </w:r>
    </w:p>
    <w:p w14:paraId="09943118" w14:textId="7002D94D" w:rsidR="00F42317" w:rsidRPr="001105AD" w:rsidRDefault="002D1A57" w:rsidP="001105AD">
      <w:pPr>
        <w:pStyle w:val="Heading2"/>
        <w:rPr>
          <w:rFonts w:ascii="Arial" w:hAnsi="Arial" w:cs="Arial"/>
          <w:sz w:val="24"/>
          <w:szCs w:val="24"/>
        </w:rPr>
      </w:pPr>
      <w:bookmarkStart w:id="23" w:name="_Toc210069334"/>
      <w:r w:rsidRPr="001105AD">
        <w:rPr>
          <w:rFonts w:ascii="Arial" w:hAnsi="Arial" w:cs="Arial"/>
          <w:sz w:val="24"/>
          <w:szCs w:val="24"/>
        </w:rPr>
        <w:t>5</w:t>
      </w:r>
      <w:r w:rsidR="00F42317" w:rsidRPr="001105AD">
        <w:rPr>
          <w:rFonts w:ascii="Arial" w:hAnsi="Arial" w:cs="Arial"/>
          <w:sz w:val="24"/>
          <w:szCs w:val="24"/>
        </w:rPr>
        <w:t>.6 Data Collection</w:t>
      </w:r>
      <w:bookmarkEnd w:id="23"/>
    </w:p>
    <w:p w14:paraId="152C2603" w14:textId="482EFE5C" w:rsidR="00F42317" w:rsidRPr="00D655F0" w:rsidRDefault="00F42317" w:rsidP="003030E3">
      <w:pPr>
        <w:spacing w:line="360" w:lineRule="auto"/>
        <w:jc w:val="both"/>
      </w:pPr>
      <w:r w:rsidRPr="00D655F0">
        <w:t xml:space="preserve">Semi-structured interviews generated rich, contextualised accounts of managers’ evolving responsibilities (Creswell </w:t>
      </w:r>
      <w:r w:rsidR="002F36B1">
        <w:t>and</w:t>
      </w:r>
      <w:r w:rsidRPr="00D655F0">
        <w:t xml:space="preserve"> </w:t>
      </w:r>
      <w:proofErr w:type="spellStart"/>
      <w:r w:rsidRPr="00D655F0">
        <w:t>Poth</w:t>
      </w:r>
      <w:proofErr w:type="spellEnd"/>
      <w:r w:rsidRPr="00D655F0">
        <w:t>, 2018). While time-intensive and vulnerable to bias, risks were mitigated through a standardised interview guide and confidentiality assurances. Secondary data sources included HR records, policies, training logs, and external benchmarking, enhancing validity by situating accounts in organisational practice (Flick, 2018).</w:t>
      </w:r>
    </w:p>
    <w:p w14:paraId="59BB05B7" w14:textId="68322CAE" w:rsidR="00F42317" w:rsidRPr="00D655F0" w:rsidRDefault="002D1A57" w:rsidP="00121B31">
      <w:pPr>
        <w:pStyle w:val="Heading2"/>
        <w:rPr>
          <w:rFonts w:ascii="Arial" w:hAnsi="Arial" w:cs="Arial"/>
          <w:sz w:val="24"/>
          <w:szCs w:val="24"/>
        </w:rPr>
      </w:pPr>
      <w:bookmarkStart w:id="24" w:name="_Toc210069335"/>
      <w:r>
        <w:rPr>
          <w:rFonts w:ascii="Arial" w:hAnsi="Arial" w:cs="Arial"/>
          <w:sz w:val="24"/>
          <w:szCs w:val="24"/>
        </w:rPr>
        <w:t>5</w:t>
      </w:r>
      <w:r w:rsidR="00F42317" w:rsidRPr="00D655F0">
        <w:rPr>
          <w:rFonts w:ascii="Arial" w:hAnsi="Arial" w:cs="Arial"/>
          <w:sz w:val="24"/>
          <w:szCs w:val="24"/>
        </w:rPr>
        <w:t>.7 Data Analysis</w:t>
      </w:r>
      <w:bookmarkEnd w:id="24"/>
    </w:p>
    <w:p w14:paraId="76D716C1" w14:textId="6C12A864" w:rsidR="00F42317" w:rsidRPr="00D655F0" w:rsidRDefault="00F42317" w:rsidP="003030E3">
      <w:pPr>
        <w:spacing w:line="360" w:lineRule="auto"/>
        <w:jc w:val="both"/>
      </w:pPr>
      <w:r w:rsidRPr="00D655F0">
        <w:t xml:space="preserve">Transcripts were analysed thematically using Braun and Clarke’s (2006) six-step process, supported by reflexivity (Braun </w:t>
      </w:r>
      <w:r w:rsidR="00A62101">
        <w:t>and</w:t>
      </w:r>
      <w:r w:rsidRPr="00D655F0">
        <w:t xml:space="preserve"> Clarke, 2021). Although AI-assisted analysis is emerging (Goyanes </w:t>
      </w:r>
      <w:r w:rsidRPr="009D538E">
        <w:rPr>
          <w:i/>
          <w:iCs/>
        </w:rPr>
        <w:t>et al</w:t>
      </w:r>
      <w:r w:rsidRPr="00D655F0">
        <w:t xml:space="preserve">., 2025), manual coding was chosen to preserve nuance. Five-point Likert ratings on communication, confidence, and training added a limited quantitative dimension for structured comparisons (Joshi </w:t>
      </w:r>
      <w:r w:rsidRPr="009D538E">
        <w:rPr>
          <w:i/>
          <w:iCs/>
        </w:rPr>
        <w:t>et al</w:t>
      </w:r>
      <w:r w:rsidRPr="00D655F0">
        <w:t>., 2015).</w:t>
      </w:r>
    </w:p>
    <w:p w14:paraId="3490E765" w14:textId="70BC814D" w:rsidR="00F42317" w:rsidRPr="00D655F0" w:rsidRDefault="002D1A57" w:rsidP="00121B31">
      <w:pPr>
        <w:pStyle w:val="Heading2"/>
        <w:rPr>
          <w:rFonts w:ascii="Arial" w:hAnsi="Arial" w:cs="Arial"/>
          <w:sz w:val="24"/>
          <w:szCs w:val="24"/>
        </w:rPr>
      </w:pPr>
      <w:bookmarkStart w:id="25" w:name="_Toc210069336"/>
      <w:r>
        <w:rPr>
          <w:rFonts w:ascii="Arial" w:hAnsi="Arial" w:cs="Arial"/>
          <w:sz w:val="24"/>
          <w:szCs w:val="24"/>
        </w:rPr>
        <w:t>5</w:t>
      </w:r>
      <w:r w:rsidR="00F42317" w:rsidRPr="00D655F0">
        <w:rPr>
          <w:rFonts w:ascii="Arial" w:hAnsi="Arial" w:cs="Arial"/>
          <w:sz w:val="24"/>
          <w:szCs w:val="24"/>
        </w:rPr>
        <w:t>.8 Ethical Considerations</w:t>
      </w:r>
      <w:bookmarkEnd w:id="25"/>
    </w:p>
    <w:p w14:paraId="3609DC24" w14:textId="26A8BA20" w:rsidR="00F42317" w:rsidRPr="00D655F0" w:rsidRDefault="00F42317" w:rsidP="003030E3">
      <w:pPr>
        <w:spacing w:line="360" w:lineRule="auto"/>
        <w:jc w:val="both"/>
      </w:pPr>
      <w:r w:rsidRPr="00D655F0">
        <w:t>Ethical approval was secured before data collection. Participants gave informed consent, were assured of confidentiality and anonymity, and reminded of their right to withdraw. Data were securely stored in line with regulations, and reflexivity was maintained to minimise researcher bias and uphold integrity</w:t>
      </w:r>
      <w:r w:rsidR="00A62101">
        <w:t xml:space="preserve"> (BERA, 2024</w:t>
      </w:r>
      <w:r w:rsidR="00F119C4">
        <w:t>)</w:t>
      </w:r>
      <w:r w:rsidRPr="00D655F0">
        <w:t>.</w:t>
      </w:r>
    </w:p>
    <w:p w14:paraId="15AC3625" w14:textId="7FD8FF5F" w:rsidR="007715AB" w:rsidRPr="00742956" w:rsidRDefault="002D1A57" w:rsidP="00121B31">
      <w:pPr>
        <w:pStyle w:val="Heading1"/>
        <w:rPr>
          <w:rFonts w:ascii="Arial" w:hAnsi="Arial" w:cs="Arial"/>
          <w:sz w:val="32"/>
          <w:szCs w:val="32"/>
          <w:u w:val="single"/>
        </w:rPr>
      </w:pPr>
      <w:bookmarkStart w:id="26" w:name="_Toc210069337"/>
      <w:r w:rsidRPr="00742956">
        <w:rPr>
          <w:rFonts w:ascii="Arial" w:hAnsi="Arial" w:cs="Arial"/>
          <w:sz w:val="32"/>
          <w:szCs w:val="32"/>
          <w:u w:val="single"/>
        </w:rPr>
        <w:t>6.</w:t>
      </w:r>
      <w:r w:rsidR="007715AB" w:rsidRPr="00742956">
        <w:rPr>
          <w:rFonts w:ascii="Arial" w:hAnsi="Arial" w:cs="Arial"/>
          <w:sz w:val="32"/>
          <w:szCs w:val="32"/>
          <w:u w:val="single"/>
        </w:rPr>
        <w:t xml:space="preserve"> Research Findings</w:t>
      </w:r>
      <w:bookmarkEnd w:id="26"/>
      <w:r w:rsidR="00921AA0" w:rsidRPr="00742956">
        <w:rPr>
          <w:rFonts w:ascii="Arial" w:hAnsi="Arial" w:cs="Arial"/>
          <w:sz w:val="32"/>
          <w:szCs w:val="32"/>
          <w:u w:val="single"/>
        </w:rPr>
        <w:t xml:space="preserve"> </w:t>
      </w:r>
    </w:p>
    <w:p w14:paraId="7A9C5C0C" w14:textId="77777777" w:rsidR="006F641E" w:rsidRPr="006F641E" w:rsidRDefault="006F641E" w:rsidP="006F641E">
      <w:pPr>
        <w:spacing w:line="360" w:lineRule="auto"/>
        <w:jc w:val="both"/>
      </w:pPr>
      <w:r w:rsidRPr="006F641E">
        <w:t>Thematic analysis of the six interviews generated six overarching themes: emotional readiness, confidence and capability, communication and support, training and development, cultural integration and team dynamics, and opportunities for improvement (Braun and Clarke, 2006).</w:t>
      </w:r>
    </w:p>
    <w:p w14:paraId="5B843018" w14:textId="77777777" w:rsidR="006F641E" w:rsidRPr="006F641E" w:rsidRDefault="006F641E" w:rsidP="006F641E">
      <w:pPr>
        <w:spacing w:line="360" w:lineRule="auto"/>
        <w:jc w:val="both"/>
      </w:pPr>
      <w:r w:rsidRPr="006F641E">
        <w:t>To ensure transparency and rigour, a Thematic Analysis Table was developed to evidence the progression from raw data to codes, sub-themes, and overarching themes. This table illustrates how participant quotes were systematically coded and grouped, providing a clear audit trail of the analytical process. The full table is included in Appendix 4.</w:t>
      </w:r>
    </w:p>
    <w:p w14:paraId="7935ECBF" w14:textId="77777777" w:rsidR="006F641E" w:rsidRPr="006F641E" w:rsidRDefault="006F641E" w:rsidP="006F641E">
      <w:pPr>
        <w:spacing w:line="360" w:lineRule="auto"/>
        <w:jc w:val="both"/>
      </w:pPr>
      <w:r w:rsidRPr="006F641E">
        <w:lastRenderedPageBreak/>
        <w:t>Sentiment coding (positive, neutral, negative) was also applied to capture variation in tone, ensuring that both converging and diverging perspectives were represented rather than reducing findings to consensus alone.</w:t>
      </w:r>
    </w:p>
    <w:p w14:paraId="24C84809" w14:textId="77777777" w:rsidR="006F641E" w:rsidRPr="006F641E" w:rsidRDefault="006F641E" w:rsidP="006F641E">
      <w:pPr>
        <w:spacing w:line="360" w:lineRule="auto"/>
        <w:jc w:val="both"/>
      </w:pPr>
      <w:r w:rsidRPr="006F641E">
        <w:t xml:space="preserve">The distribution of responses indicated that some themes were more strongly shared than others. All six managers discussed emotional readiness, confidence, and communication in detail, underlining their salience to the post-merger experience. Training and development </w:t>
      </w:r>
      <w:proofErr w:type="gramStart"/>
      <w:r w:rsidRPr="006F641E">
        <w:t>was</w:t>
      </w:r>
      <w:proofErr w:type="gramEnd"/>
      <w:r w:rsidRPr="006F641E">
        <w:t xml:space="preserve"> raised by five managers, while cultural integration was noted by three, showing that although not universal, cultural tensions were a significant concern for half of the group. Finally, all six managers offered ideas for improvement, suggesting that reflection on future practice was a common and constructive outcome of the transition.</w:t>
      </w:r>
    </w:p>
    <w:p w14:paraId="5A85A33C" w14:textId="77777777" w:rsidR="0076210D" w:rsidRPr="0076210D" w:rsidRDefault="0076210D" w:rsidP="0076210D">
      <w:pPr>
        <w:spacing w:line="360" w:lineRule="auto"/>
        <w:jc w:val="both"/>
      </w:pPr>
      <w:r w:rsidRPr="0076210D">
        <w:t>Taken together, these themes reveal a balance between individual-level experiences (emotional readiness, confidence, capability) and organisational-level processes (training, communication, cultural integration), with opportunities for improvement bridging the two. They also highlight the organisational risks of leaving issues such as role ambiguity, insufficient training, and inconsistent communication unresolved, particularly in a high-pressure post-merger context. Each theme maps directly to the four research objectives: identifying HR-related challenges, capturing line managers’ perspectives, evaluating practices against established models, and generating evidence-based recommendations.</w:t>
      </w:r>
    </w:p>
    <w:p w14:paraId="53D40AE3" w14:textId="47439F0B" w:rsidR="0076210D" w:rsidRPr="0076210D" w:rsidRDefault="0076210D" w:rsidP="0076210D">
      <w:pPr>
        <w:spacing w:line="360" w:lineRule="auto"/>
        <w:jc w:val="both"/>
      </w:pPr>
      <w:r w:rsidRPr="0076210D">
        <w:t xml:space="preserve">Classical frameworks such as the Kübler-Ross Change Curve (1969), Kotter’s (1996) Eight-Step Model, Bandura’s (1977) Self-Efficacy Theory, and Ulrich’s (1997) HR Business Partner model provided explanatory anchors. Contemporary perspectives—Agile Change (Appelo, 2011), psychological safety (Edmondson, 2019), and CIPD’s (2023) digital HR guidance—added nuance, capturing the realities of hybrid, post-merger contexts. Using this dual lens not only enhanced analytical rigour but also ensured the findings remained practical and relevant. Overall, the analysis contributes directly to AFI’s business case by demonstrating how line </w:t>
      </w:r>
      <w:r w:rsidR="009D538E" w:rsidRPr="0076210D">
        <w:t>managers</w:t>
      </w:r>
      <w:r w:rsidRPr="0076210D">
        <w:t xml:space="preserve"> lived experiences connect people practices to strategic outcomes.</w:t>
      </w:r>
    </w:p>
    <w:p w14:paraId="1DECD9F1" w14:textId="08B29B5B" w:rsidR="007715AB" w:rsidRPr="0076210D" w:rsidRDefault="00742956" w:rsidP="0076210D">
      <w:pPr>
        <w:spacing w:line="360" w:lineRule="auto"/>
        <w:jc w:val="both"/>
        <w:rPr>
          <w:rFonts w:eastAsiaTheme="majorEastAsia"/>
          <w:color w:val="0F4761" w:themeColor="accent1" w:themeShade="BF"/>
        </w:rPr>
      </w:pPr>
      <w:r w:rsidRPr="0076210D">
        <w:rPr>
          <w:rFonts w:eastAsiaTheme="majorEastAsia"/>
          <w:color w:val="0F4761" w:themeColor="accent1" w:themeShade="BF"/>
        </w:rPr>
        <w:t>6</w:t>
      </w:r>
      <w:r w:rsidR="007715AB" w:rsidRPr="0076210D">
        <w:rPr>
          <w:rFonts w:eastAsiaTheme="majorEastAsia"/>
          <w:color w:val="0F4761" w:themeColor="accent1" w:themeShade="BF"/>
        </w:rPr>
        <w:t>.1 Emotional Readiness and Initial Reactions</w:t>
      </w:r>
    </w:p>
    <w:p w14:paraId="17922867" w14:textId="66217BCF" w:rsidR="006064DE" w:rsidRPr="00D655F0" w:rsidRDefault="001846C7" w:rsidP="00495E94">
      <w:pPr>
        <w:spacing w:line="360" w:lineRule="auto"/>
        <w:jc w:val="both"/>
      </w:pPr>
      <w:r w:rsidRPr="001846C7">
        <w:t xml:space="preserve">All six managers reported strong emotional responses, though the nature of these varied. Three described the transition as stressful and ambiguous, two highlighted </w:t>
      </w:r>
      <w:r w:rsidRPr="001846C7">
        <w:lastRenderedPageBreak/>
        <w:t>adaptability and resilience, and one expressed a mix of positive and negative reactions. For example, Manager 1 noted the process was “challenging, slightly ambiguous,” while Manager 2 reflected, “At first it was a lot, but I’ve learned to manage my emotions and get on with it.” These experiences broadly align with the Kübler-Ross Change Curve (1969), which charts a trajectory from resistance to acceptance, yet the diversity of reactions suggests that such linear models oversimplify lived experiences. Edmondson’s (2019) concept of psychological safety provides a more flexible lens, showing that resilience was stronger when managers felt able to voice concerns without fear of reprisal.</w:t>
      </w:r>
    </w:p>
    <w:p w14:paraId="7FFD898D" w14:textId="46C6E6B1" w:rsidR="007715AB" w:rsidRPr="00D655F0" w:rsidRDefault="00742956" w:rsidP="00121B31">
      <w:pPr>
        <w:pStyle w:val="Heading2"/>
        <w:rPr>
          <w:rFonts w:ascii="Arial" w:hAnsi="Arial" w:cs="Arial"/>
          <w:sz w:val="24"/>
          <w:szCs w:val="24"/>
        </w:rPr>
      </w:pPr>
      <w:bookmarkStart w:id="27" w:name="_Toc210069338"/>
      <w:r>
        <w:rPr>
          <w:rFonts w:ascii="Arial" w:hAnsi="Arial" w:cs="Arial"/>
          <w:sz w:val="24"/>
          <w:szCs w:val="24"/>
        </w:rPr>
        <w:t>6</w:t>
      </w:r>
      <w:r w:rsidR="007715AB" w:rsidRPr="00D655F0">
        <w:rPr>
          <w:rFonts w:ascii="Arial" w:hAnsi="Arial" w:cs="Arial"/>
          <w:sz w:val="24"/>
          <w:szCs w:val="24"/>
        </w:rPr>
        <w:t>.2 Confidence and Capability in New Responsibilities</w:t>
      </w:r>
      <w:bookmarkEnd w:id="27"/>
    </w:p>
    <w:p w14:paraId="26D49FC9" w14:textId="27315486" w:rsidR="00662A00" w:rsidRPr="00662A00" w:rsidRDefault="004F75D4" w:rsidP="00495E94">
      <w:pPr>
        <w:spacing w:line="360" w:lineRule="auto"/>
        <w:jc w:val="both"/>
      </w:pPr>
      <w:r w:rsidRPr="004F75D4">
        <w:t xml:space="preserve">Despite emotional strain, all </w:t>
      </w:r>
      <w:r w:rsidR="00662A00" w:rsidRPr="00662A00">
        <w:t>six managers rated themselves between four and five out of five in confidence when handling their expanded responsibilities. Despite this, confidence was undermined by ambiguity and unclear expectations. As Manager 3 explained, “We’re being asked to do more, but there’s been little clarity on what success looks like.” This contrast between internal competence and external direction resonates with Bandura’s (1977) Self-Efficacy Theory, which emphasises the role of feedback, recognition, and clarity in sustaining performance. In the absence of such reinforcement, frustration and uncertainty emerged, revealing a gap between perceived capability and organisational support.</w:t>
      </w:r>
    </w:p>
    <w:p w14:paraId="6BC3E827" w14:textId="5533E5C4" w:rsidR="007715AB" w:rsidRPr="00D655F0" w:rsidRDefault="00742956" w:rsidP="00121B31">
      <w:pPr>
        <w:pStyle w:val="Heading2"/>
        <w:rPr>
          <w:rFonts w:ascii="Arial" w:hAnsi="Arial" w:cs="Arial"/>
          <w:sz w:val="24"/>
          <w:szCs w:val="24"/>
        </w:rPr>
      </w:pPr>
      <w:bookmarkStart w:id="28" w:name="_Toc210069339"/>
      <w:r>
        <w:rPr>
          <w:rFonts w:ascii="Arial" w:hAnsi="Arial" w:cs="Arial"/>
          <w:sz w:val="24"/>
          <w:szCs w:val="24"/>
        </w:rPr>
        <w:t>6</w:t>
      </w:r>
      <w:r w:rsidR="007715AB" w:rsidRPr="00D655F0">
        <w:rPr>
          <w:rFonts w:ascii="Arial" w:hAnsi="Arial" w:cs="Arial"/>
          <w:sz w:val="24"/>
          <w:szCs w:val="24"/>
        </w:rPr>
        <w:t>.3 Training and Development Experience</w:t>
      </w:r>
      <w:bookmarkEnd w:id="28"/>
    </w:p>
    <w:p w14:paraId="55AE022C" w14:textId="15AF3579" w:rsidR="007715AB" w:rsidRPr="00D655F0" w:rsidRDefault="00662A00" w:rsidP="00495E94">
      <w:pPr>
        <w:spacing w:line="360" w:lineRule="auto"/>
        <w:jc w:val="both"/>
      </w:pPr>
      <w:r w:rsidRPr="00662A00">
        <w:t>Five of the six managers criticised the training provision, describing it as generic, poorly timed, and disconnected from their actual needs. Manager 4 reflected, “We weren’t prepared before launch</w:t>
      </w:r>
      <w:r w:rsidR="009D538E">
        <w:t xml:space="preserve"> </w:t>
      </w:r>
      <w:r w:rsidRPr="00662A00">
        <w:t>no real induction,” while Manager 5 described the “learn as you go” approach as ineffective. One manager acknowledged some value, noting the training was “useful but too condensed.” These views reflect Herzberg’s (1959) Two-Factor Theory: while effective, relevant training can motivate, its absence becomes a hygiene factor that fosters dissatisfaction. The lack of role-specific preparation left managers feeling unsupported in their transition, reinforcing the importance of context-sensitive and modular approaches (Kirkpatrick, 1994).</w:t>
      </w:r>
    </w:p>
    <w:p w14:paraId="0F96424E" w14:textId="4FBEED41" w:rsidR="007715AB" w:rsidRPr="00D655F0" w:rsidRDefault="00742956" w:rsidP="00121B31">
      <w:pPr>
        <w:pStyle w:val="Heading2"/>
        <w:rPr>
          <w:rFonts w:ascii="Arial" w:hAnsi="Arial" w:cs="Arial"/>
          <w:sz w:val="24"/>
          <w:szCs w:val="24"/>
        </w:rPr>
      </w:pPr>
      <w:bookmarkStart w:id="29" w:name="_Toc210069340"/>
      <w:r>
        <w:rPr>
          <w:rFonts w:ascii="Arial" w:hAnsi="Arial" w:cs="Arial"/>
          <w:sz w:val="24"/>
          <w:szCs w:val="24"/>
        </w:rPr>
        <w:t>6</w:t>
      </w:r>
      <w:r w:rsidR="007715AB" w:rsidRPr="00D655F0">
        <w:rPr>
          <w:rFonts w:ascii="Arial" w:hAnsi="Arial" w:cs="Arial"/>
          <w:sz w:val="24"/>
          <w:szCs w:val="24"/>
        </w:rPr>
        <w:t>.4 Communication and Support Structures</w:t>
      </w:r>
      <w:bookmarkEnd w:id="29"/>
    </w:p>
    <w:p w14:paraId="1D15F9BC" w14:textId="670BEA0A" w:rsidR="00863AAE" w:rsidRDefault="00863AAE" w:rsidP="00CF01BA">
      <w:pPr>
        <w:spacing w:line="360" w:lineRule="auto"/>
        <w:jc w:val="both"/>
      </w:pPr>
      <w:r w:rsidRPr="00863AAE">
        <w:t xml:space="preserve">All six managers confirmed receiving regular communication, mainly in the form of weekly email updates and virtual meetings. However, four described these as inconsistent or unclear. Manager 3 noted, “There were lots of messages, but not all of </w:t>
      </w:r>
      <w:r w:rsidRPr="00863AAE">
        <w:lastRenderedPageBreak/>
        <w:t>them made sense or were timely enough to help.” Several also observed that virtual formats were less engaging than face-to-face exchanges, limiting their impact. This supports Kotter’s (1996) view that effective communication must be clear, compelling, and consistent. In AFI’s case, the frequency of updates did not compensate for their lack of clarity or practical guidance, leading to feelings of information overload rather than reassurance</w:t>
      </w:r>
      <w:r w:rsidR="00CF01BA">
        <w:t>.</w:t>
      </w:r>
    </w:p>
    <w:p w14:paraId="7D08D3BD" w14:textId="2FC0F948" w:rsidR="007715AB" w:rsidRPr="00D655F0" w:rsidRDefault="00742956" w:rsidP="00121B31">
      <w:pPr>
        <w:pStyle w:val="Heading2"/>
        <w:rPr>
          <w:rFonts w:ascii="Arial" w:hAnsi="Arial" w:cs="Arial"/>
          <w:sz w:val="24"/>
          <w:szCs w:val="24"/>
        </w:rPr>
      </w:pPr>
      <w:bookmarkStart w:id="30" w:name="_Toc210069341"/>
      <w:r>
        <w:rPr>
          <w:rFonts w:ascii="Arial" w:hAnsi="Arial" w:cs="Arial"/>
          <w:sz w:val="24"/>
          <w:szCs w:val="24"/>
        </w:rPr>
        <w:t>6</w:t>
      </w:r>
      <w:r w:rsidR="007715AB" w:rsidRPr="00D655F0">
        <w:rPr>
          <w:rFonts w:ascii="Arial" w:hAnsi="Arial" w:cs="Arial"/>
          <w:sz w:val="24"/>
          <w:szCs w:val="24"/>
        </w:rPr>
        <w:t>.5 Cultural Fit and Organisational Barriers</w:t>
      </w:r>
      <w:bookmarkEnd w:id="30"/>
    </w:p>
    <w:p w14:paraId="511F22E6" w14:textId="77777777" w:rsidR="00863AAE" w:rsidRDefault="00863AAE" w:rsidP="00CF01BA">
      <w:pPr>
        <w:spacing w:line="360" w:lineRule="auto"/>
        <w:jc w:val="both"/>
      </w:pPr>
      <w:r w:rsidRPr="00863AAE">
        <w:t>Three managers raised concerns about tensions between the UK and Danish teams, citing differences in leadership styles and decision-making processes. Manager 5 reflected, “Sometimes it feels like decisions are made without proper input from local teams.” Others, however, described integration as generally supportive, suggesting cultural misalignment was not universally felt but remained a significant barrier for some. These experiences underscore the importance of cultural alignment in post-merger contexts and reflect Ulrich’s (1997) argument that HR must act as a unifying force across geographies. Persistent frictions highlight deeper issues of power, voice, and representation within the new structure.</w:t>
      </w:r>
    </w:p>
    <w:p w14:paraId="35EC5DA9" w14:textId="314B4C35" w:rsidR="007715AB" w:rsidRPr="00D655F0" w:rsidRDefault="00742956" w:rsidP="00121B31">
      <w:pPr>
        <w:pStyle w:val="Heading2"/>
        <w:rPr>
          <w:rFonts w:ascii="Arial" w:hAnsi="Arial" w:cs="Arial"/>
          <w:sz w:val="24"/>
          <w:szCs w:val="24"/>
        </w:rPr>
      </w:pPr>
      <w:bookmarkStart w:id="31" w:name="_Toc210069342"/>
      <w:r>
        <w:rPr>
          <w:rFonts w:ascii="Arial" w:hAnsi="Arial" w:cs="Arial"/>
          <w:sz w:val="24"/>
          <w:szCs w:val="24"/>
        </w:rPr>
        <w:t>6</w:t>
      </w:r>
      <w:r w:rsidR="007715AB" w:rsidRPr="00D655F0">
        <w:rPr>
          <w:rFonts w:ascii="Arial" w:hAnsi="Arial" w:cs="Arial"/>
          <w:sz w:val="24"/>
          <w:szCs w:val="24"/>
        </w:rPr>
        <w:t>.6 Opportunities for Improvement and Risk Awareness</w:t>
      </w:r>
      <w:bookmarkEnd w:id="31"/>
    </w:p>
    <w:p w14:paraId="47D1E347" w14:textId="0E2E2850" w:rsidR="007715AB" w:rsidRPr="00D655F0" w:rsidRDefault="00672729" w:rsidP="00B2391F">
      <w:pPr>
        <w:spacing w:line="360" w:lineRule="auto"/>
        <w:jc w:val="both"/>
      </w:pPr>
      <w:r w:rsidRPr="00672729">
        <w:t>All six managers proposed constructive suggestions for improvement, ranging from clearer role definitions to cross-site mentoring and agile implementation teams. Manager 6 warned, “If we don’t address the training and clarity gaps, we’ll stay stuck in the transition for far too long.” These insights resonate with Weiner’s (2009) theory of organisational readiness for change, which emphasises the need for both belief in change and confidence in the organisation’s ability to deliver it. While managers demonstrated willingness to adapt, they also highlighted risks such as burnout and disengagement if systemic challenges were left unresolved.</w:t>
      </w:r>
    </w:p>
    <w:p w14:paraId="5A08EE30" w14:textId="063D1DEE" w:rsidR="007715AB" w:rsidRPr="00D655F0" w:rsidRDefault="00742956" w:rsidP="00121B31">
      <w:pPr>
        <w:pStyle w:val="Heading2"/>
        <w:rPr>
          <w:rFonts w:ascii="Arial" w:hAnsi="Arial" w:cs="Arial"/>
          <w:sz w:val="24"/>
          <w:szCs w:val="24"/>
        </w:rPr>
      </w:pPr>
      <w:bookmarkStart w:id="32" w:name="_Toc210069343"/>
      <w:r>
        <w:rPr>
          <w:rFonts w:ascii="Arial" w:hAnsi="Arial" w:cs="Arial"/>
          <w:sz w:val="24"/>
          <w:szCs w:val="24"/>
        </w:rPr>
        <w:t>6</w:t>
      </w:r>
      <w:r w:rsidR="007715AB" w:rsidRPr="00D655F0">
        <w:rPr>
          <w:rFonts w:ascii="Arial" w:hAnsi="Arial" w:cs="Arial"/>
          <w:sz w:val="24"/>
          <w:szCs w:val="24"/>
        </w:rPr>
        <w:t xml:space="preserve">.7 </w:t>
      </w:r>
      <w:r w:rsidR="00A938F0" w:rsidRPr="00A938F0">
        <w:rPr>
          <w:rFonts w:ascii="Arial" w:hAnsi="Arial" w:cs="Arial"/>
          <w:sz w:val="24"/>
          <w:szCs w:val="24"/>
        </w:rPr>
        <w:t>Overall Synthesis</w:t>
      </w:r>
      <w:bookmarkEnd w:id="32"/>
    </w:p>
    <w:p w14:paraId="2BA05479" w14:textId="5BA23A50" w:rsidR="00121B31" w:rsidRPr="00D655F0" w:rsidRDefault="00672729" w:rsidP="00555F49">
      <w:pPr>
        <w:spacing w:line="360" w:lineRule="auto"/>
        <w:jc w:val="both"/>
      </w:pPr>
      <w:r w:rsidRPr="00672729">
        <w:t xml:space="preserve">Taken together, the six themes present a nuanced picture of AFI’s post-merger integration. Managers displayed resilience and confidence, yet their effectiveness was constrained by unclear expectations, inadequate training, inconsistent communication, and cultural tensions. Classical frameworks such as Kotter (1996), Herzberg (1959), and Bandura (1977) remain relevant in explaining these dynamics, but contemporary perspectives such as Edmondson’s (2019) psychological safety and CIPD’s (2023) digital HR guidance provide essential nuance for hybrid, cross-cultural </w:t>
      </w:r>
      <w:r w:rsidRPr="00672729">
        <w:lastRenderedPageBreak/>
        <w:t>contexts. These findings confirm that while AFI’s management-led HR model offers potential for agile leadership, its success depends on stronger support structures and targeted interventions.</w:t>
      </w:r>
      <w:r w:rsidR="007715AB" w:rsidRPr="00D655F0">
        <w:t xml:space="preserve"> </w:t>
      </w:r>
    </w:p>
    <w:p w14:paraId="384DD966" w14:textId="34F3D571" w:rsidR="00412DBD" w:rsidRPr="00D655F0" w:rsidRDefault="00412DBD" w:rsidP="005657F5">
      <w:pPr>
        <w:rPr>
          <w:vanish/>
        </w:rPr>
      </w:pPr>
      <w:r w:rsidRPr="00D655F0">
        <w:rPr>
          <w:vanish/>
        </w:rPr>
        <w:t>Top of Form</w:t>
      </w:r>
    </w:p>
    <w:p w14:paraId="1D99EE28" w14:textId="77777777" w:rsidR="00412DBD" w:rsidRPr="00D655F0" w:rsidRDefault="00412DBD" w:rsidP="00412DBD">
      <w:pPr>
        <w:jc w:val="both"/>
        <w:rPr>
          <w:vanish/>
        </w:rPr>
      </w:pPr>
      <w:r w:rsidRPr="00D655F0">
        <w:rPr>
          <w:vanish/>
        </w:rPr>
        <w:t>Bottom of Form</w:t>
      </w:r>
    </w:p>
    <w:p w14:paraId="35522EAD" w14:textId="77777777" w:rsidR="00412DBD" w:rsidRPr="00D655F0" w:rsidRDefault="00412DBD" w:rsidP="00412DBD">
      <w:pPr>
        <w:jc w:val="both"/>
      </w:pPr>
      <w:r w:rsidRPr="00D655F0">
        <w:rPr>
          <w:noProof/>
          <w:color w:val="FF0000"/>
        </w:rPr>
        <w:drawing>
          <wp:inline distT="0" distB="0" distL="0" distR="0" wp14:anchorId="0820CC6E" wp14:editId="6D4F3FD2">
            <wp:extent cx="5692018" cy="3362960"/>
            <wp:effectExtent l="0" t="0" r="4445" b="8890"/>
            <wp:docPr id="307013843" name="Picture 1" descr="A graph of numbers and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13843" name="Picture 1" descr="A graph of numbers and colors"/>
                    <pic:cNvPicPr/>
                  </pic:nvPicPr>
                  <pic:blipFill>
                    <a:blip r:embed="rId13"/>
                    <a:stretch>
                      <a:fillRect/>
                    </a:stretch>
                  </pic:blipFill>
                  <pic:spPr>
                    <a:xfrm>
                      <a:off x="0" y="0"/>
                      <a:ext cx="5703601" cy="3369803"/>
                    </a:xfrm>
                    <a:prstGeom prst="rect">
                      <a:avLst/>
                    </a:prstGeom>
                  </pic:spPr>
                </pic:pic>
              </a:graphicData>
            </a:graphic>
          </wp:inline>
        </w:drawing>
      </w:r>
    </w:p>
    <w:p w14:paraId="73E30875" w14:textId="50DED3E0" w:rsidR="00047839" w:rsidRPr="007C1102" w:rsidRDefault="00047839" w:rsidP="00410772">
      <w:pPr>
        <w:pStyle w:val="Heading3"/>
        <w:rPr>
          <w:color w:val="FF0000"/>
        </w:rPr>
      </w:pPr>
      <w:bookmarkStart w:id="33" w:name="_Toc210069344"/>
      <w:r w:rsidRPr="007C1102">
        <w:t xml:space="preserve">Figure 2 </w:t>
      </w:r>
      <w:r w:rsidR="000D557B">
        <w:t xml:space="preserve">This </w:t>
      </w:r>
      <w:r w:rsidR="007C1102" w:rsidRPr="007C1102">
        <w:t xml:space="preserve">graph </w:t>
      </w:r>
      <w:r w:rsidRPr="007C1102">
        <w:t xml:space="preserve">maps themes, </w:t>
      </w:r>
      <w:r w:rsidR="000D557B">
        <w:t xml:space="preserve">demonstrating </w:t>
      </w:r>
      <w:r w:rsidRPr="007C1102">
        <w:t>coherence between findings and aims.</w:t>
      </w:r>
      <w:bookmarkEnd w:id="33"/>
    </w:p>
    <w:p w14:paraId="2CD57AE4" w14:textId="77777777" w:rsidR="00412DBD" w:rsidRPr="00D655F0" w:rsidRDefault="00412DBD" w:rsidP="00412DBD">
      <w:pPr>
        <w:jc w:val="both"/>
        <w:rPr>
          <w:b/>
          <w:bCs/>
        </w:rPr>
      </w:pPr>
    </w:p>
    <w:p w14:paraId="6864B227" w14:textId="2FE1EE0B" w:rsidR="00141DFF" w:rsidRPr="002D1A57" w:rsidRDefault="002D1A57" w:rsidP="00121B31">
      <w:pPr>
        <w:pStyle w:val="Heading1"/>
        <w:rPr>
          <w:rFonts w:ascii="Arial" w:hAnsi="Arial" w:cs="Arial"/>
          <w:sz w:val="32"/>
          <w:szCs w:val="32"/>
          <w:u w:val="single"/>
        </w:rPr>
      </w:pPr>
      <w:bookmarkStart w:id="34" w:name="_Toc210069345"/>
      <w:r w:rsidRPr="002D1A57">
        <w:rPr>
          <w:rFonts w:ascii="Arial" w:hAnsi="Arial" w:cs="Arial"/>
          <w:sz w:val="32"/>
          <w:szCs w:val="32"/>
          <w:u w:val="single"/>
        </w:rPr>
        <w:t>8</w:t>
      </w:r>
      <w:r w:rsidR="00141DFF" w:rsidRPr="002D1A57">
        <w:rPr>
          <w:rFonts w:ascii="Arial" w:hAnsi="Arial" w:cs="Arial"/>
          <w:sz w:val="32"/>
          <w:szCs w:val="32"/>
          <w:u w:val="single"/>
        </w:rPr>
        <w:t>. Conclusion</w:t>
      </w:r>
      <w:bookmarkEnd w:id="34"/>
    </w:p>
    <w:p w14:paraId="1F0F7D67" w14:textId="7F02BCDA" w:rsidR="008A2E0B" w:rsidRPr="008A2E0B" w:rsidRDefault="008A2E0B" w:rsidP="00050334">
      <w:pPr>
        <w:spacing w:line="360" w:lineRule="auto"/>
        <w:jc w:val="both"/>
      </w:pPr>
      <w:r w:rsidRPr="008A2E0B">
        <w:t xml:space="preserve">This research examined the experiences of </w:t>
      </w:r>
      <w:proofErr w:type="gramStart"/>
      <w:r w:rsidRPr="008A2E0B">
        <w:t>six line</w:t>
      </w:r>
      <w:proofErr w:type="gramEnd"/>
      <w:r w:rsidRPr="008A2E0B">
        <w:t xml:space="preserve"> managers during AFI’s post-merger transformation, focusing on how they navigated evolving responsibilities as the link between strategic HR intentions and operational delivery. Thematic analysis of qualitative interviews, interpreted through classical and contemporary theories, provided a people-centred understanding of organisational change.</w:t>
      </w:r>
    </w:p>
    <w:p w14:paraId="304A8DEB" w14:textId="77777777" w:rsidR="008A2E0B" w:rsidRPr="008A2E0B" w:rsidRDefault="008A2E0B" w:rsidP="00050334">
      <w:pPr>
        <w:spacing w:line="360" w:lineRule="auto"/>
        <w:jc w:val="both"/>
      </w:pPr>
      <w:r w:rsidRPr="008A2E0B">
        <w:t xml:space="preserve">The findings align with the four objectives underpinning the study. Objective 1 was addressed through the identification of HR-related challenges, including training gaps (raised by five of the six managers), inconsistent communication (highlighted by all six managers), and cultural misalignment (noted by three managers). These findings echo Kotter’s (1996) view that capability-building and communication are vital for sustained change. Objective 2 was achieved by capturing managers’ confidence and capability: all six rated themselves highly (4–5/5), consistent with Bandura’s (1977) self-efficacy </w:t>
      </w:r>
      <w:r w:rsidRPr="008A2E0B">
        <w:lastRenderedPageBreak/>
        <w:t>theory, though this confidence was undermined by unclear expectations and limited organisational support. Objective 3 was met by evaluating training and communication against established models: Herzberg’s (1959) theory showed that effective, role-specific training can motivate, while generic provision generated frustration. Finally, Objective 4 was fulfilled by collating practical recommendations: all six managers offered constructive suggestions, including modular training, mentoring, and clearer role definitions, aligning with contemporary HR perspectives such as CIPD’s (2023) emphasis on digital HR and agile leadership.</w:t>
      </w:r>
    </w:p>
    <w:p w14:paraId="37333E5F" w14:textId="420F78AF" w:rsidR="008A2E0B" w:rsidRPr="008A2E0B" w:rsidRDefault="008A2E0B" w:rsidP="00050334">
      <w:pPr>
        <w:spacing w:line="360" w:lineRule="auto"/>
        <w:jc w:val="both"/>
      </w:pPr>
      <w:r w:rsidRPr="008A2E0B">
        <w:t xml:space="preserve">Several conclusions follow. Managers displayed confidence rooted in operational expertise, but this was weakened by role ambiguity, unclear success measures, and administrative burdens, consistent with Purcell and Hutchinson’s (2007) findings on devolved HR. Training, though welcomed, was widely criticised by five managers as generic and mistimed (Marchington </w:t>
      </w:r>
      <w:r w:rsidR="00F119C4">
        <w:t>and</w:t>
      </w:r>
      <w:r w:rsidRPr="008A2E0B">
        <w:t xml:space="preserve"> Wilkinson, 2016). Communication, while frequent, was rated as unclear or inconsistent by four managers, reinforcing Kotter’s (1996) emphasis on clarity. Cross-cultural tensions, noted by three managers, highlighted the need for political and cultural awareness (</w:t>
      </w:r>
      <w:proofErr w:type="spellStart"/>
      <w:r w:rsidRPr="008A2E0B">
        <w:t>Gromkowska-Melosik</w:t>
      </w:r>
      <w:proofErr w:type="spellEnd"/>
      <w:r w:rsidRPr="008A2E0B">
        <w:t>, 2023).</w:t>
      </w:r>
    </w:p>
    <w:p w14:paraId="43EC9FB9" w14:textId="77777777" w:rsidR="008A2E0B" w:rsidRPr="008A2E0B" w:rsidRDefault="008A2E0B" w:rsidP="00050334">
      <w:pPr>
        <w:spacing w:line="360" w:lineRule="auto"/>
        <w:jc w:val="both"/>
      </w:pPr>
      <w:r w:rsidRPr="008A2E0B">
        <w:t>The analysis confirmed the relevance of classical theories such as Kotter, Herzberg, and Bandura but also demonstrated their limitations when used in isolation. Contemporary frameworks provided nuance: Agile Change Management (Appelo, 2011) highlighted flexibility, Edmondson’s (2019) psychological safety explained variation in adaptability, and CIPD (2023) with Zipse et al. (2024) underscored the importance of digital HR and sustainability-driven transformation.</w:t>
      </w:r>
    </w:p>
    <w:p w14:paraId="67B8548C" w14:textId="77777777" w:rsidR="008A2E0B" w:rsidRDefault="008A2E0B" w:rsidP="00050334">
      <w:pPr>
        <w:spacing w:line="360" w:lineRule="auto"/>
        <w:jc w:val="both"/>
      </w:pPr>
      <w:r w:rsidRPr="008A2E0B">
        <w:t xml:space="preserve">In addressing the central aim, the study provides a robust business case for targeted HR intervention. Clearer role definitions, structured feedback (Ulrich, 1997), modular training (Kallio </w:t>
      </w:r>
      <w:r w:rsidRPr="002D0D99">
        <w:rPr>
          <w:i/>
          <w:iCs/>
        </w:rPr>
        <w:t>et al</w:t>
      </w:r>
      <w:r w:rsidRPr="008A2E0B">
        <w:t>., 2016), and cross-site mentoring are recommended, alongside greater leadership visibility and deeper HR involvement. Although based on a small sample, the findings offer transferable insights for HR professionals managing post-merger integration. With appropriate support, line managers can act not only as implementers of strategy but also as advocates and leaders of transformation.</w:t>
      </w:r>
    </w:p>
    <w:p w14:paraId="43F2B6A2" w14:textId="737B1F1F" w:rsidR="00050334" w:rsidRDefault="00050334">
      <w:pPr>
        <w:spacing w:line="278" w:lineRule="auto"/>
      </w:pPr>
      <w:r>
        <w:br w:type="page"/>
      </w:r>
    </w:p>
    <w:p w14:paraId="5565D821" w14:textId="77777777" w:rsidR="008A2E0B" w:rsidRPr="008A2E0B" w:rsidRDefault="008A2E0B" w:rsidP="008A2E0B">
      <w:pPr>
        <w:jc w:val="both"/>
      </w:pPr>
    </w:p>
    <w:p w14:paraId="0DF7EB5B" w14:textId="25905E9F" w:rsidR="00412DBD" w:rsidRPr="002D1A57" w:rsidRDefault="00412DBD" w:rsidP="008A2E0B">
      <w:pPr>
        <w:pStyle w:val="Heading1"/>
      </w:pPr>
      <w:bookmarkStart w:id="35" w:name="_Toc210069346"/>
      <w:r w:rsidRPr="002D1A57">
        <w:t>7. Reference List</w:t>
      </w:r>
      <w:bookmarkEnd w:id="35"/>
    </w:p>
    <w:p w14:paraId="0D61F041" w14:textId="77777777" w:rsidR="001A49F4" w:rsidRPr="001A49F4" w:rsidRDefault="001A49F4" w:rsidP="00742956">
      <w:pPr>
        <w:spacing w:line="259" w:lineRule="auto"/>
        <w:jc w:val="both"/>
      </w:pPr>
      <w:r w:rsidRPr="001A49F4">
        <w:t xml:space="preserve">Adair, J. (2016) </w:t>
      </w:r>
      <w:r w:rsidRPr="001A49F4">
        <w:rPr>
          <w:i/>
          <w:iCs/>
        </w:rPr>
        <w:t>Decision making and problem solving</w:t>
      </w:r>
      <w:r w:rsidRPr="001A49F4">
        <w:t xml:space="preserve">. 3rd </w:t>
      </w:r>
      <w:proofErr w:type="spellStart"/>
      <w:r w:rsidRPr="001A49F4">
        <w:t>edn</w:t>
      </w:r>
      <w:proofErr w:type="spellEnd"/>
      <w:r w:rsidRPr="001A49F4">
        <w:t>. London: Kogan Page. </w:t>
      </w:r>
    </w:p>
    <w:p w14:paraId="014AB8EC" w14:textId="77777777" w:rsidR="001A49F4" w:rsidRPr="001A49F4" w:rsidRDefault="001A49F4" w:rsidP="00742956">
      <w:pPr>
        <w:spacing w:line="259" w:lineRule="auto"/>
        <w:jc w:val="both"/>
      </w:pPr>
      <w:r w:rsidRPr="001A49F4">
        <w:t xml:space="preserve">Adams, W.C. (2015) ‘Conducting semi-structured interviews’, in Newcomer, K.E., </w:t>
      </w:r>
      <w:proofErr w:type="spellStart"/>
      <w:r w:rsidRPr="001A49F4">
        <w:t>Hatry</w:t>
      </w:r>
      <w:proofErr w:type="spellEnd"/>
      <w:r w:rsidRPr="001A49F4">
        <w:t xml:space="preserve">, H.P. and Wholey, J.S. (eds.) </w:t>
      </w:r>
      <w:r w:rsidRPr="001A49F4">
        <w:rPr>
          <w:i/>
          <w:iCs/>
        </w:rPr>
        <w:t>Handbook of Practical Program Evaluation</w:t>
      </w:r>
      <w:r w:rsidRPr="001A49F4">
        <w:t xml:space="preserve">. 4th </w:t>
      </w:r>
      <w:proofErr w:type="spellStart"/>
      <w:r w:rsidRPr="001A49F4">
        <w:t>edn</w:t>
      </w:r>
      <w:proofErr w:type="spellEnd"/>
      <w:r w:rsidRPr="001A49F4">
        <w:t>. San Francisco: Jossey-Bass, pp. 492–505. </w:t>
      </w:r>
    </w:p>
    <w:p w14:paraId="2AA4D7E7" w14:textId="77777777" w:rsidR="001A49F4" w:rsidRPr="001A49F4" w:rsidRDefault="001A49F4" w:rsidP="00742956">
      <w:pPr>
        <w:spacing w:line="259" w:lineRule="auto"/>
        <w:jc w:val="both"/>
      </w:pPr>
      <w:r w:rsidRPr="001A49F4">
        <w:t xml:space="preserve">AIHR (no date) </w:t>
      </w:r>
      <w:r w:rsidRPr="001A49F4">
        <w:rPr>
          <w:i/>
          <w:iCs/>
        </w:rPr>
        <w:t>Benchmarking HR practices</w:t>
      </w:r>
      <w:r w:rsidRPr="001A49F4">
        <w:t xml:space="preserve">. Available at: </w:t>
      </w:r>
      <w:hyperlink r:id="rId14" w:tgtFrame="_blank" w:history="1">
        <w:r w:rsidRPr="001A49F4">
          <w:rPr>
            <w:rStyle w:val="Hyperlink"/>
          </w:rPr>
          <w:t>https://www.aihr.com</w:t>
        </w:r>
      </w:hyperlink>
      <w:r w:rsidRPr="001A49F4">
        <w:t xml:space="preserve"> (Accessed: 9 September 2025). </w:t>
      </w:r>
    </w:p>
    <w:p w14:paraId="10FB8C2B" w14:textId="77777777" w:rsidR="001A49F4" w:rsidRPr="001A49F4" w:rsidRDefault="001A49F4" w:rsidP="00742956">
      <w:pPr>
        <w:spacing w:line="259" w:lineRule="auto"/>
        <w:jc w:val="both"/>
      </w:pPr>
      <w:r w:rsidRPr="001A49F4">
        <w:t xml:space="preserve">AIHR (n.d.) </w:t>
      </w:r>
      <w:r w:rsidRPr="001A49F4">
        <w:rPr>
          <w:i/>
          <w:iCs/>
        </w:rPr>
        <w:t>HR Benchmarking: All you need to know to get started</w:t>
      </w:r>
      <w:r w:rsidRPr="001A49F4">
        <w:t xml:space="preserve">. Available at: </w:t>
      </w:r>
      <w:hyperlink r:id="rId15" w:anchor=":~:text=from%20that%20report%3A,Benefits%20of%20HR%20benchmarking,this%20affects%20overall%20business%20performance" w:tgtFrame="_blank" w:history="1">
        <w:r w:rsidRPr="001A49F4">
          <w:rPr>
            <w:rStyle w:val="Hyperlink"/>
          </w:rPr>
          <w:t>https://www.aihr.com/blog/hr-benchmarking/#:~:text=from%20that%20report%3A,Benefits%20of%20HR%20benchmarking,this%20affects%20overall%20business%20performance</w:t>
        </w:r>
      </w:hyperlink>
      <w:r w:rsidRPr="001A49F4">
        <w:t xml:space="preserve"> (Accessed: 20 August 2025). </w:t>
      </w:r>
    </w:p>
    <w:p w14:paraId="1D3D0508" w14:textId="77777777" w:rsidR="001A49F4" w:rsidRPr="001A49F4" w:rsidRDefault="001A49F4" w:rsidP="00742956">
      <w:pPr>
        <w:spacing w:line="259" w:lineRule="auto"/>
        <w:jc w:val="both"/>
      </w:pPr>
      <w:r w:rsidRPr="001A49F4">
        <w:t xml:space="preserve">Anderson, D. (2009) </w:t>
      </w:r>
      <w:r w:rsidRPr="001A49F4">
        <w:rPr>
          <w:i/>
          <w:iCs/>
        </w:rPr>
        <w:t>Organizational development: The process of leading organizational change</w:t>
      </w:r>
      <w:r w:rsidRPr="001A49F4">
        <w:t>. Thousand Oaks, CA: Sage. </w:t>
      </w:r>
    </w:p>
    <w:p w14:paraId="2C155882" w14:textId="71B1E9EE" w:rsidR="00803834" w:rsidRPr="00D655F0" w:rsidRDefault="001A49F4" w:rsidP="00742956">
      <w:pPr>
        <w:spacing w:line="259" w:lineRule="auto"/>
        <w:jc w:val="both"/>
        <w:rPr>
          <w:color w:val="EE0000"/>
        </w:rPr>
      </w:pPr>
      <w:r w:rsidRPr="001A49F4">
        <w:t xml:space="preserve">Appelbaum, S.H., Habashy, S., Malo, J.-L. and Shafiq, H. (2012) ‘Back to the future: Revisiting Kotter’s 1996 change model’, </w:t>
      </w:r>
      <w:r w:rsidRPr="001A49F4">
        <w:rPr>
          <w:i/>
          <w:iCs/>
        </w:rPr>
        <w:t>Journal of Management Development</w:t>
      </w:r>
      <w:r w:rsidRPr="001A49F4">
        <w:t>, 31(8), pp. 764–782.</w:t>
      </w:r>
      <w:r w:rsidR="00803834" w:rsidRPr="00D655F0">
        <w:t xml:space="preserve"> </w:t>
      </w:r>
      <w:hyperlink r:id="rId16" w:history="1">
        <w:r w:rsidR="00803834" w:rsidRPr="00D655F0">
          <w:rPr>
            <w:rStyle w:val="Hyperlink"/>
          </w:rPr>
          <w:t>https://doi.org/10.1108/02621711211253231</w:t>
        </w:r>
      </w:hyperlink>
      <w:r w:rsidR="004049D8">
        <w:t xml:space="preserve">  </w:t>
      </w:r>
    </w:p>
    <w:p w14:paraId="40A195C3" w14:textId="7D04614A" w:rsidR="001A49F4" w:rsidRPr="001A49F4" w:rsidRDefault="001A49F4" w:rsidP="00742956">
      <w:pPr>
        <w:spacing w:line="259" w:lineRule="auto"/>
        <w:jc w:val="both"/>
      </w:pPr>
      <w:r w:rsidRPr="001A49F4">
        <w:t xml:space="preserve">Appelo, J. (2011) </w:t>
      </w:r>
      <w:r w:rsidRPr="001A49F4">
        <w:rPr>
          <w:i/>
          <w:iCs/>
        </w:rPr>
        <w:t>Management 3.0: Leading Agile developers, developing Agile leaders</w:t>
      </w:r>
      <w:r w:rsidRPr="001A49F4">
        <w:t>. Upper Saddle River, NJ: Addison-Wesley. </w:t>
      </w:r>
    </w:p>
    <w:p w14:paraId="11FB3BB3" w14:textId="77777777" w:rsidR="001A49F4" w:rsidRDefault="001A49F4" w:rsidP="00742956">
      <w:pPr>
        <w:spacing w:line="259" w:lineRule="auto"/>
        <w:jc w:val="both"/>
      </w:pPr>
      <w:r w:rsidRPr="001A49F4">
        <w:t xml:space="preserve">Applied Change (2022) </w:t>
      </w:r>
      <w:r w:rsidRPr="001A49F4">
        <w:rPr>
          <w:i/>
          <w:iCs/>
        </w:rPr>
        <w:t>Is your organisation change ready?</w:t>
      </w:r>
      <w:r w:rsidRPr="001A49F4">
        <w:t xml:space="preserve"> Available at: </w:t>
      </w:r>
      <w:hyperlink r:id="rId17" w:tgtFrame="_blank" w:history="1">
        <w:r w:rsidRPr="001A49F4">
          <w:rPr>
            <w:rStyle w:val="Hyperlink"/>
          </w:rPr>
          <w:t>https://bit.ly/3LcEZx5</w:t>
        </w:r>
      </w:hyperlink>
      <w:r w:rsidRPr="001A49F4">
        <w:t xml:space="preserve"> (Accessed: 20 August 2025). </w:t>
      </w:r>
    </w:p>
    <w:p w14:paraId="0B965103" w14:textId="3BEA893C" w:rsidR="009E610F" w:rsidRPr="001A49F4" w:rsidRDefault="002D5115" w:rsidP="00742956">
      <w:pPr>
        <w:spacing w:line="259" w:lineRule="auto"/>
        <w:jc w:val="both"/>
      </w:pPr>
      <w:r w:rsidRPr="002D5115">
        <w:t xml:space="preserve">Arla Foods (UK), n.d. </w:t>
      </w:r>
      <w:r w:rsidRPr="002D5115">
        <w:rPr>
          <w:i/>
          <w:iCs/>
        </w:rPr>
        <w:t>Home page</w:t>
      </w:r>
      <w:r w:rsidRPr="002D5115">
        <w:t xml:space="preserve">. [online] Available at: </w:t>
      </w:r>
      <w:hyperlink r:id="rId18" w:history="1">
        <w:r w:rsidRPr="008D2F12">
          <w:rPr>
            <w:rStyle w:val="Hyperlink"/>
          </w:rPr>
          <w:t>https://www.arlafoods.co.uk/</w:t>
        </w:r>
      </w:hyperlink>
      <w:r w:rsidRPr="002D5115">
        <w:t xml:space="preserve"> </w:t>
      </w:r>
      <w:r>
        <w:t>(</w:t>
      </w:r>
      <w:r w:rsidRPr="002D5115">
        <w:t>Accessed 26 September 2025</w:t>
      </w:r>
      <w:r>
        <w:t>)</w:t>
      </w:r>
      <w:r w:rsidRPr="002D5115">
        <w:t>.</w:t>
      </w:r>
      <w:r w:rsidR="00E74577">
        <w:t xml:space="preserve"> </w:t>
      </w:r>
    </w:p>
    <w:p w14:paraId="6E2DFE0B" w14:textId="77777777" w:rsidR="001A49F4" w:rsidRPr="001A49F4" w:rsidRDefault="001A49F4" w:rsidP="00742956">
      <w:pPr>
        <w:spacing w:line="259" w:lineRule="auto"/>
        <w:jc w:val="both"/>
      </w:pPr>
      <w:r w:rsidRPr="001A49F4">
        <w:t xml:space="preserve">Armstrong, M. and Taylor, S. (2017) </w:t>
      </w:r>
      <w:r w:rsidRPr="001A49F4">
        <w:rPr>
          <w:i/>
          <w:iCs/>
        </w:rPr>
        <w:t>Armstrong’s handbook of human resource management practice</w:t>
      </w:r>
      <w:r w:rsidRPr="001A49F4">
        <w:t xml:space="preserve">. 14th </w:t>
      </w:r>
      <w:proofErr w:type="spellStart"/>
      <w:r w:rsidRPr="001A49F4">
        <w:t>edn</w:t>
      </w:r>
      <w:proofErr w:type="spellEnd"/>
      <w:r w:rsidRPr="001A49F4">
        <w:t>. London: Kogan Page. </w:t>
      </w:r>
    </w:p>
    <w:p w14:paraId="7577D8CA" w14:textId="77777777" w:rsidR="001A49F4" w:rsidRPr="001A49F4" w:rsidRDefault="001A49F4" w:rsidP="00742956">
      <w:pPr>
        <w:spacing w:line="259" w:lineRule="auto"/>
        <w:jc w:val="both"/>
      </w:pPr>
      <w:r w:rsidRPr="001A49F4">
        <w:t xml:space="preserve">Barends, E., Rousseau, D. and Briner, R. (2014) </w:t>
      </w:r>
      <w:r w:rsidRPr="001A49F4">
        <w:rPr>
          <w:i/>
          <w:iCs/>
        </w:rPr>
        <w:t>Evidence-based practice: The basic principles</w:t>
      </w:r>
      <w:r w:rsidRPr="001A49F4">
        <w:t xml:space="preserve">. </w:t>
      </w:r>
      <w:proofErr w:type="spellStart"/>
      <w:r w:rsidRPr="001A49F4">
        <w:t>CEBMa</w:t>
      </w:r>
      <w:proofErr w:type="spellEnd"/>
      <w:r w:rsidRPr="001A49F4">
        <w:t xml:space="preserve">. Available at: </w:t>
      </w:r>
      <w:hyperlink r:id="rId19" w:tgtFrame="_blank" w:history="1">
        <w:r w:rsidRPr="001A49F4">
          <w:rPr>
            <w:rStyle w:val="Hyperlink"/>
          </w:rPr>
          <w:t>https://cebma.org/wp-content/uploads/Evidence-Based-Practice-The-Basic-Principles-vs-Dec-2015.pdf</w:t>
        </w:r>
      </w:hyperlink>
      <w:r w:rsidRPr="001A49F4">
        <w:t xml:space="preserve"> (Accessed: 20 August 2025). </w:t>
      </w:r>
    </w:p>
    <w:p w14:paraId="2539EF63" w14:textId="516851B0" w:rsidR="00096B0D" w:rsidRDefault="001A49F4" w:rsidP="00742956">
      <w:pPr>
        <w:spacing w:line="259" w:lineRule="auto"/>
        <w:jc w:val="both"/>
        <w:rPr>
          <w:color w:val="EE0000"/>
        </w:rPr>
      </w:pPr>
      <w:r w:rsidRPr="001A49F4">
        <w:t xml:space="preserve">Bandura, A. (1977) ‘Self-efficacy: Toward a unifying theory of behavioural change’, </w:t>
      </w:r>
      <w:r w:rsidRPr="001A49F4">
        <w:rPr>
          <w:i/>
          <w:iCs/>
        </w:rPr>
        <w:t>Psychological Review</w:t>
      </w:r>
      <w:r w:rsidRPr="001A49F4">
        <w:t>, 84(2), pp. 191–215.</w:t>
      </w:r>
      <w:r w:rsidRPr="001A49F4">
        <w:rPr>
          <w:color w:val="EE0000"/>
        </w:rPr>
        <w:t> </w:t>
      </w:r>
      <w:hyperlink r:id="rId20" w:history="1">
        <w:r w:rsidR="004049D8" w:rsidRPr="009923DD">
          <w:rPr>
            <w:rStyle w:val="Hyperlink"/>
          </w:rPr>
          <w:t>https://doi.org/10.1037/0033-295X.84.2.191</w:t>
        </w:r>
      </w:hyperlink>
      <w:r w:rsidR="004049D8">
        <w:rPr>
          <w:rStyle w:val="Hyperlink"/>
        </w:rPr>
        <w:t xml:space="preserve"> </w:t>
      </w:r>
    </w:p>
    <w:p w14:paraId="60F310D6" w14:textId="2A129B17" w:rsidR="00EE4B7E" w:rsidRPr="001A49F4" w:rsidRDefault="00EE4B7E" w:rsidP="00742956">
      <w:pPr>
        <w:spacing w:line="259" w:lineRule="auto"/>
        <w:jc w:val="both"/>
      </w:pPr>
      <w:r w:rsidRPr="00EE4B7E">
        <w:t xml:space="preserve">Barends, E., Rousseau, D.M. and Briner, R.B. (2014) </w:t>
      </w:r>
      <w:r w:rsidRPr="00EE4B7E">
        <w:rPr>
          <w:i/>
          <w:iCs/>
        </w:rPr>
        <w:t>Evidence-based practice: The basic principles</w:t>
      </w:r>
      <w:r w:rsidRPr="00EE4B7E">
        <w:t xml:space="preserve">. Amsterdam: </w:t>
      </w:r>
      <w:proofErr w:type="spellStart"/>
      <w:r w:rsidRPr="00EE4B7E">
        <w:t>CEBMa</w:t>
      </w:r>
      <w:proofErr w:type="spellEnd"/>
      <w:r w:rsidRPr="00EE4B7E">
        <w:t xml:space="preserve">. Available at: </w:t>
      </w:r>
      <w:hyperlink r:id="rId21" w:tgtFrame="_new" w:history="1">
        <w:r w:rsidRPr="00EE4B7E">
          <w:rPr>
            <w:rStyle w:val="Hyperlink"/>
          </w:rPr>
          <w:t>https://www.cebma.org</w:t>
        </w:r>
      </w:hyperlink>
      <w:r w:rsidRPr="00EE4B7E">
        <w:t xml:space="preserve"> (Accessed: 20 September 2025).</w:t>
      </w:r>
      <w:r>
        <w:t xml:space="preserve"> </w:t>
      </w:r>
    </w:p>
    <w:p w14:paraId="422E864F" w14:textId="26D48624" w:rsidR="001A49F4" w:rsidRPr="001A49F4" w:rsidRDefault="001A49F4" w:rsidP="00742956">
      <w:pPr>
        <w:spacing w:line="259" w:lineRule="auto"/>
        <w:jc w:val="both"/>
        <w:rPr>
          <w:color w:val="EE0000"/>
        </w:rPr>
      </w:pPr>
      <w:r w:rsidRPr="001A49F4">
        <w:lastRenderedPageBreak/>
        <w:t xml:space="preserve">Braun, V. and Clarke, V. (2006) ‘Using thematic analysis in psychology’, </w:t>
      </w:r>
      <w:r w:rsidRPr="001A49F4">
        <w:rPr>
          <w:i/>
          <w:iCs/>
        </w:rPr>
        <w:t>Qualitative Research in Psychology</w:t>
      </w:r>
      <w:r w:rsidRPr="001A49F4">
        <w:t>, 3(2), pp. 77–101.</w:t>
      </w:r>
      <w:r w:rsidR="002012A3">
        <w:t xml:space="preserve"> </w:t>
      </w:r>
      <w:hyperlink r:id="rId22" w:history="1">
        <w:r w:rsidR="00EE4B7E" w:rsidRPr="009923DD">
          <w:rPr>
            <w:rStyle w:val="Hyperlink"/>
          </w:rPr>
          <w:t>https://doi.org/10.1191/1478088706qp063oa</w:t>
        </w:r>
      </w:hyperlink>
      <w:r w:rsidR="00EE4B7E">
        <w:rPr>
          <w:rStyle w:val="Hyperlink"/>
        </w:rPr>
        <w:t xml:space="preserve"> </w:t>
      </w:r>
    </w:p>
    <w:p w14:paraId="557E0E2B" w14:textId="07FC5C2C" w:rsidR="00A26D34" w:rsidRPr="001A49F4" w:rsidRDefault="001A49F4" w:rsidP="00742956">
      <w:pPr>
        <w:spacing w:line="259" w:lineRule="auto"/>
        <w:jc w:val="both"/>
      </w:pPr>
      <w:r w:rsidRPr="001A49F4">
        <w:t xml:space="preserve">Braun, V. and Clarke, V. (2021) ‘One size </w:t>
      </w:r>
      <w:proofErr w:type="gramStart"/>
      <w:r w:rsidRPr="001A49F4">
        <w:t>fits</w:t>
      </w:r>
      <w:proofErr w:type="gramEnd"/>
      <w:r w:rsidRPr="001A49F4">
        <w:t xml:space="preserve"> all? What counts as quality practice in (reflexive) thematic analysis?’, </w:t>
      </w:r>
      <w:r w:rsidRPr="001A49F4">
        <w:rPr>
          <w:i/>
          <w:iCs/>
        </w:rPr>
        <w:t>Qualitative Research in Psychology</w:t>
      </w:r>
      <w:r w:rsidRPr="001A49F4">
        <w:t>, 18(3), pp. 328–352. </w:t>
      </w:r>
      <w:hyperlink r:id="rId23" w:history="1">
        <w:r w:rsidR="002012A3" w:rsidRPr="00F73969">
          <w:rPr>
            <w:rStyle w:val="Hyperlink"/>
          </w:rPr>
          <w:t>https://doi.org/10.1080/14780887.2020.1769238</w:t>
        </w:r>
      </w:hyperlink>
      <w:r w:rsidR="002012A3">
        <w:rPr>
          <w:rStyle w:val="Hyperlink"/>
        </w:rPr>
        <w:t xml:space="preserve"> </w:t>
      </w:r>
    </w:p>
    <w:p w14:paraId="68B12EA7" w14:textId="77777777" w:rsidR="001A49F4" w:rsidRPr="001A49F4" w:rsidRDefault="001A49F4" w:rsidP="00742956">
      <w:pPr>
        <w:spacing w:line="259" w:lineRule="auto"/>
        <w:jc w:val="both"/>
      </w:pPr>
      <w:r w:rsidRPr="001A49F4">
        <w:t xml:space="preserve">Bryman, A. (2016) </w:t>
      </w:r>
      <w:r w:rsidRPr="001A49F4">
        <w:rPr>
          <w:i/>
          <w:iCs/>
        </w:rPr>
        <w:t>Social research methods</w:t>
      </w:r>
      <w:r w:rsidRPr="001A49F4">
        <w:t xml:space="preserve">. 5th </w:t>
      </w:r>
      <w:proofErr w:type="spellStart"/>
      <w:r w:rsidRPr="001A49F4">
        <w:t>edn</w:t>
      </w:r>
      <w:proofErr w:type="spellEnd"/>
      <w:r w:rsidRPr="001A49F4">
        <w:t>. Oxford: Oxford University Press. </w:t>
      </w:r>
    </w:p>
    <w:p w14:paraId="15780173" w14:textId="78F5AA48" w:rsidR="00A26D34" w:rsidRDefault="001A49F4" w:rsidP="00742956">
      <w:pPr>
        <w:spacing w:line="259" w:lineRule="auto"/>
        <w:jc w:val="both"/>
      </w:pPr>
      <w:r w:rsidRPr="001A49F4">
        <w:t xml:space="preserve">Burnes, B. (2004) ‘Kurt Lewin and the planned approach to change: A re-appraisal’, </w:t>
      </w:r>
      <w:r w:rsidRPr="001A49F4">
        <w:rPr>
          <w:i/>
          <w:iCs/>
        </w:rPr>
        <w:t>Journal of Management Studies</w:t>
      </w:r>
      <w:r w:rsidRPr="001A49F4">
        <w:t>, 41(6), pp. 977–1002.</w:t>
      </w:r>
      <w:r w:rsidR="002012A3">
        <w:t xml:space="preserve"> </w:t>
      </w:r>
      <w:hyperlink r:id="rId24" w:history="1">
        <w:r w:rsidR="00A26D34" w:rsidRPr="00D655F0">
          <w:rPr>
            <w:rStyle w:val="Hyperlink"/>
          </w:rPr>
          <w:t>https://doi.org/10.1111/j.1467-6486.2004.00463.x</w:t>
        </w:r>
      </w:hyperlink>
    </w:p>
    <w:p w14:paraId="66EFDB44" w14:textId="422AE32D" w:rsidR="001526C0" w:rsidRDefault="001526C0" w:rsidP="00742956">
      <w:pPr>
        <w:spacing w:line="259" w:lineRule="auto"/>
        <w:jc w:val="both"/>
      </w:pPr>
      <w:r w:rsidRPr="001526C0">
        <w:t xml:space="preserve">Burnes, B. (2017) </w:t>
      </w:r>
      <w:r w:rsidRPr="001526C0">
        <w:rPr>
          <w:i/>
          <w:iCs/>
        </w:rPr>
        <w:t>Managing change</w:t>
      </w:r>
      <w:r w:rsidRPr="001526C0">
        <w:t xml:space="preserve">. 7th </w:t>
      </w:r>
      <w:proofErr w:type="spellStart"/>
      <w:r w:rsidRPr="001526C0">
        <w:t>edn</w:t>
      </w:r>
      <w:proofErr w:type="spellEnd"/>
      <w:r w:rsidRPr="001526C0">
        <w:t>. Harlow: Pearson. ISBN 9781292156040.</w:t>
      </w:r>
    </w:p>
    <w:p w14:paraId="6F93F897" w14:textId="5047A0C7" w:rsidR="001A49F4" w:rsidRDefault="001A49F4" w:rsidP="00742956">
      <w:pPr>
        <w:spacing w:line="259" w:lineRule="auto"/>
        <w:jc w:val="both"/>
      </w:pPr>
      <w:r w:rsidRPr="001A49F4">
        <w:t xml:space="preserve">Capron, L. and Mitchell, W. (2012) </w:t>
      </w:r>
      <w:r w:rsidRPr="001A49F4">
        <w:rPr>
          <w:i/>
          <w:iCs/>
        </w:rPr>
        <w:t>Build, borrow, or buy: Solving the growth dilemma</w:t>
      </w:r>
      <w:r w:rsidRPr="001A49F4">
        <w:t>. Boston, MA: Harvard Business Review Press. </w:t>
      </w:r>
    </w:p>
    <w:p w14:paraId="21019F56" w14:textId="2368DF4A" w:rsidR="00C7408C" w:rsidRPr="001A49F4" w:rsidRDefault="00C7408C" w:rsidP="00742956">
      <w:pPr>
        <w:spacing w:line="259" w:lineRule="auto"/>
        <w:jc w:val="both"/>
      </w:pPr>
      <w:r w:rsidRPr="00C7408C">
        <w:t xml:space="preserve">Canva, n.d. </w:t>
      </w:r>
      <w:r w:rsidRPr="00C7408C">
        <w:rPr>
          <w:i/>
          <w:iCs/>
        </w:rPr>
        <w:t>Design on Canva: YqnRKKyJv2zWKtq5jeRcIQ</w:t>
      </w:r>
      <w:r w:rsidRPr="00C7408C">
        <w:t xml:space="preserve">. [online] Available at: </w:t>
      </w:r>
      <w:hyperlink r:id="rId25" w:tgtFrame="_new" w:history="1">
        <w:r w:rsidRPr="00C7408C">
          <w:rPr>
            <w:rStyle w:val="Hyperlink"/>
          </w:rPr>
          <w:t>https://www.canva.com/design/DAGyCVarglg/YqnRKKyJv2zWKtq5jeRcIQ/edit</w:t>
        </w:r>
      </w:hyperlink>
      <w:r w:rsidRPr="00C7408C">
        <w:t xml:space="preserve"> [Accessed 26 September 2025].</w:t>
      </w:r>
    </w:p>
    <w:p w14:paraId="1AB49A7D" w14:textId="77777777" w:rsidR="001A49F4" w:rsidRPr="001A49F4" w:rsidRDefault="001A49F4" w:rsidP="00742956">
      <w:pPr>
        <w:spacing w:line="259" w:lineRule="auto"/>
        <w:jc w:val="both"/>
      </w:pPr>
      <w:r w:rsidRPr="001A49F4">
        <w:t xml:space="preserve">Chartered Institute of Personnel and Development (CIPD) (2011) </w:t>
      </w:r>
      <w:r w:rsidRPr="001A49F4">
        <w:rPr>
          <w:i/>
          <w:iCs/>
        </w:rPr>
        <w:t>HR profession map</w:t>
      </w:r>
      <w:r w:rsidRPr="001A49F4">
        <w:t>. London: CIPD. </w:t>
      </w:r>
    </w:p>
    <w:p w14:paraId="1D977AF7" w14:textId="77777777" w:rsidR="001A49F4" w:rsidRPr="001A49F4" w:rsidRDefault="001A49F4" w:rsidP="00742956">
      <w:pPr>
        <w:spacing w:line="259" w:lineRule="auto"/>
        <w:jc w:val="both"/>
      </w:pPr>
      <w:r w:rsidRPr="001A49F4">
        <w:t xml:space="preserve">Chartered Institute of Personnel and Development (CIPD) (2021) </w:t>
      </w:r>
      <w:r w:rsidRPr="001A49F4">
        <w:rPr>
          <w:i/>
          <w:iCs/>
        </w:rPr>
        <w:t>Evidence-based practice factsheet</w:t>
      </w:r>
      <w:r w:rsidRPr="001A49F4">
        <w:t xml:space="preserve">. Available at: </w:t>
      </w:r>
      <w:hyperlink r:id="rId26" w:anchor="gref" w:tgtFrame="_blank" w:history="1">
        <w:r w:rsidRPr="001A49F4">
          <w:rPr>
            <w:rStyle w:val="Hyperlink"/>
          </w:rPr>
          <w:t>https://www.cipd.co.uk/knowledge/strategy/analytics/evidence-based-practice-factsheet#gref</w:t>
        </w:r>
      </w:hyperlink>
      <w:r w:rsidRPr="001A49F4">
        <w:t xml:space="preserve"> (Accessed: 20 August 2025). </w:t>
      </w:r>
    </w:p>
    <w:p w14:paraId="57550921" w14:textId="77777777" w:rsidR="001A49F4" w:rsidRPr="001A49F4" w:rsidRDefault="001A49F4" w:rsidP="00742956">
      <w:pPr>
        <w:spacing w:line="259" w:lineRule="auto"/>
        <w:jc w:val="both"/>
      </w:pPr>
      <w:r w:rsidRPr="001A49F4">
        <w:t xml:space="preserve">Chartered Institute of Personnel and Development (CIPD) (2023) </w:t>
      </w:r>
      <w:r w:rsidRPr="001A49F4">
        <w:rPr>
          <w:i/>
          <w:iCs/>
        </w:rPr>
        <w:t>Strategic HRM in a digital world</w:t>
      </w:r>
      <w:r w:rsidRPr="001A49F4">
        <w:t>. London: Chartered Institute of Personnel and Development. </w:t>
      </w:r>
    </w:p>
    <w:p w14:paraId="744C280D" w14:textId="77777777" w:rsidR="001A49F4" w:rsidRPr="001A49F4" w:rsidRDefault="001A49F4" w:rsidP="00742956">
      <w:pPr>
        <w:spacing w:line="259" w:lineRule="auto"/>
        <w:jc w:val="both"/>
      </w:pPr>
      <w:r w:rsidRPr="001A49F4">
        <w:t xml:space="preserve">Chartered Management Institute (CMI) (2014) </w:t>
      </w:r>
      <w:r w:rsidRPr="001A49F4">
        <w:rPr>
          <w:i/>
          <w:iCs/>
        </w:rPr>
        <w:t>Checklist: Managing change</w:t>
      </w:r>
      <w:r w:rsidRPr="001A49F4">
        <w:t>. London: CMI. </w:t>
      </w:r>
    </w:p>
    <w:p w14:paraId="28A97E99" w14:textId="77777777" w:rsidR="001A49F4" w:rsidRPr="001A49F4" w:rsidRDefault="001A49F4" w:rsidP="00742956">
      <w:pPr>
        <w:spacing w:line="259" w:lineRule="auto"/>
        <w:jc w:val="both"/>
      </w:pPr>
      <w:r w:rsidRPr="001A49F4">
        <w:t xml:space="preserve">Chartered Management Institute (CMI) (2020) </w:t>
      </w:r>
      <w:r w:rsidRPr="001A49F4">
        <w:rPr>
          <w:i/>
          <w:iCs/>
        </w:rPr>
        <w:t>Decision making</w:t>
      </w:r>
      <w:r w:rsidRPr="001A49F4">
        <w:t xml:space="preserve">. Available at: </w:t>
      </w:r>
      <w:hyperlink r:id="rId27" w:tgtFrame="_blank" w:history="1">
        <w:r w:rsidRPr="001A49F4">
          <w:rPr>
            <w:rStyle w:val="Hyperlink"/>
          </w:rPr>
          <w:t>https://www.managers.org.uk/knowledge-and-insights/resource/decision-making/</w:t>
        </w:r>
      </w:hyperlink>
      <w:r w:rsidRPr="001A49F4">
        <w:t xml:space="preserve"> (Accessed: 20 August 2025). </w:t>
      </w:r>
    </w:p>
    <w:p w14:paraId="5977B9F3" w14:textId="025A15DC" w:rsidR="0082466C" w:rsidRPr="001A49F4" w:rsidRDefault="001A49F4" w:rsidP="00742956">
      <w:pPr>
        <w:spacing w:line="259" w:lineRule="auto"/>
        <w:jc w:val="both"/>
        <w:rPr>
          <w:color w:val="EE0000"/>
        </w:rPr>
      </w:pPr>
      <w:r w:rsidRPr="001A49F4">
        <w:t xml:space="preserve">Combe, C. (2014) </w:t>
      </w:r>
      <w:r w:rsidRPr="001A49F4">
        <w:rPr>
          <w:i/>
          <w:iCs/>
        </w:rPr>
        <w:t>Building change agility: The strategic process for agility improvement</w:t>
      </w:r>
      <w:r w:rsidRPr="001A49F4">
        <w:t>. Project Management Institute.</w:t>
      </w:r>
      <w:r w:rsidRPr="001A49F4">
        <w:rPr>
          <w:color w:val="EE0000"/>
        </w:rPr>
        <w:t> </w:t>
      </w:r>
    </w:p>
    <w:p w14:paraId="55F44E99" w14:textId="77777777" w:rsidR="001A49F4" w:rsidRPr="001A49F4" w:rsidRDefault="001A49F4" w:rsidP="00742956">
      <w:pPr>
        <w:spacing w:line="259" w:lineRule="auto"/>
        <w:jc w:val="both"/>
      </w:pPr>
      <w:r w:rsidRPr="001A49F4">
        <w:t xml:space="preserve">Creswell, J.W. and </w:t>
      </w:r>
      <w:proofErr w:type="spellStart"/>
      <w:r w:rsidRPr="001A49F4">
        <w:t>Poth</w:t>
      </w:r>
      <w:proofErr w:type="spellEnd"/>
      <w:r w:rsidRPr="001A49F4">
        <w:t xml:space="preserve">, C.N. (2018) </w:t>
      </w:r>
      <w:r w:rsidRPr="001A49F4">
        <w:rPr>
          <w:i/>
          <w:iCs/>
        </w:rPr>
        <w:t>Qualitative inquiry and research design: Choosing among five approaches</w:t>
      </w:r>
      <w:r w:rsidRPr="001A49F4">
        <w:t xml:space="preserve">. 4th </w:t>
      </w:r>
      <w:proofErr w:type="spellStart"/>
      <w:r w:rsidRPr="001A49F4">
        <w:t>edn</w:t>
      </w:r>
      <w:proofErr w:type="spellEnd"/>
      <w:r w:rsidRPr="001A49F4">
        <w:t>. Thousand Oaks, CA: SAGE. </w:t>
      </w:r>
    </w:p>
    <w:p w14:paraId="1878242B" w14:textId="77777777" w:rsidR="001A49F4" w:rsidRPr="001A49F4" w:rsidRDefault="001A49F4" w:rsidP="00742956">
      <w:pPr>
        <w:spacing w:line="259" w:lineRule="auto"/>
        <w:jc w:val="both"/>
      </w:pPr>
      <w:r w:rsidRPr="001A49F4">
        <w:t>De Paoli, S. and Fawzi, A. (2025) ‘</w:t>
      </w:r>
      <w:proofErr w:type="spellStart"/>
      <w:r w:rsidRPr="001A49F4">
        <w:t>TALLMesh</w:t>
      </w:r>
      <w:proofErr w:type="spellEnd"/>
      <w:r w:rsidRPr="001A49F4">
        <w:t xml:space="preserve">: a simple application for performing Thematic Analysis with Large Language Models’, </w:t>
      </w:r>
      <w:proofErr w:type="spellStart"/>
      <w:r w:rsidRPr="001A49F4">
        <w:rPr>
          <w:i/>
          <w:iCs/>
        </w:rPr>
        <w:t>arXiv</w:t>
      </w:r>
      <w:proofErr w:type="spellEnd"/>
      <w:r w:rsidRPr="001A49F4">
        <w:rPr>
          <w:i/>
          <w:iCs/>
        </w:rPr>
        <w:t xml:space="preserve"> preprint</w:t>
      </w:r>
      <w:r w:rsidRPr="001A49F4">
        <w:t xml:space="preserve">. Available at: </w:t>
      </w:r>
      <w:hyperlink r:id="rId28" w:tgtFrame="_blank" w:history="1">
        <w:r w:rsidRPr="001A49F4">
          <w:rPr>
            <w:rStyle w:val="Hyperlink"/>
          </w:rPr>
          <w:t>https://arxiv.org/abs/2504.13892</w:t>
        </w:r>
      </w:hyperlink>
      <w:r w:rsidRPr="001A49F4">
        <w:t xml:space="preserve"> (Accessed: 9 September 2025). </w:t>
      </w:r>
    </w:p>
    <w:p w14:paraId="54103E44" w14:textId="55054A99" w:rsidR="001A49F4" w:rsidRPr="001A49F4" w:rsidRDefault="001A49F4" w:rsidP="00742956">
      <w:pPr>
        <w:spacing w:line="259" w:lineRule="auto"/>
        <w:jc w:val="both"/>
      </w:pPr>
      <w:r w:rsidRPr="001A49F4">
        <w:lastRenderedPageBreak/>
        <w:t xml:space="preserve">Edmondson, A.C. (2019) </w:t>
      </w:r>
      <w:r w:rsidRPr="001A49F4">
        <w:rPr>
          <w:i/>
          <w:iCs/>
        </w:rPr>
        <w:t>The fearless organization: Creating psychological safety in the workplace for learning, innovation, and growth</w:t>
      </w:r>
      <w:r w:rsidRPr="001A49F4">
        <w:t>. Hoboken, NJ: Wiley. </w:t>
      </w:r>
    </w:p>
    <w:p w14:paraId="0E319CD5" w14:textId="77777777" w:rsidR="001A49F4" w:rsidRPr="001A49F4" w:rsidRDefault="001A49F4" w:rsidP="00742956">
      <w:pPr>
        <w:spacing w:line="259" w:lineRule="auto"/>
        <w:jc w:val="both"/>
      </w:pPr>
      <w:r w:rsidRPr="001A49F4">
        <w:t xml:space="preserve">Fernando, J. (2021) ‘Opportunity cost’, </w:t>
      </w:r>
      <w:r w:rsidRPr="001A49F4">
        <w:rPr>
          <w:i/>
          <w:iCs/>
        </w:rPr>
        <w:t>Investopedia</w:t>
      </w:r>
      <w:r w:rsidRPr="001A49F4">
        <w:t xml:space="preserve">. Available at: </w:t>
      </w:r>
      <w:hyperlink r:id="rId29" w:tgtFrame="_blank" w:history="1">
        <w:r w:rsidRPr="001A49F4">
          <w:rPr>
            <w:rStyle w:val="Hyperlink"/>
          </w:rPr>
          <w:t>https://www.investopedia.com/terms/o/opportunitycost.asp</w:t>
        </w:r>
      </w:hyperlink>
      <w:r w:rsidRPr="001A49F4">
        <w:t xml:space="preserve"> (Accessed: 20 August 2025). </w:t>
      </w:r>
    </w:p>
    <w:p w14:paraId="205A60F6" w14:textId="470BB9D5" w:rsidR="001A49F4" w:rsidRPr="001A49F4" w:rsidRDefault="001A49F4" w:rsidP="00742956">
      <w:pPr>
        <w:spacing w:line="259" w:lineRule="auto"/>
        <w:jc w:val="both"/>
      </w:pPr>
      <w:r w:rsidRPr="001A49F4">
        <w:t xml:space="preserve">Flick, U. (2018) </w:t>
      </w:r>
      <w:r w:rsidRPr="001A49F4">
        <w:rPr>
          <w:i/>
          <w:iCs/>
        </w:rPr>
        <w:t>An introduction to qualitative research</w:t>
      </w:r>
      <w:r w:rsidRPr="001A49F4">
        <w:t xml:space="preserve">. 6th </w:t>
      </w:r>
      <w:proofErr w:type="spellStart"/>
      <w:r w:rsidRPr="001A49F4">
        <w:t>edn</w:t>
      </w:r>
      <w:proofErr w:type="spellEnd"/>
      <w:r w:rsidRPr="001A49F4">
        <w:t>. London: SAGE. </w:t>
      </w:r>
    </w:p>
    <w:p w14:paraId="46467F14" w14:textId="77777777" w:rsidR="001A49F4" w:rsidRPr="001A49F4" w:rsidRDefault="001A49F4" w:rsidP="00742956">
      <w:pPr>
        <w:spacing w:line="259" w:lineRule="auto"/>
        <w:jc w:val="both"/>
      </w:pPr>
      <w:r w:rsidRPr="001A49F4">
        <w:t xml:space="preserve">Geraghty, J. (2019) </w:t>
      </w:r>
      <w:r w:rsidRPr="001A49F4">
        <w:rPr>
          <w:i/>
          <w:iCs/>
        </w:rPr>
        <w:t>The four Es of change leadership</w:t>
      </w:r>
      <w:r w:rsidRPr="001A49F4">
        <w:t>. Dublin: Inspire Change Consulting. </w:t>
      </w:r>
    </w:p>
    <w:p w14:paraId="19860792" w14:textId="77777777" w:rsidR="001A49F4" w:rsidRPr="001A49F4" w:rsidRDefault="001A49F4" w:rsidP="00742956">
      <w:pPr>
        <w:spacing w:line="259" w:lineRule="auto"/>
        <w:jc w:val="both"/>
      </w:pPr>
      <w:r w:rsidRPr="001A49F4">
        <w:t xml:space="preserve">Goyanes, M., Lopezosa, C. and Jordá, B. (2025) ‘Thematic analysis of interview data with ChatGPT: designing and testing a reliable research protocol for qualitative research’, </w:t>
      </w:r>
      <w:r w:rsidRPr="001A49F4">
        <w:rPr>
          <w:i/>
          <w:iCs/>
        </w:rPr>
        <w:t>Quality &amp; Quantity</w:t>
      </w:r>
      <w:r w:rsidRPr="001A49F4">
        <w:t xml:space="preserve">. Available at: </w:t>
      </w:r>
      <w:hyperlink r:id="rId30" w:tgtFrame="_blank" w:history="1">
        <w:r w:rsidRPr="001A49F4">
          <w:rPr>
            <w:rStyle w:val="Hyperlink"/>
          </w:rPr>
          <w:t>https://link.springer.com/article/10.1007/s11135-025-02199-3</w:t>
        </w:r>
      </w:hyperlink>
      <w:r w:rsidRPr="001A49F4">
        <w:t xml:space="preserve"> (Accessed: 9 September 2025). </w:t>
      </w:r>
    </w:p>
    <w:p w14:paraId="45DD35B2" w14:textId="3278A348" w:rsidR="001A49F4" w:rsidRPr="00D655F0" w:rsidRDefault="001A49F4" w:rsidP="00742956">
      <w:pPr>
        <w:spacing w:line="259" w:lineRule="auto"/>
        <w:jc w:val="both"/>
        <w:rPr>
          <w:color w:val="EE0000"/>
        </w:rPr>
      </w:pPr>
      <w:proofErr w:type="spellStart"/>
      <w:r w:rsidRPr="001A49F4">
        <w:t>Gromkowska-Melosik</w:t>
      </w:r>
      <w:proofErr w:type="spellEnd"/>
      <w:r w:rsidRPr="001A49F4">
        <w:t xml:space="preserve">, A. (2023) ‘Cross-cultural management and political awareness in HR practices’, </w:t>
      </w:r>
      <w:r w:rsidRPr="001A49F4">
        <w:rPr>
          <w:i/>
          <w:iCs/>
        </w:rPr>
        <w:t>International Journal of Human Resource Studies</w:t>
      </w:r>
      <w:r w:rsidRPr="001A49F4">
        <w:t>, 13(2), pp. 45–61</w:t>
      </w:r>
      <w:r w:rsidRPr="001A49F4">
        <w:rPr>
          <w:color w:val="EE0000"/>
        </w:rPr>
        <w:t> </w:t>
      </w:r>
      <w:hyperlink r:id="rId31" w:history="1">
        <w:r w:rsidR="00F913BF" w:rsidRPr="00D655F0">
          <w:rPr>
            <w:rStyle w:val="Hyperlink"/>
          </w:rPr>
          <w:t>https://doi.org/10.5296/ijhrs.v13i2.21173</w:t>
        </w:r>
      </w:hyperlink>
    </w:p>
    <w:p w14:paraId="5261B658" w14:textId="77777777" w:rsidR="001A49F4" w:rsidRPr="001A49F4" w:rsidRDefault="001A49F4" w:rsidP="00742956">
      <w:pPr>
        <w:spacing w:line="259" w:lineRule="auto"/>
        <w:jc w:val="both"/>
      </w:pPr>
      <w:r w:rsidRPr="001A49F4">
        <w:t xml:space="preserve">Hammersley, M. (2014) </w:t>
      </w:r>
      <w:r w:rsidRPr="001A49F4">
        <w:rPr>
          <w:i/>
          <w:iCs/>
        </w:rPr>
        <w:t>The ethics of educational research</w:t>
      </w:r>
      <w:r w:rsidRPr="001A49F4">
        <w:t>. London: Sage. </w:t>
      </w:r>
    </w:p>
    <w:p w14:paraId="099D2F28" w14:textId="27E50097" w:rsidR="001A49F4" w:rsidRPr="001A49F4" w:rsidRDefault="001A49F4" w:rsidP="00742956">
      <w:pPr>
        <w:spacing w:line="259" w:lineRule="auto"/>
        <w:jc w:val="both"/>
      </w:pPr>
      <w:r w:rsidRPr="001A49F4">
        <w:t xml:space="preserve">Herzberg, F. (1959) </w:t>
      </w:r>
      <w:r w:rsidRPr="001A49F4">
        <w:rPr>
          <w:i/>
          <w:iCs/>
        </w:rPr>
        <w:t>The motivation to work</w:t>
      </w:r>
      <w:r w:rsidRPr="001A49F4">
        <w:t>. New York: Wiley.</w:t>
      </w:r>
      <w:r w:rsidR="000D5EBB">
        <w:t xml:space="preserve"> </w:t>
      </w:r>
    </w:p>
    <w:p w14:paraId="6E26B532" w14:textId="77777777" w:rsidR="001A49F4" w:rsidRPr="001A49F4" w:rsidRDefault="001A49F4" w:rsidP="00742956">
      <w:pPr>
        <w:spacing w:line="259" w:lineRule="auto"/>
        <w:jc w:val="both"/>
      </w:pPr>
      <w:r w:rsidRPr="001A49F4">
        <w:t xml:space="preserve">Horn, R. (2012) </w:t>
      </w:r>
      <w:r w:rsidRPr="001A49F4">
        <w:rPr>
          <w:i/>
          <w:iCs/>
        </w:rPr>
        <w:t>The business skills handbook</w:t>
      </w:r>
      <w:r w:rsidRPr="001A49F4">
        <w:t>. London: CIPD. </w:t>
      </w:r>
    </w:p>
    <w:p w14:paraId="5E022AAF" w14:textId="77777777" w:rsidR="001A49F4" w:rsidRPr="001A49F4" w:rsidRDefault="001A49F4" w:rsidP="00742956">
      <w:pPr>
        <w:spacing w:line="259" w:lineRule="auto"/>
        <w:jc w:val="both"/>
      </w:pPr>
      <w:proofErr w:type="spellStart"/>
      <w:r w:rsidRPr="001A49F4">
        <w:t>InspireOne</w:t>
      </w:r>
      <w:proofErr w:type="spellEnd"/>
      <w:r w:rsidRPr="001A49F4">
        <w:t xml:space="preserve"> (no date) </w:t>
      </w:r>
      <w:r w:rsidRPr="001A49F4">
        <w:rPr>
          <w:i/>
          <w:iCs/>
        </w:rPr>
        <w:t>What is benchmarking &amp; why is it important</w:t>
      </w:r>
      <w:r w:rsidRPr="001A49F4">
        <w:t xml:space="preserve">. Available at: </w:t>
      </w:r>
      <w:hyperlink r:id="rId32" w:tgtFrame="_blank" w:history="1">
        <w:r w:rsidRPr="001A49F4">
          <w:rPr>
            <w:rStyle w:val="Hyperlink"/>
          </w:rPr>
          <w:t>https://www.inspireone.in/what-is-benchmarking-why-is-it-important/</w:t>
        </w:r>
      </w:hyperlink>
      <w:r w:rsidRPr="001A49F4">
        <w:t xml:space="preserve"> (Accessed: 20 August 2025). </w:t>
      </w:r>
    </w:p>
    <w:p w14:paraId="142C6E98" w14:textId="2705A560" w:rsidR="001A49F4" w:rsidRPr="00D655F0" w:rsidRDefault="001A49F4" w:rsidP="00742956">
      <w:pPr>
        <w:spacing w:line="259" w:lineRule="auto"/>
        <w:jc w:val="both"/>
      </w:pPr>
      <w:r w:rsidRPr="001A49F4">
        <w:t xml:space="preserve">Joshi, A., Kale, S., Chandel, S. and Pal, D.K. (2015) ‘Likert scale: Explored and explained’, </w:t>
      </w:r>
      <w:r w:rsidRPr="001A49F4">
        <w:rPr>
          <w:i/>
          <w:iCs/>
        </w:rPr>
        <w:t>British Journal of Applied Science &amp; Technology</w:t>
      </w:r>
      <w:r w:rsidRPr="001A49F4">
        <w:t>, 7(4), pp. 396–403. </w:t>
      </w:r>
      <w:hyperlink r:id="rId33" w:history="1">
        <w:r w:rsidR="00F913BF" w:rsidRPr="00D655F0">
          <w:rPr>
            <w:rStyle w:val="Hyperlink"/>
          </w:rPr>
          <w:t>https://doi.org/10.9734/BJAST/2015/14975</w:t>
        </w:r>
      </w:hyperlink>
    </w:p>
    <w:p w14:paraId="11840A55" w14:textId="1EA608ED" w:rsidR="003126D4" w:rsidRPr="00D655F0" w:rsidRDefault="001A49F4" w:rsidP="00742956">
      <w:pPr>
        <w:spacing w:line="259" w:lineRule="auto"/>
        <w:jc w:val="both"/>
      </w:pPr>
      <w:r w:rsidRPr="001A49F4">
        <w:t xml:space="preserve">Kallio, H., Pietilä, A.M., Johnson, M. and Kangasniemi, M. (2016) ‘Systematic methodological review: Developing a framework for a qualitative semi-structured interview guide’, </w:t>
      </w:r>
      <w:r w:rsidRPr="001A49F4">
        <w:rPr>
          <w:i/>
          <w:iCs/>
        </w:rPr>
        <w:t>Journal of Advanced Nursing</w:t>
      </w:r>
      <w:r w:rsidRPr="001A49F4">
        <w:t>, 72(12), pp. 2954–2965.</w:t>
      </w:r>
      <w:r w:rsidR="003126D4" w:rsidRPr="00D655F0">
        <w:t xml:space="preserve"> </w:t>
      </w:r>
      <w:hyperlink r:id="rId34" w:history="1">
        <w:r w:rsidR="003126D4" w:rsidRPr="00D655F0">
          <w:rPr>
            <w:rStyle w:val="Hyperlink"/>
          </w:rPr>
          <w:t>https://doi.org/10.1111/jan.13031</w:t>
        </w:r>
      </w:hyperlink>
    </w:p>
    <w:p w14:paraId="7033DA5C" w14:textId="748BB85D" w:rsidR="001A49F4" w:rsidRPr="001A49F4" w:rsidRDefault="001A49F4" w:rsidP="00742956">
      <w:pPr>
        <w:spacing w:line="259" w:lineRule="auto"/>
        <w:jc w:val="both"/>
      </w:pPr>
      <w:r w:rsidRPr="001A49F4">
        <w:t xml:space="preserve"> Kew, J. and Stredwick, J. (2016) </w:t>
      </w:r>
      <w:r w:rsidRPr="001A49F4">
        <w:rPr>
          <w:i/>
          <w:iCs/>
        </w:rPr>
        <w:t>HRM in a business context</w:t>
      </w:r>
      <w:r w:rsidRPr="001A49F4">
        <w:t xml:space="preserve">. 5th </w:t>
      </w:r>
      <w:proofErr w:type="spellStart"/>
      <w:r w:rsidRPr="001A49F4">
        <w:t>edn</w:t>
      </w:r>
      <w:proofErr w:type="spellEnd"/>
      <w:r w:rsidRPr="001A49F4">
        <w:t>. London: CIPD. </w:t>
      </w:r>
    </w:p>
    <w:p w14:paraId="104CFACE" w14:textId="17545D07" w:rsidR="001A49F4" w:rsidRPr="001A49F4" w:rsidRDefault="001A49F4" w:rsidP="00742956">
      <w:pPr>
        <w:spacing w:line="259" w:lineRule="auto"/>
        <w:jc w:val="both"/>
      </w:pPr>
      <w:r w:rsidRPr="001A49F4">
        <w:t xml:space="preserve">Kotter, J.P. (1996) </w:t>
      </w:r>
      <w:r w:rsidRPr="001A49F4">
        <w:rPr>
          <w:i/>
          <w:iCs/>
        </w:rPr>
        <w:t>Leading change</w:t>
      </w:r>
      <w:r w:rsidRPr="001A49F4">
        <w:t>. Boston, MA: Harvard Business School Press. </w:t>
      </w:r>
    </w:p>
    <w:p w14:paraId="743E5C37" w14:textId="77777777" w:rsidR="001A49F4" w:rsidRPr="001A49F4" w:rsidRDefault="001A49F4" w:rsidP="00742956">
      <w:pPr>
        <w:spacing w:line="259" w:lineRule="auto"/>
        <w:jc w:val="both"/>
      </w:pPr>
      <w:r w:rsidRPr="001A49F4">
        <w:t xml:space="preserve">Kübler-Ross, E. (1969) </w:t>
      </w:r>
      <w:r w:rsidRPr="001A49F4">
        <w:rPr>
          <w:i/>
          <w:iCs/>
        </w:rPr>
        <w:t>On death and dying</w:t>
      </w:r>
      <w:r w:rsidRPr="001A49F4">
        <w:t>. New York: Macmillan. </w:t>
      </w:r>
    </w:p>
    <w:p w14:paraId="1764B0B4" w14:textId="1A81838D" w:rsidR="001A49F4" w:rsidRPr="001A49F4" w:rsidRDefault="001A49F4" w:rsidP="00742956">
      <w:pPr>
        <w:spacing w:line="259" w:lineRule="auto"/>
        <w:jc w:val="both"/>
      </w:pPr>
      <w:r w:rsidRPr="001A49F4">
        <w:t xml:space="preserve">Lewin, K. (1951) </w:t>
      </w:r>
      <w:r w:rsidRPr="001A49F4">
        <w:rPr>
          <w:i/>
          <w:iCs/>
        </w:rPr>
        <w:t>Field theory in social science: Selected theoretical papers</w:t>
      </w:r>
      <w:r w:rsidRPr="001A49F4">
        <w:t>. New York: Harper &amp; Row. </w:t>
      </w:r>
      <w:r w:rsidR="000D5EBB">
        <w:t xml:space="preserve"> </w:t>
      </w:r>
    </w:p>
    <w:p w14:paraId="0CDBB3A6" w14:textId="75A07FED" w:rsidR="001A49F4" w:rsidRPr="001A49F4" w:rsidRDefault="001A49F4" w:rsidP="00742956">
      <w:pPr>
        <w:spacing w:line="259" w:lineRule="auto"/>
        <w:jc w:val="both"/>
      </w:pPr>
      <w:r w:rsidRPr="001A49F4">
        <w:t xml:space="preserve">Marchington, M., Wilkinson, A., Donnelly, R. and </w:t>
      </w:r>
      <w:proofErr w:type="spellStart"/>
      <w:r w:rsidRPr="001A49F4">
        <w:t>Kynighou</w:t>
      </w:r>
      <w:proofErr w:type="spellEnd"/>
      <w:r w:rsidRPr="001A49F4">
        <w:t xml:space="preserve">, A. (2016) </w:t>
      </w:r>
      <w:r w:rsidRPr="001A49F4">
        <w:rPr>
          <w:i/>
          <w:iCs/>
        </w:rPr>
        <w:t>Human resource management at work</w:t>
      </w:r>
      <w:r w:rsidRPr="001A49F4">
        <w:t xml:space="preserve">. 6th </w:t>
      </w:r>
      <w:proofErr w:type="spellStart"/>
      <w:r w:rsidRPr="001A49F4">
        <w:t>edn</w:t>
      </w:r>
      <w:proofErr w:type="spellEnd"/>
      <w:r w:rsidRPr="001A49F4">
        <w:t>. London: CIPD.</w:t>
      </w:r>
    </w:p>
    <w:p w14:paraId="63879B01" w14:textId="77777777" w:rsidR="001A49F4" w:rsidRPr="001A49F4" w:rsidRDefault="001A49F4" w:rsidP="00742956">
      <w:pPr>
        <w:spacing w:line="259" w:lineRule="auto"/>
        <w:jc w:val="both"/>
      </w:pPr>
      <w:r w:rsidRPr="001A49F4">
        <w:lastRenderedPageBreak/>
        <w:t xml:space="preserve">McKinsey &amp; Company (2016) </w:t>
      </w:r>
      <w:r w:rsidRPr="001A49F4">
        <w:rPr>
          <w:i/>
          <w:iCs/>
        </w:rPr>
        <w:t>M&amp;A: The human factor in successful integrations</w:t>
      </w:r>
      <w:r w:rsidRPr="001A49F4">
        <w:t>. New York: McKinsey. </w:t>
      </w:r>
    </w:p>
    <w:p w14:paraId="64525BF0" w14:textId="77777777" w:rsidR="001A49F4" w:rsidRPr="001A49F4" w:rsidRDefault="001A49F4" w:rsidP="00742956">
      <w:pPr>
        <w:spacing w:line="259" w:lineRule="auto"/>
        <w:jc w:val="both"/>
      </w:pPr>
      <w:r w:rsidRPr="001A49F4">
        <w:t xml:space="preserve">Open University (2021) </w:t>
      </w:r>
      <w:r w:rsidRPr="001A49F4">
        <w:rPr>
          <w:i/>
          <w:iCs/>
        </w:rPr>
        <w:t>Critical reading techniques</w:t>
      </w:r>
      <w:r w:rsidRPr="001A49F4">
        <w:t xml:space="preserve">. Available at: </w:t>
      </w:r>
      <w:hyperlink r:id="rId35" w:tgtFrame="_blank" w:history="1">
        <w:r w:rsidRPr="001A49F4">
          <w:rPr>
            <w:rStyle w:val="Hyperlink"/>
          </w:rPr>
          <w:t>https://help.open.ac.uk/critically-processing-what-you-read</w:t>
        </w:r>
      </w:hyperlink>
      <w:r w:rsidRPr="001A49F4">
        <w:t xml:space="preserve"> (Accessed: 20 August 2025). </w:t>
      </w:r>
    </w:p>
    <w:p w14:paraId="469DF994" w14:textId="2958A0C8" w:rsidR="001A49F4" w:rsidRPr="00D655F0" w:rsidRDefault="001A49F4" w:rsidP="00742956">
      <w:pPr>
        <w:spacing w:line="259" w:lineRule="auto"/>
        <w:jc w:val="both"/>
      </w:pPr>
      <w:r w:rsidRPr="001A49F4">
        <w:t xml:space="preserve">Purcell, J. and Hutchinson, S. (2007) ‘Front-line managers as agents in the HRM–performance causal chain: Theory, analysis and evidence’, </w:t>
      </w:r>
      <w:r w:rsidRPr="001A49F4">
        <w:rPr>
          <w:i/>
          <w:iCs/>
        </w:rPr>
        <w:t>Human Resource Management Journal</w:t>
      </w:r>
      <w:r w:rsidRPr="001A49F4">
        <w:t>, 17(1), pp. 3–20 </w:t>
      </w:r>
      <w:hyperlink r:id="rId36" w:history="1">
        <w:r w:rsidR="00290B0B" w:rsidRPr="00D655F0">
          <w:rPr>
            <w:rStyle w:val="Hyperlink"/>
          </w:rPr>
          <w:t>https://doi.org/10.1111/j.1748-8583.2007.00022.x</w:t>
        </w:r>
      </w:hyperlink>
      <w:r w:rsidR="000D5EBB">
        <w:t xml:space="preserve">  </w:t>
      </w:r>
    </w:p>
    <w:p w14:paraId="357C721E" w14:textId="77777777" w:rsidR="001A49F4" w:rsidRPr="001A49F4" w:rsidRDefault="001A49F4" w:rsidP="00742956">
      <w:pPr>
        <w:spacing w:line="259" w:lineRule="auto"/>
        <w:jc w:val="both"/>
      </w:pPr>
      <w:r w:rsidRPr="001A49F4">
        <w:t xml:space="preserve">Saunders, M., Lewis, P. and Thornhill, A. (2019) </w:t>
      </w:r>
      <w:r w:rsidRPr="001A49F4">
        <w:rPr>
          <w:i/>
          <w:iCs/>
        </w:rPr>
        <w:t>Research methods for business students</w:t>
      </w:r>
      <w:r w:rsidRPr="001A49F4">
        <w:t xml:space="preserve">. 8th </w:t>
      </w:r>
      <w:proofErr w:type="spellStart"/>
      <w:r w:rsidRPr="001A49F4">
        <w:t>edn</w:t>
      </w:r>
      <w:proofErr w:type="spellEnd"/>
      <w:r w:rsidRPr="001A49F4">
        <w:t>. Harlow: Pearson. </w:t>
      </w:r>
    </w:p>
    <w:p w14:paraId="0232AA17" w14:textId="77777777" w:rsidR="001A49F4" w:rsidRPr="001A49F4" w:rsidRDefault="001A49F4" w:rsidP="00742956">
      <w:pPr>
        <w:spacing w:line="259" w:lineRule="auto"/>
        <w:jc w:val="both"/>
      </w:pPr>
      <w:r w:rsidRPr="001A49F4">
        <w:t xml:space="preserve">Sharp, J.A. (2012) </w:t>
      </w:r>
      <w:r w:rsidRPr="001A49F4">
        <w:rPr>
          <w:i/>
          <w:iCs/>
        </w:rPr>
        <w:t>The management of a student research project</w:t>
      </w:r>
      <w:r w:rsidRPr="001A49F4">
        <w:t xml:space="preserve">. 3rd </w:t>
      </w:r>
      <w:proofErr w:type="spellStart"/>
      <w:r w:rsidRPr="001A49F4">
        <w:t>edn</w:t>
      </w:r>
      <w:proofErr w:type="spellEnd"/>
      <w:r w:rsidRPr="001A49F4">
        <w:t>. Aldershot: Gower. </w:t>
      </w:r>
    </w:p>
    <w:p w14:paraId="6CB3E8E1" w14:textId="77777777" w:rsidR="001A49F4" w:rsidRPr="001A49F4" w:rsidRDefault="001A49F4" w:rsidP="00742956">
      <w:pPr>
        <w:spacing w:line="259" w:lineRule="auto"/>
        <w:jc w:val="both"/>
      </w:pPr>
      <w:r w:rsidRPr="001A49F4">
        <w:t xml:space="preserve">Society for Human Resource Management (SHRM) (2017) </w:t>
      </w:r>
      <w:r w:rsidRPr="001A49F4">
        <w:rPr>
          <w:i/>
          <w:iCs/>
        </w:rPr>
        <w:t>Managing mergers and acquisitions</w:t>
      </w:r>
      <w:r w:rsidRPr="001A49F4">
        <w:t>. Alexandria, VA: SHRM. </w:t>
      </w:r>
    </w:p>
    <w:p w14:paraId="4CF9E63E" w14:textId="77777777" w:rsidR="001A49F4" w:rsidRPr="001A49F4" w:rsidRDefault="001A49F4" w:rsidP="00742956">
      <w:pPr>
        <w:spacing w:line="259" w:lineRule="auto"/>
        <w:jc w:val="both"/>
      </w:pPr>
      <w:r w:rsidRPr="001A49F4">
        <w:t xml:space="preserve">Tajik, O., Golzar, J. and Noor, S. (2025) ‘Purposive Sampling’, </w:t>
      </w:r>
      <w:r w:rsidRPr="001A49F4">
        <w:rPr>
          <w:i/>
          <w:iCs/>
        </w:rPr>
        <w:t>International Journal of Education &amp; Language Studies</w:t>
      </w:r>
      <w:r w:rsidRPr="001A49F4">
        <w:t xml:space="preserve">. Available at: </w:t>
      </w:r>
      <w:hyperlink r:id="rId37" w:tgtFrame="_blank" w:history="1">
        <w:r w:rsidRPr="001A49F4">
          <w:rPr>
            <w:rStyle w:val="Hyperlink"/>
          </w:rPr>
          <w:t>https://www.researchgate.net/publication/391849280_Purposive_Sampling</w:t>
        </w:r>
      </w:hyperlink>
      <w:r w:rsidRPr="001A49F4">
        <w:t xml:space="preserve"> (Accessed: 9 September 2025). </w:t>
      </w:r>
    </w:p>
    <w:p w14:paraId="2A02B5A9" w14:textId="77777777" w:rsidR="001A49F4" w:rsidRPr="001A49F4" w:rsidRDefault="001A49F4" w:rsidP="00742956">
      <w:pPr>
        <w:spacing w:line="259" w:lineRule="auto"/>
        <w:jc w:val="both"/>
      </w:pPr>
      <w:r w:rsidRPr="001A49F4">
        <w:t xml:space="preserve">Taylor, S. (2014) </w:t>
      </w:r>
      <w:r w:rsidRPr="001A49F4">
        <w:rPr>
          <w:i/>
          <w:iCs/>
        </w:rPr>
        <w:t>Resourcing and talent management</w:t>
      </w:r>
      <w:r w:rsidRPr="001A49F4">
        <w:t xml:space="preserve">. 6th </w:t>
      </w:r>
      <w:proofErr w:type="spellStart"/>
      <w:r w:rsidRPr="001A49F4">
        <w:t>edn</w:t>
      </w:r>
      <w:proofErr w:type="spellEnd"/>
      <w:r w:rsidRPr="001A49F4">
        <w:t>. London: CIPD. </w:t>
      </w:r>
    </w:p>
    <w:p w14:paraId="44FFE5C4" w14:textId="481CF1E5" w:rsidR="001A49F4" w:rsidRPr="001A49F4" w:rsidRDefault="001A49F4" w:rsidP="00742956">
      <w:pPr>
        <w:spacing w:line="259" w:lineRule="auto"/>
        <w:jc w:val="both"/>
      </w:pPr>
      <w:r w:rsidRPr="001A49F4">
        <w:t xml:space="preserve">Torrington, D., Hall, L., Taylor, S. and Atkinson, C. (2017) </w:t>
      </w:r>
      <w:r w:rsidRPr="001A49F4">
        <w:rPr>
          <w:i/>
          <w:iCs/>
        </w:rPr>
        <w:t>Human resource management</w:t>
      </w:r>
      <w:r w:rsidRPr="001A49F4">
        <w:t xml:space="preserve">. 9th </w:t>
      </w:r>
      <w:proofErr w:type="spellStart"/>
      <w:r w:rsidRPr="001A49F4">
        <w:t>edn</w:t>
      </w:r>
      <w:proofErr w:type="spellEnd"/>
      <w:r w:rsidRPr="001A49F4">
        <w:t>. Harlow: Pearson. </w:t>
      </w:r>
      <w:r w:rsidR="000D5EBB">
        <w:t xml:space="preserve"> </w:t>
      </w:r>
    </w:p>
    <w:p w14:paraId="281E7416" w14:textId="77777777" w:rsidR="001A49F4" w:rsidRPr="001A49F4" w:rsidRDefault="001A49F4" w:rsidP="00742956">
      <w:pPr>
        <w:spacing w:line="259" w:lineRule="auto"/>
        <w:jc w:val="both"/>
      </w:pPr>
      <w:r w:rsidRPr="001A49F4">
        <w:t xml:space="preserve">Ulrich, D. (1997) </w:t>
      </w:r>
      <w:r w:rsidRPr="001A49F4">
        <w:rPr>
          <w:i/>
          <w:iCs/>
        </w:rPr>
        <w:t>Human resource champions: The next agenda for adding value and delivering results</w:t>
      </w:r>
      <w:r w:rsidRPr="001A49F4">
        <w:t>. Boston, MA: Harvard Business School Press. </w:t>
      </w:r>
    </w:p>
    <w:p w14:paraId="33582857" w14:textId="1978C4D9" w:rsidR="001A49F4" w:rsidRPr="001A49F4" w:rsidRDefault="001A49F4" w:rsidP="00742956">
      <w:pPr>
        <w:spacing w:line="259" w:lineRule="auto"/>
        <w:jc w:val="both"/>
      </w:pPr>
      <w:r w:rsidRPr="001A49F4">
        <w:t xml:space="preserve">Walker, R. and Solvason, C. (2014) </w:t>
      </w:r>
      <w:r w:rsidRPr="001A49F4">
        <w:rPr>
          <w:i/>
          <w:iCs/>
        </w:rPr>
        <w:t>Success with your education research project</w:t>
      </w:r>
      <w:r w:rsidRPr="001A49F4">
        <w:t xml:space="preserve">. 2nd </w:t>
      </w:r>
      <w:proofErr w:type="spellStart"/>
      <w:r w:rsidRPr="001A49F4">
        <w:t>edn</w:t>
      </w:r>
      <w:proofErr w:type="spellEnd"/>
      <w:r w:rsidRPr="001A49F4">
        <w:t>. London: Sage. </w:t>
      </w:r>
      <w:r w:rsidR="000D5EBB">
        <w:t xml:space="preserve"> </w:t>
      </w:r>
    </w:p>
    <w:p w14:paraId="58105BDC" w14:textId="319A449E" w:rsidR="001A49F4" w:rsidRPr="00D655F0" w:rsidRDefault="001A49F4" w:rsidP="00742956">
      <w:pPr>
        <w:spacing w:line="259" w:lineRule="auto"/>
        <w:jc w:val="both"/>
      </w:pPr>
      <w:r w:rsidRPr="001A49F4">
        <w:t xml:space="preserve">Weiner, B.J. (2009) ‘A theory of organizational readiness for change’, </w:t>
      </w:r>
      <w:r w:rsidRPr="001A49F4">
        <w:rPr>
          <w:i/>
          <w:iCs/>
        </w:rPr>
        <w:t>Implementation Science</w:t>
      </w:r>
      <w:r w:rsidRPr="001A49F4">
        <w:t>, 4(1), pp. 67–79. </w:t>
      </w:r>
      <w:hyperlink r:id="rId38" w:history="1">
        <w:r w:rsidR="00BF35FC" w:rsidRPr="00D655F0">
          <w:rPr>
            <w:rStyle w:val="Hyperlink"/>
          </w:rPr>
          <w:t>https://doi.org/10.1186/1748-5908-4-67</w:t>
        </w:r>
      </w:hyperlink>
    </w:p>
    <w:p w14:paraId="06A0E0FD" w14:textId="06472FED" w:rsidR="001A49F4" w:rsidRPr="00D655F0" w:rsidRDefault="001A49F4" w:rsidP="00742956">
      <w:pPr>
        <w:spacing w:line="259" w:lineRule="auto"/>
        <w:jc w:val="both"/>
      </w:pPr>
      <w:r w:rsidRPr="001A49F4">
        <w:t xml:space="preserve">Zipse, D., Chorn, N. and Becker, J. (2024) ‘Sustainability-driven transformation: Integrating people, purpose, and performance’, </w:t>
      </w:r>
      <w:r w:rsidRPr="001A49F4">
        <w:rPr>
          <w:i/>
          <w:iCs/>
        </w:rPr>
        <w:t>Journal of Organizational Change Management</w:t>
      </w:r>
      <w:r w:rsidRPr="001A49F4">
        <w:t>, 37(1), pp. 112–130.</w:t>
      </w:r>
      <w:r w:rsidR="00BF35FC" w:rsidRPr="00D655F0">
        <w:rPr>
          <w:color w:val="EE0000"/>
        </w:rPr>
        <w:t xml:space="preserve"> </w:t>
      </w:r>
      <w:hyperlink r:id="rId39" w:history="1">
        <w:r w:rsidR="00BF35FC" w:rsidRPr="00D655F0">
          <w:rPr>
            <w:rStyle w:val="Hyperlink"/>
          </w:rPr>
          <w:t>https://doi.org/10.1108/JOCM-09-2023-0309</w:t>
        </w:r>
      </w:hyperlink>
    </w:p>
    <w:p w14:paraId="0686AC30" w14:textId="77777777" w:rsidR="00412DBD" w:rsidRDefault="00412DBD" w:rsidP="00412DBD">
      <w:pPr>
        <w:jc w:val="both"/>
      </w:pPr>
    </w:p>
    <w:p w14:paraId="5B3F1023" w14:textId="77777777" w:rsidR="00426EED" w:rsidRDefault="00426EED" w:rsidP="00412DBD">
      <w:pPr>
        <w:jc w:val="both"/>
      </w:pPr>
    </w:p>
    <w:p w14:paraId="444D791C" w14:textId="77777777" w:rsidR="00426EED" w:rsidRPr="00D655F0" w:rsidRDefault="00426EED" w:rsidP="00412DBD">
      <w:pPr>
        <w:jc w:val="both"/>
      </w:pPr>
    </w:p>
    <w:p w14:paraId="778852F9" w14:textId="77777777" w:rsidR="00412DBD" w:rsidRPr="002D1A57" w:rsidRDefault="00412DBD" w:rsidP="00121B31">
      <w:pPr>
        <w:pStyle w:val="Heading1"/>
        <w:rPr>
          <w:rFonts w:ascii="Arial" w:hAnsi="Arial" w:cs="Arial"/>
          <w:sz w:val="32"/>
          <w:szCs w:val="32"/>
          <w:u w:val="single"/>
        </w:rPr>
      </w:pPr>
      <w:bookmarkStart w:id="36" w:name="_Toc210069347"/>
      <w:r w:rsidRPr="002D1A57">
        <w:rPr>
          <w:rFonts w:ascii="Arial" w:hAnsi="Arial" w:cs="Arial"/>
          <w:sz w:val="32"/>
          <w:szCs w:val="32"/>
          <w:u w:val="single"/>
        </w:rPr>
        <w:lastRenderedPageBreak/>
        <w:t>8. Appendices</w:t>
      </w:r>
      <w:bookmarkEnd w:id="36"/>
    </w:p>
    <w:p w14:paraId="74AA2ECF" w14:textId="146168FD" w:rsidR="006351B8" w:rsidRPr="000D550E" w:rsidRDefault="00412DBD" w:rsidP="006351B8">
      <w:pPr>
        <w:pStyle w:val="Heading2"/>
      </w:pPr>
      <w:bookmarkStart w:id="37" w:name="_Toc210069348"/>
      <w:r w:rsidRPr="000D550E">
        <w:t>Appendix 1</w:t>
      </w:r>
      <w:r w:rsidR="00262119" w:rsidRPr="000D550E">
        <w:t xml:space="preserve">- </w:t>
      </w:r>
      <w:r w:rsidR="006351B8" w:rsidRPr="000D550E">
        <w:t>Interview Guide: AFI Post-Merger Line Manager Interview Schedule</w:t>
      </w:r>
      <w:bookmarkEnd w:id="37"/>
    </w:p>
    <w:p w14:paraId="3FD2B82E" w14:textId="77777777" w:rsidR="006351B8" w:rsidRPr="006351B8" w:rsidRDefault="006351B8" w:rsidP="006351B8">
      <w:r w:rsidRPr="006351B8">
        <w:rPr>
          <w:i/>
          <w:iCs/>
        </w:rPr>
        <w:t>(Source: Researcher, 2025)</w:t>
      </w:r>
    </w:p>
    <w:p w14:paraId="11F095A7" w14:textId="77777777" w:rsidR="006351B8" w:rsidRPr="006351B8" w:rsidRDefault="006351B8" w:rsidP="00B32512">
      <w:pPr>
        <w:jc w:val="both"/>
      </w:pPr>
      <w:r w:rsidRPr="006351B8">
        <w:t>This appendix provides the semi-structured interview guide used to collect primary data from six mid-level line managers at AFI. The questions were designed to explore emotional readiness, confidence, capability, support structures, and improvement opportunities during the post-merger transition. The guide was underpinned by a multi-theoretical framework to ensure each question aligned with established organisational behaviour and HR development models.</w:t>
      </w:r>
    </w:p>
    <w:p w14:paraId="55A9F272" w14:textId="780572F2" w:rsidR="006351B8" w:rsidRPr="006351B8" w:rsidRDefault="006351B8" w:rsidP="006351B8"/>
    <w:p w14:paraId="73C6E3E4" w14:textId="77777777" w:rsidR="006351B8" w:rsidRPr="006351B8" w:rsidRDefault="006351B8" w:rsidP="006351B8">
      <w:pPr>
        <w:rPr>
          <w:b/>
          <w:bCs/>
        </w:rPr>
      </w:pPr>
      <w:r w:rsidRPr="006351B8">
        <w:rPr>
          <w:b/>
          <w:bCs/>
        </w:rPr>
        <w:t>AFI – Post-Merger Line Manager Interview Guide</w:t>
      </w:r>
    </w:p>
    <w:p w14:paraId="302191EC" w14:textId="77777777" w:rsidR="006351B8" w:rsidRPr="006351B8" w:rsidRDefault="006351B8" w:rsidP="00B32512">
      <w:pPr>
        <w:jc w:val="both"/>
      </w:pPr>
      <w:r w:rsidRPr="006351B8">
        <w:t xml:space="preserve">This interview guide explores how line managers are adapting to the post-merger transition at AFI, with a focus on emotional readiness, capability development, and support needs. It is underpinned by a multi-theoretical framework to ensure questions are evidence-based and relevant to behavioural, organisational, and learning dimensions of change management. The central theoretical foundation is the </w:t>
      </w:r>
      <w:r w:rsidRPr="0022021D">
        <w:t>CIPD (2011) Ability Framework, which highlights the importance of aligning employees’ skills,</w:t>
      </w:r>
      <w:r w:rsidRPr="006351B8">
        <w:t xml:space="preserve"> confidence, and behavioural readiness to organisational expectations.</w:t>
      </w:r>
    </w:p>
    <w:p w14:paraId="12E7DA63" w14:textId="77777777" w:rsidR="006351B8" w:rsidRPr="006351B8" w:rsidRDefault="006351B8" w:rsidP="00B32512">
      <w:pPr>
        <w:jc w:val="both"/>
      </w:pPr>
      <w:r w:rsidRPr="006351B8">
        <w:t>The aim is to identify the skills gaps in the current role, and the purpose is to understand the gap to build a pathway to bridge the skills required as part of the integration.</w:t>
      </w:r>
    </w:p>
    <w:p w14:paraId="63B1BEA9" w14:textId="0417A13C" w:rsidR="006351B8" w:rsidRPr="006351B8" w:rsidRDefault="006351B8" w:rsidP="006351B8"/>
    <w:p w14:paraId="34EC4A2A" w14:textId="77777777" w:rsidR="006351B8" w:rsidRPr="006351B8" w:rsidRDefault="006351B8" w:rsidP="006351B8">
      <w:pPr>
        <w:rPr>
          <w:b/>
          <w:bCs/>
        </w:rPr>
      </w:pPr>
      <w:r w:rsidRPr="006351B8">
        <w:rPr>
          <w:b/>
          <w:bCs/>
        </w:rPr>
        <w:t xml:space="preserve">1. Adjusting to Change </w:t>
      </w:r>
      <w:r w:rsidRPr="006351B8">
        <w:rPr>
          <w:b/>
          <w:bCs/>
          <w:i/>
          <w:iCs/>
        </w:rPr>
        <w:t>(Kübler-Ross, Lewin)</w:t>
      </w:r>
    </w:p>
    <w:p w14:paraId="67E5EEE5" w14:textId="77777777" w:rsidR="006351B8" w:rsidRPr="006351B8" w:rsidRDefault="006351B8" w:rsidP="006351B8">
      <w:pPr>
        <w:numPr>
          <w:ilvl w:val="0"/>
          <w:numId w:val="6"/>
        </w:numPr>
      </w:pPr>
      <w:r w:rsidRPr="006351B8">
        <w:t>What were your initial feelings about the merger (positive, negative, or neutral), and has that evolved?</w:t>
      </w:r>
    </w:p>
    <w:p w14:paraId="7B0AA586" w14:textId="77777777" w:rsidR="006351B8" w:rsidRPr="006351B8" w:rsidRDefault="006351B8" w:rsidP="006351B8">
      <w:pPr>
        <w:numPr>
          <w:ilvl w:val="0"/>
          <w:numId w:val="6"/>
        </w:numPr>
      </w:pPr>
      <w:r w:rsidRPr="006351B8">
        <w:t>Using three words, describe how you feel about the change/integration into AFI FF.</w:t>
      </w:r>
    </w:p>
    <w:p w14:paraId="627CF9D1" w14:textId="77777777" w:rsidR="006351B8" w:rsidRPr="006351B8" w:rsidRDefault="006351B8" w:rsidP="006351B8">
      <w:pPr>
        <w:numPr>
          <w:ilvl w:val="0"/>
          <w:numId w:val="6"/>
        </w:numPr>
      </w:pPr>
      <w:r w:rsidRPr="006351B8">
        <w:t>List the changes you have observed in your team’s engagement or attitudes.</w:t>
      </w:r>
    </w:p>
    <w:p w14:paraId="6F88B5BE" w14:textId="19911CE4" w:rsidR="006351B8" w:rsidRPr="006351B8" w:rsidRDefault="006351B8" w:rsidP="006351B8"/>
    <w:p w14:paraId="6AB12CA9" w14:textId="77777777" w:rsidR="006351B8" w:rsidRPr="006351B8" w:rsidRDefault="006351B8" w:rsidP="006351B8">
      <w:pPr>
        <w:rPr>
          <w:b/>
          <w:bCs/>
        </w:rPr>
      </w:pPr>
      <w:r w:rsidRPr="006351B8">
        <w:rPr>
          <w:b/>
          <w:bCs/>
        </w:rPr>
        <w:t xml:space="preserve">2. Confidence &amp; Capability </w:t>
      </w:r>
      <w:r w:rsidRPr="006351B8">
        <w:rPr>
          <w:b/>
          <w:bCs/>
          <w:i/>
          <w:iCs/>
        </w:rPr>
        <w:t>(CIPD Ability, Bandura, Role Theory)</w:t>
      </w:r>
    </w:p>
    <w:p w14:paraId="2A0B4C4D" w14:textId="77777777" w:rsidR="006351B8" w:rsidRPr="006351B8" w:rsidRDefault="006351B8" w:rsidP="006351B8">
      <w:pPr>
        <w:numPr>
          <w:ilvl w:val="0"/>
          <w:numId w:val="7"/>
        </w:numPr>
      </w:pPr>
      <w:r w:rsidRPr="006351B8">
        <w:t>Describe what aspect of your role changed in terms of HR-related responsibilities.</w:t>
      </w:r>
    </w:p>
    <w:p w14:paraId="0E7AF7F3" w14:textId="77777777" w:rsidR="006351B8" w:rsidRPr="006351B8" w:rsidRDefault="006351B8" w:rsidP="006351B8">
      <w:pPr>
        <w:numPr>
          <w:ilvl w:val="0"/>
          <w:numId w:val="7"/>
        </w:numPr>
      </w:pPr>
      <w:r w:rsidRPr="006351B8">
        <w:t>How confident do you feel in managing people responsibilities?</w:t>
      </w:r>
    </w:p>
    <w:p w14:paraId="1E86CDD1" w14:textId="77777777" w:rsidR="006351B8" w:rsidRPr="006351B8" w:rsidRDefault="006351B8" w:rsidP="006351B8">
      <w:pPr>
        <w:numPr>
          <w:ilvl w:val="0"/>
          <w:numId w:val="7"/>
        </w:numPr>
      </w:pPr>
      <w:r w:rsidRPr="006351B8">
        <w:lastRenderedPageBreak/>
        <w:t>What aspects of your role feel unclear or challenging since the change?</w:t>
      </w:r>
    </w:p>
    <w:p w14:paraId="349288AB" w14:textId="6F0E231A" w:rsidR="006351B8" w:rsidRPr="006351B8" w:rsidRDefault="006351B8" w:rsidP="006351B8"/>
    <w:p w14:paraId="7491D55F" w14:textId="77777777" w:rsidR="006351B8" w:rsidRPr="006351B8" w:rsidRDefault="006351B8" w:rsidP="006351B8">
      <w:pPr>
        <w:rPr>
          <w:b/>
          <w:bCs/>
        </w:rPr>
      </w:pPr>
      <w:r w:rsidRPr="006351B8">
        <w:rPr>
          <w:b/>
          <w:bCs/>
        </w:rPr>
        <w:t xml:space="preserve">3. Support, Communication &amp; Development </w:t>
      </w:r>
      <w:r w:rsidRPr="006351B8">
        <w:rPr>
          <w:b/>
          <w:bCs/>
          <w:i/>
          <w:iCs/>
        </w:rPr>
        <w:t>(Ulrich, Kolb, Kotter)</w:t>
      </w:r>
    </w:p>
    <w:p w14:paraId="19B381C5" w14:textId="77777777" w:rsidR="006351B8" w:rsidRPr="006351B8" w:rsidRDefault="006351B8" w:rsidP="006351B8">
      <w:pPr>
        <w:numPr>
          <w:ilvl w:val="0"/>
          <w:numId w:val="8"/>
        </w:numPr>
      </w:pPr>
      <w:r w:rsidRPr="006351B8">
        <w:t>Please describe the support and communication you received during the integration process.</w:t>
      </w:r>
    </w:p>
    <w:p w14:paraId="1686178B" w14:textId="77777777" w:rsidR="006351B8" w:rsidRPr="006351B8" w:rsidRDefault="006351B8" w:rsidP="006351B8">
      <w:r w:rsidRPr="006351B8">
        <w:t>In your response, include the following:</w:t>
      </w:r>
    </w:p>
    <w:p w14:paraId="3141F315" w14:textId="77777777" w:rsidR="006351B8" w:rsidRPr="006351B8" w:rsidRDefault="006351B8" w:rsidP="006351B8">
      <w:r w:rsidRPr="006351B8">
        <w:t>Rate the positive support you received on a scale of 1 to 5, using the guide below, and explain how you felt about it:</w:t>
      </w:r>
    </w:p>
    <w:p w14:paraId="4A174053" w14:textId="77777777" w:rsidR="006351B8" w:rsidRPr="006351B8" w:rsidRDefault="006351B8" w:rsidP="006351B8">
      <w:pPr>
        <w:numPr>
          <w:ilvl w:val="0"/>
          <w:numId w:val="9"/>
        </w:numPr>
      </w:pPr>
      <w:r w:rsidRPr="006351B8">
        <w:t>1 – Very unhelpful: No meaningful support, felt unsupported throughout</w:t>
      </w:r>
    </w:p>
    <w:p w14:paraId="790B85DE" w14:textId="77777777" w:rsidR="006351B8" w:rsidRPr="006351B8" w:rsidRDefault="006351B8" w:rsidP="006351B8">
      <w:pPr>
        <w:numPr>
          <w:ilvl w:val="0"/>
          <w:numId w:val="9"/>
        </w:numPr>
      </w:pPr>
      <w:r w:rsidRPr="006351B8">
        <w:t>2 – Poor: Minimal support, lacked clarity or consistency</w:t>
      </w:r>
    </w:p>
    <w:p w14:paraId="4A1B8E0F" w14:textId="77777777" w:rsidR="006351B8" w:rsidRPr="006351B8" w:rsidRDefault="006351B8" w:rsidP="006351B8">
      <w:pPr>
        <w:numPr>
          <w:ilvl w:val="0"/>
          <w:numId w:val="9"/>
        </w:numPr>
      </w:pPr>
      <w:r w:rsidRPr="006351B8">
        <w:t>3 – Neutral: Support was average, met basic expectations</w:t>
      </w:r>
    </w:p>
    <w:p w14:paraId="1E25AB65" w14:textId="77777777" w:rsidR="006351B8" w:rsidRPr="006351B8" w:rsidRDefault="006351B8" w:rsidP="006351B8">
      <w:pPr>
        <w:numPr>
          <w:ilvl w:val="0"/>
          <w:numId w:val="9"/>
        </w:numPr>
      </w:pPr>
      <w:r w:rsidRPr="006351B8">
        <w:t>4 – Good: Support was helpful and mostly consistent</w:t>
      </w:r>
    </w:p>
    <w:p w14:paraId="262D0248" w14:textId="77777777" w:rsidR="006351B8" w:rsidRPr="006351B8" w:rsidRDefault="006351B8" w:rsidP="006351B8">
      <w:pPr>
        <w:numPr>
          <w:ilvl w:val="0"/>
          <w:numId w:val="9"/>
        </w:numPr>
      </w:pPr>
      <w:r w:rsidRPr="006351B8">
        <w:t>5 – Excellent: Strong, proactive support that made a clear positive difference</w:t>
      </w:r>
    </w:p>
    <w:p w14:paraId="27BD4DAA" w14:textId="77777777" w:rsidR="006351B8" w:rsidRPr="006351B8" w:rsidRDefault="006351B8" w:rsidP="006351B8">
      <w:r w:rsidRPr="006351B8">
        <w:t>Rate the effectiveness of communication about the integration on a scale of 1 to 5 (1 = Very Poor, 5 = Excellent).</w:t>
      </w:r>
    </w:p>
    <w:p w14:paraId="24592D81" w14:textId="77777777" w:rsidR="006351B8" w:rsidRPr="006351B8" w:rsidRDefault="006351B8" w:rsidP="006351B8">
      <w:r w:rsidRPr="006351B8">
        <w:t>Describe any training you received to help implement the integration and comment on how effective or relevant it was to your role.</w:t>
      </w:r>
    </w:p>
    <w:p w14:paraId="0C3370ED" w14:textId="0C659934" w:rsidR="006351B8" w:rsidRPr="006351B8" w:rsidRDefault="006351B8" w:rsidP="006351B8"/>
    <w:p w14:paraId="2C7FFD61" w14:textId="77777777" w:rsidR="006351B8" w:rsidRPr="006351B8" w:rsidRDefault="006351B8" w:rsidP="006351B8">
      <w:pPr>
        <w:rPr>
          <w:b/>
          <w:bCs/>
        </w:rPr>
      </w:pPr>
      <w:r w:rsidRPr="006351B8">
        <w:rPr>
          <w:b/>
          <w:bCs/>
        </w:rPr>
        <w:t xml:space="preserve">4. Barriers &amp; Enablers to Performance </w:t>
      </w:r>
      <w:r w:rsidRPr="006351B8">
        <w:rPr>
          <w:b/>
          <w:bCs/>
          <w:i/>
          <w:iCs/>
        </w:rPr>
        <w:t>(CIPD Ability, Herzberg, Oxford Review)</w:t>
      </w:r>
    </w:p>
    <w:p w14:paraId="45283E71" w14:textId="77777777" w:rsidR="006351B8" w:rsidRPr="006351B8" w:rsidRDefault="006351B8" w:rsidP="00B32512">
      <w:pPr>
        <w:numPr>
          <w:ilvl w:val="0"/>
          <w:numId w:val="10"/>
        </w:numPr>
        <w:jc w:val="both"/>
      </w:pPr>
      <w:r w:rsidRPr="006351B8">
        <w:t>To what extent do you perceive that the changes during the integration may create organisational or cultural barriers that could impact your ability to manage effectively?</w:t>
      </w:r>
    </w:p>
    <w:p w14:paraId="33F0447A" w14:textId="77777777" w:rsidR="006351B8" w:rsidRPr="006351B8" w:rsidRDefault="006351B8" w:rsidP="00B32512">
      <w:pPr>
        <w:numPr>
          <w:ilvl w:val="0"/>
          <w:numId w:val="10"/>
        </w:numPr>
        <w:jc w:val="both"/>
      </w:pPr>
      <w:r w:rsidRPr="006351B8">
        <w:t>If so, have you identified any support mechanisms that could enable you and your team to adapt, perform, and grow moving forward?</w:t>
      </w:r>
    </w:p>
    <w:p w14:paraId="237FC47A" w14:textId="30B32400" w:rsidR="006351B8" w:rsidRPr="006351B8" w:rsidRDefault="006351B8" w:rsidP="006351B8"/>
    <w:p w14:paraId="77A15316" w14:textId="77777777" w:rsidR="006351B8" w:rsidRPr="006351B8" w:rsidRDefault="006351B8" w:rsidP="006351B8">
      <w:pPr>
        <w:rPr>
          <w:b/>
          <w:bCs/>
        </w:rPr>
      </w:pPr>
      <w:r w:rsidRPr="006351B8">
        <w:rPr>
          <w:b/>
          <w:bCs/>
        </w:rPr>
        <w:t xml:space="preserve">5. Improvement &amp; Risk Awareness </w:t>
      </w:r>
      <w:r w:rsidRPr="006351B8">
        <w:rPr>
          <w:b/>
          <w:bCs/>
          <w:i/>
          <w:iCs/>
        </w:rPr>
        <w:t>(Kirkpatrick, Risk Management, Kotter)</w:t>
      </w:r>
    </w:p>
    <w:p w14:paraId="02FD59DF" w14:textId="77777777" w:rsidR="006351B8" w:rsidRPr="006351B8" w:rsidRDefault="006351B8" w:rsidP="00B32512">
      <w:pPr>
        <w:numPr>
          <w:ilvl w:val="0"/>
          <w:numId w:val="11"/>
        </w:numPr>
        <w:jc w:val="both"/>
      </w:pPr>
      <w:r w:rsidRPr="006351B8">
        <w:t>What should AFI prioritise to better equip, develop, and support line managers in their evolving roles?</w:t>
      </w:r>
    </w:p>
    <w:p w14:paraId="4C6D829F" w14:textId="77777777" w:rsidR="006351B8" w:rsidRPr="006351B8" w:rsidRDefault="006351B8" w:rsidP="00B32512">
      <w:pPr>
        <w:numPr>
          <w:ilvl w:val="0"/>
          <w:numId w:val="11"/>
        </w:numPr>
        <w:jc w:val="both"/>
      </w:pPr>
      <w:r w:rsidRPr="006351B8">
        <w:t>Can you anticipate any potential risks if current capability gaps are not addressed? If so, what are they, and how might they impact performance or outcomes?</w:t>
      </w:r>
    </w:p>
    <w:p w14:paraId="15B7EDD3" w14:textId="6DF705E9" w:rsidR="006351B8" w:rsidRPr="006351B8" w:rsidRDefault="006351B8" w:rsidP="00B32512">
      <w:pPr>
        <w:numPr>
          <w:ilvl w:val="0"/>
          <w:numId w:val="11"/>
        </w:numPr>
        <w:jc w:val="both"/>
      </w:pPr>
      <w:r w:rsidRPr="006351B8">
        <w:t xml:space="preserve">Reflecting on the merger process, is there anything you would have approached, communicated, or executed </w:t>
      </w:r>
      <w:proofErr w:type="spellStart"/>
      <w:r w:rsidRPr="006351B8">
        <w:t>differentl</w:t>
      </w:r>
      <w:proofErr w:type="spellEnd"/>
    </w:p>
    <w:p w14:paraId="21834435" w14:textId="77777777" w:rsidR="006351B8" w:rsidRPr="00426EED" w:rsidRDefault="006351B8" w:rsidP="00426EED">
      <w:pPr>
        <w:pStyle w:val="Heading2"/>
        <w:rPr>
          <w:b/>
          <w:bCs/>
        </w:rPr>
      </w:pPr>
    </w:p>
    <w:p w14:paraId="37754443" w14:textId="54E2B893" w:rsidR="002235AE" w:rsidRPr="000D550E" w:rsidRDefault="00426EED" w:rsidP="00426EED">
      <w:pPr>
        <w:pStyle w:val="Heading2"/>
      </w:pPr>
      <w:bookmarkStart w:id="38" w:name="_Toc210069349"/>
      <w:r w:rsidRPr="000D550E">
        <w:t>A</w:t>
      </w:r>
      <w:r w:rsidR="002235AE" w:rsidRPr="000D550E">
        <w:t>ppendix 2 – Figure 1: The Research Onion</w:t>
      </w:r>
      <w:bookmarkEnd w:id="38"/>
    </w:p>
    <w:p w14:paraId="28C87F9B" w14:textId="77777777" w:rsidR="002235AE" w:rsidRPr="002908C6" w:rsidRDefault="002235AE" w:rsidP="002235AE">
      <w:pPr>
        <w:jc w:val="both"/>
        <w:rPr>
          <w:i/>
          <w:iCs/>
        </w:rPr>
      </w:pPr>
      <w:r w:rsidRPr="002908C6">
        <w:rPr>
          <w:i/>
          <w:iCs/>
        </w:rPr>
        <w:t xml:space="preserve">(Source: Saunders, Lewis and Thornhill, 2019, Research Methods for Business Students, 8th </w:t>
      </w:r>
      <w:proofErr w:type="spellStart"/>
      <w:r w:rsidRPr="002908C6">
        <w:rPr>
          <w:i/>
          <w:iCs/>
        </w:rPr>
        <w:t>edn</w:t>
      </w:r>
      <w:proofErr w:type="spellEnd"/>
      <w:r w:rsidRPr="002908C6">
        <w:rPr>
          <w:i/>
          <w:iCs/>
        </w:rPr>
        <w:t>, Pearson)</w:t>
      </w:r>
    </w:p>
    <w:p w14:paraId="23A4B2E8" w14:textId="77777777" w:rsidR="00412DBD" w:rsidRPr="00D655F0" w:rsidRDefault="00412DBD" w:rsidP="00412DBD">
      <w:pPr>
        <w:ind w:left="2880" w:firstLine="720"/>
        <w:jc w:val="both"/>
      </w:pPr>
      <w:r w:rsidRPr="00D655F0">
        <w:rPr>
          <w:noProof/>
        </w:rPr>
        <mc:AlternateContent>
          <mc:Choice Requires="wps">
            <w:drawing>
              <wp:inline distT="0" distB="0" distL="0" distR="0" wp14:anchorId="14504D68" wp14:editId="67B65AD5">
                <wp:extent cx="304800" cy="304800"/>
                <wp:effectExtent l="0" t="0" r="0" b="0"/>
                <wp:docPr id="1935597349" name="Rectangle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6CC763" id="Rectangle 3"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655F0">
        <w:t xml:space="preserve"> </w:t>
      </w:r>
      <w:r w:rsidRPr="00D655F0">
        <w:rPr>
          <w:noProof/>
        </w:rPr>
        <w:drawing>
          <wp:inline distT="0" distB="0" distL="0" distR="0" wp14:anchorId="59C7853A" wp14:editId="2093E5CB">
            <wp:extent cx="3489960" cy="2479399"/>
            <wp:effectExtent l="0" t="0" r="0" b="0"/>
            <wp:docPr id="1335780331" name="Picture 4" descr="A diagram of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80331" name="Picture 4" descr="A diagram of scientific method&#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98476" cy="2485449"/>
                    </a:xfrm>
                    <a:prstGeom prst="rect">
                      <a:avLst/>
                    </a:prstGeom>
                    <a:noFill/>
                  </pic:spPr>
                </pic:pic>
              </a:graphicData>
            </a:graphic>
          </wp:inline>
        </w:drawing>
      </w:r>
      <w:r w:rsidRPr="00D655F0">
        <w:rPr>
          <w:noProof/>
        </w:rPr>
        <mc:AlternateContent>
          <mc:Choice Requires="wps">
            <w:drawing>
              <wp:inline distT="0" distB="0" distL="0" distR="0" wp14:anchorId="2EACD966" wp14:editId="381CE59D">
                <wp:extent cx="304800" cy="304800"/>
                <wp:effectExtent l="0" t="0" r="0" b="0"/>
                <wp:docPr id="129122291" name="AutoShape 1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ED2A8" id="AutoShape 17"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0703132" w14:textId="77777777" w:rsidR="00412DBD" w:rsidRPr="00D655F0" w:rsidRDefault="00412DBD" w:rsidP="00412DBD">
      <w:pPr>
        <w:ind w:left="2880" w:firstLine="720"/>
        <w:jc w:val="both"/>
      </w:pPr>
    </w:p>
    <w:p w14:paraId="6B1C0681" w14:textId="77777777" w:rsidR="00412DBD" w:rsidRDefault="00412DBD" w:rsidP="00B32512">
      <w:pPr>
        <w:jc w:val="both"/>
      </w:pPr>
      <w:r w:rsidRPr="00D655F0">
        <w:t>Applied to this study, the outer layer reflects the interpretivist philosophy underpinning the research. Moving inward, the study adopted an inductive approach, building insights from data rather than testing pre-determined hypotheses. At the strategy level, a case study design was employed to situate the research within the real-world organisational context of AFI. Methodological choices combined a primarily qualitative approach with limited quantitative elements, while the time horizon was cross-sectional, capturing a snapshot of line manager experiences during the post-merger transition. Finally, the innermost layer of the Onion highlights the data collection techniques and procedures, namely semi-structured interviews, secondary data analysis, and thematic analysis.</w:t>
      </w:r>
    </w:p>
    <w:p w14:paraId="159C2D15" w14:textId="77777777" w:rsidR="009B17EB" w:rsidRDefault="009B17EB" w:rsidP="00B32512">
      <w:pPr>
        <w:jc w:val="both"/>
      </w:pPr>
    </w:p>
    <w:p w14:paraId="305E4B3F" w14:textId="3DD16C42" w:rsidR="009B17EB" w:rsidRDefault="00874D8E" w:rsidP="00B32512">
      <w:pPr>
        <w:pStyle w:val="Heading2"/>
      </w:pPr>
      <w:bookmarkStart w:id="39" w:name="_Toc210069350"/>
      <w:r w:rsidRPr="000D550E">
        <w:t>Appendix 3 – Participant Coverage Table</w:t>
      </w:r>
      <w:r w:rsidRPr="00874D8E">
        <w:br/>
      </w:r>
      <w:r w:rsidRPr="002908C6">
        <w:rPr>
          <w:rFonts w:ascii="Arial" w:eastAsiaTheme="minorHAnsi" w:hAnsi="Arial" w:cs="Arial"/>
          <w:i/>
          <w:iCs/>
          <w:color w:val="auto"/>
          <w:sz w:val="24"/>
          <w:szCs w:val="24"/>
        </w:rPr>
        <w:t>(Source: Research Data, 2025)</w:t>
      </w:r>
      <w:bookmarkEnd w:id="39"/>
    </w:p>
    <w:p w14:paraId="1E74E057" w14:textId="77777777" w:rsidR="00714B45" w:rsidRDefault="00714B45" w:rsidP="00B32512">
      <w:pPr>
        <w:jc w:val="both"/>
      </w:pPr>
      <w:r w:rsidRPr="00714B45">
        <w:t xml:space="preserve">This appendix provides a breakdown of the </w:t>
      </w:r>
      <w:proofErr w:type="gramStart"/>
      <w:r w:rsidRPr="00714B45">
        <w:t>six line</w:t>
      </w:r>
      <w:proofErr w:type="gramEnd"/>
      <w:r w:rsidRPr="00714B45">
        <w:t xml:space="preserve"> managers who participated in the study, outlining their departmental functions, number of direct reports, and strategic roles. It demonstrates the scope of their influence and the representativeness of the sample, as they collectively oversee approximately 192 employees, equating to around 72% of AFI’s total workforce (~265 employees). This illustrates the scale of devolved HR responsibilities and the strategic significance of their insights to the post-merger integration process.</w:t>
      </w:r>
    </w:p>
    <w:p w14:paraId="40E395BC" w14:textId="77777777" w:rsidR="008E2BC7" w:rsidRPr="00714B45" w:rsidRDefault="008E2BC7" w:rsidP="00714B45"/>
    <w:p w14:paraId="04CF2B52" w14:textId="77777777" w:rsidR="00714B45" w:rsidRPr="00714B45" w:rsidRDefault="00714B45" w:rsidP="00714B45">
      <w:pPr>
        <w:rPr>
          <w:b/>
          <w:bCs/>
        </w:rPr>
      </w:pPr>
      <w:r w:rsidRPr="00714B45">
        <w:rPr>
          <w:b/>
          <w:bCs/>
        </w:rPr>
        <w:t>Table A3.1: Participant Overview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8"/>
        <w:gridCol w:w="2337"/>
        <w:gridCol w:w="2282"/>
        <w:gridCol w:w="3139"/>
      </w:tblGrid>
      <w:tr w:rsidR="00714B45" w:rsidRPr="00714B45" w14:paraId="3FA6B569" w14:textId="77777777" w:rsidTr="008E2BC7">
        <w:trPr>
          <w:tblHeader/>
          <w:tblCellSpacing w:w="15" w:type="dxa"/>
        </w:trPr>
        <w:tc>
          <w:tcPr>
            <w:tcW w:w="0" w:type="auto"/>
            <w:vAlign w:val="center"/>
            <w:hideMark/>
          </w:tcPr>
          <w:p w14:paraId="1ABDA7BB" w14:textId="77777777" w:rsidR="00714B45" w:rsidRPr="00714B45" w:rsidRDefault="00714B45" w:rsidP="00714B45">
            <w:pPr>
              <w:rPr>
                <w:b/>
                <w:bCs/>
              </w:rPr>
            </w:pPr>
            <w:r w:rsidRPr="00714B45">
              <w:rPr>
                <w:b/>
                <w:bCs/>
              </w:rPr>
              <w:t>Manager ID</w:t>
            </w:r>
          </w:p>
        </w:tc>
        <w:tc>
          <w:tcPr>
            <w:tcW w:w="0" w:type="auto"/>
            <w:vAlign w:val="center"/>
            <w:hideMark/>
          </w:tcPr>
          <w:p w14:paraId="78D87A96" w14:textId="77777777" w:rsidR="00714B45" w:rsidRPr="00714B45" w:rsidRDefault="00714B45" w:rsidP="00714B45">
            <w:pPr>
              <w:rPr>
                <w:b/>
                <w:bCs/>
              </w:rPr>
            </w:pPr>
            <w:r w:rsidRPr="00714B45">
              <w:rPr>
                <w:b/>
                <w:bCs/>
              </w:rPr>
              <w:t>Department / Function</w:t>
            </w:r>
          </w:p>
        </w:tc>
        <w:tc>
          <w:tcPr>
            <w:tcW w:w="0" w:type="auto"/>
            <w:vAlign w:val="center"/>
            <w:hideMark/>
          </w:tcPr>
          <w:p w14:paraId="23E3BB8A" w14:textId="77777777" w:rsidR="00714B45" w:rsidRPr="00714B45" w:rsidRDefault="00714B45" w:rsidP="00714B45">
            <w:pPr>
              <w:rPr>
                <w:b/>
                <w:bCs/>
              </w:rPr>
            </w:pPr>
            <w:r w:rsidRPr="00714B45">
              <w:rPr>
                <w:b/>
                <w:bCs/>
              </w:rPr>
              <w:t>Number of Direct Reports</w:t>
            </w:r>
          </w:p>
        </w:tc>
        <w:tc>
          <w:tcPr>
            <w:tcW w:w="0" w:type="auto"/>
            <w:vAlign w:val="center"/>
            <w:hideMark/>
          </w:tcPr>
          <w:p w14:paraId="729E5819" w14:textId="77777777" w:rsidR="00714B45" w:rsidRPr="00714B45" w:rsidRDefault="00714B45" w:rsidP="00714B45">
            <w:pPr>
              <w:rPr>
                <w:b/>
                <w:bCs/>
              </w:rPr>
            </w:pPr>
            <w:r w:rsidRPr="00714B45">
              <w:rPr>
                <w:b/>
                <w:bCs/>
              </w:rPr>
              <w:t>Strategic Role</w:t>
            </w:r>
          </w:p>
        </w:tc>
      </w:tr>
      <w:tr w:rsidR="00714B45" w:rsidRPr="00714B45" w14:paraId="2DBD3972" w14:textId="77777777" w:rsidTr="008E2BC7">
        <w:trPr>
          <w:tblCellSpacing w:w="15" w:type="dxa"/>
        </w:trPr>
        <w:tc>
          <w:tcPr>
            <w:tcW w:w="0" w:type="auto"/>
            <w:vAlign w:val="center"/>
            <w:hideMark/>
          </w:tcPr>
          <w:p w14:paraId="798A6092" w14:textId="77777777" w:rsidR="00714B45" w:rsidRPr="00714B45" w:rsidRDefault="00714B45" w:rsidP="00714B45">
            <w:r w:rsidRPr="00714B45">
              <w:t>Manager 1</w:t>
            </w:r>
          </w:p>
        </w:tc>
        <w:tc>
          <w:tcPr>
            <w:tcW w:w="0" w:type="auto"/>
            <w:vAlign w:val="center"/>
            <w:hideMark/>
          </w:tcPr>
          <w:p w14:paraId="4CA7C2AA" w14:textId="77777777" w:rsidR="00714B45" w:rsidRPr="00714B45" w:rsidRDefault="00714B45" w:rsidP="00714B45">
            <w:r w:rsidRPr="00714B45">
              <w:t>Production Operations</w:t>
            </w:r>
          </w:p>
        </w:tc>
        <w:tc>
          <w:tcPr>
            <w:tcW w:w="0" w:type="auto"/>
            <w:vAlign w:val="center"/>
            <w:hideMark/>
          </w:tcPr>
          <w:p w14:paraId="5AE3D6E3" w14:textId="77777777" w:rsidR="00714B45" w:rsidRPr="00714B45" w:rsidRDefault="00714B45" w:rsidP="00714B45">
            <w:r w:rsidRPr="00714B45">
              <w:t>89</w:t>
            </w:r>
          </w:p>
        </w:tc>
        <w:tc>
          <w:tcPr>
            <w:tcW w:w="0" w:type="auto"/>
            <w:vAlign w:val="center"/>
            <w:hideMark/>
          </w:tcPr>
          <w:p w14:paraId="71B7A837" w14:textId="77777777" w:rsidR="00714B45" w:rsidRPr="00714B45" w:rsidRDefault="00714B45" w:rsidP="00714B45">
            <w:r w:rsidRPr="00714B45">
              <w:t>Shift lead, workforce planning</w:t>
            </w:r>
          </w:p>
        </w:tc>
      </w:tr>
      <w:tr w:rsidR="00714B45" w:rsidRPr="00714B45" w14:paraId="4ACADBCA" w14:textId="77777777" w:rsidTr="008E2BC7">
        <w:trPr>
          <w:tblCellSpacing w:w="15" w:type="dxa"/>
        </w:trPr>
        <w:tc>
          <w:tcPr>
            <w:tcW w:w="0" w:type="auto"/>
            <w:vAlign w:val="center"/>
            <w:hideMark/>
          </w:tcPr>
          <w:p w14:paraId="4F51A0CE" w14:textId="77777777" w:rsidR="00714B45" w:rsidRPr="00714B45" w:rsidRDefault="00714B45" w:rsidP="00714B45">
            <w:r w:rsidRPr="00714B45">
              <w:t>Manager 2</w:t>
            </w:r>
          </w:p>
        </w:tc>
        <w:tc>
          <w:tcPr>
            <w:tcW w:w="0" w:type="auto"/>
            <w:vAlign w:val="center"/>
            <w:hideMark/>
          </w:tcPr>
          <w:p w14:paraId="0992E93D" w14:textId="77777777" w:rsidR="00714B45" w:rsidRPr="00714B45" w:rsidRDefault="00714B45" w:rsidP="00714B45">
            <w:r w:rsidRPr="00714B45">
              <w:t>Quality &amp; Compliance</w:t>
            </w:r>
          </w:p>
        </w:tc>
        <w:tc>
          <w:tcPr>
            <w:tcW w:w="0" w:type="auto"/>
            <w:vAlign w:val="center"/>
            <w:hideMark/>
          </w:tcPr>
          <w:p w14:paraId="640A79F0" w14:textId="77777777" w:rsidR="00714B45" w:rsidRPr="00714B45" w:rsidRDefault="00714B45" w:rsidP="00714B45">
            <w:r w:rsidRPr="00714B45">
              <w:t>18</w:t>
            </w:r>
          </w:p>
        </w:tc>
        <w:tc>
          <w:tcPr>
            <w:tcW w:w="0" w:type="auto"/>
            <w:vAlign w:val="center"/>
            <w:hideMark/>
          </w:tcPr>
          <w:p w14:paraId="00F4CF8C" w14:textId="77777777" w:rsidR="00714B45" w:rsidRPr="00714B45" w:rsidRDefault="00714B45" w:rsidP="00714B45">
            <w:r w:rsidRPr="00714B45">
              <w:t>Quality systems and training oversight</w:t>
            </w:r>
          </w:p>
        </w:tc>
      </w:tr>
      <w:tr w:rsidR="00714B45" w:rsidRPr="00714B45" w14:paraId="222A5192" w14:textId="77777777" w:rsidTr="008E2BC7">
        <w:trPr>
          <w:tblCellSpacing w:w="15" w:type="dxa"/>
        </w:trPr>
        <w:tc>
          <w:tcPr>
            <w:tcW w:w="0" w:type="auto"/>
            <w:vAlign w:val="center"/>
            <w:hideMark/>
          </w:tcPr>
          <w:p w14:paraId="635EBB7C" w14:textId="77777777" w:rsidR="00714B45" w:rsidRPr="00714B45" w:rsidRDefault="00714B45" w:rsidP="00714B45">
            <w:r w:rsidRPr="00714B45">
              <w:t>Manager 3</w:t>
            </w:r>
          </w:p>
        </w:tc>
        <w:tc>
          <w:tcPr>
            <w:tcW w:w="0" w:type="auto"/>
            <w:vAlign w:val="center"/>
            <w:hideMark/>
          </w:tcPr>
          <w:p w14:paraId="444B66F4" w14:textId="77777777" w:rsidR="00714B45" w:rsidRPr="00714B45" w:rsidRDefault="00714B45" w:rsidP="00714B45">
            <w:r w:rsidRPr="00714B45">
              <w:t>Logistics &amp; Supply Chain</w:t>
            </w:r>
          </w:p>
        </w:tc>
        <w:tc>
          <w:tcPr>
            <w:tcW w:w="0" w:type="auto"/>
            <w:vAlign w:val="center"/>
            <w:hideMark/>
          </w:tcPr>
          <w:p w14:paraId="1BB96F7E" w14:textId="77777777" w:rsidR="00714B45" w:rsidRPr="00714B45" w:rsidRDefault="00714B45" w:rsidP="00714B45">
            <w:r w:rsidRPr="00714B45">
              <w:t>20</w:t>
            </w:r>
          </w:p>
        </w:tc>
        <w:tc>
          <w:tcPr>
            <w:tcW w:w="0" w:type="auto"/>
            <w:vAlign w:val="center"/>
            <w:hideMark/>
          </w:tcPr>
          <w:p w14:paraId="33F6E7E0" w14:textId="77777777" w:rsidR="00714B45" w:rsidRPr="00714B45" w:rsidRDefault="00714B45" w:rsidP="00714B45">
            <w:r w:rsidRPr="00714B45">
              <w:t>Scheduling, resource allocation</w:t>
            </w:r>
          </w:p>
        </w:tc>
      </w:tr>
      <w:tr w:rsidR="00714B45" w:rsidRPr="00714B45" w14:paraId="1D7BF5CD" w14:textId="77777777" w:rsidTr="008E2BC7">
        <w:trPr>
          <w:tblCellSpacing w:w="15" w:type="dxa"/>
        </w:trPr>
        <w:tc>
          <w:tcPr>
            <w:tcW w:w="0" w:type="auto"/>
            <w:vAlign w:val="center"/>
            <w:hideMark/>
          </w:tcPr>
          <w:p w14:paraId="4C8815AC" w14:textId="77777777" w:rsidR="00714B45" w:rsidRPr="00714B45" w:rsidRDefault="00714B45" w:rsidP="00714B45">
            <w:r w:rsidRPr="00714B45">
              <w:t>Manager 4</w:t>
            </w:r>
          </w:p>
        </w:tc>
        <w:tc>
          <w:tcPr>
            <w:tcW w:w="0" w:type="auto"/>
            <w:vAlign w:val="center"/>
            <w:hideMark/>
          </w:tcPr>
          <w:p w14:paraId="1BB433D7" w14:textId="77777777" w:rsidR="00714B45" w:rsidRPr="00714B45" w:rsidRDefault="00714B45" w:rsidP="00714B45">
            <w:r w:rsidRPr="00714B45">
              <w:t>Technical</w:t>
            </w:r>
          </w:p>
        </w:tc>
        <w:tc>
          <w:tcPr>
            <w:tcW w:w="0" w:type="auto"/>
            <w:vAlign w:val="center"/>
            <w:hideMark/>
          </w:tcPr>
          <w:p w14:paraId="6B35761A" w14:textId="77777777" w:rsidR="00714B45" w:rsidRPr="00714B45" w:rsidRDefault="00714B45" w:rsidP="00714B45">
            <w:r w:rsidRPr="00714B45">
              <w:t>14</w:t>
            </w:r>
          </w:p>
        </w:tc>
        <w:tc>
          <w:tcPr>
            <w:tcW w:w="0" w:type="auto"/>
            <w:vAlign w:val="center"/>
            <w:hideMark/>
          </w:tcPr>
          <w:p w14:paraId="7D00A9B8" w14:textId="77777777" w:rsidR="00714B45" w:rsidRPr="00714B45" w:rsidRDefault="00714B45" w:rsidP="00714B45">
            <w:r w:rsidRPr="00714B45">
              <w:t>Maintenance, process improvement</w:t>
            </w:r>
          </w:p>
        </w:tc>
      </w:tr>
      <w:tr w:rsidR="00714B45" w:rsidRPr="00714B45" w14:paraId="6216684A" w14:textId="77777777" w:rsidTr="008E2BC7">
        <w:trPr>
          <w:tblCellSpacing w:w="15" w:type="dxa"/>
        </w:trPr>
        <w:tc>
          <w:tcPr>
            <w:tcW w:w="0" w:type="auto"/>
            <w:vAlign w:val="center"/>
            <w:hideMark/>
          </w:tcPr>
          <w:p w14:paraId="379179FD" w14:textId="77777777" w:rsidR="00714B45" w:rsidRPr="00714B45" w:rsidRDefault="00714B45" w:rsidP="00714B45">
            <w:r w:rsidRPr="00714B45">
              <w:t>Manager 5</w:t>
            </w:r>
          </w:p>
        </w:tc>
        <w:tc>
          <w:tcPr>
            <w:tcW w:w="0" w:type="auto"/>
            <w:vAlign w:val="center"/>
            <w:hideMark/>
          </w:tcPr>
          <w:p w14:paraId="6301A172" w14:textId="77777777" w:rsidR="00714B45" w:rsidRPr="00714B45" w:rsidRDefault="00714B45" w:rsidP="00714B45">
            <w:r w:rsidRPr="00714B45">
              <w:t>Customer Fulfilment / Sales</w:t>
            </w:r>
          </w:p>
        </w:tc>
        <w:tc>
          <w:tcPr>
            <w:tcW w:w="0" w:type="auto"/>
            <w:vAlign w:val="center"/>
            <w:hideMark/>
          </w:tcPr>
          <w:p w14:paraId="509B77A4" w14:textId="77777777" w:rsidR="00714B45" w:rsidRPr="00714B45" w:rsidRDefault="00714B45" w:rsidP="00714B45">
            <w:r w:rsidRPr="00714B45">
              <w:t>15</w:t>
            </w:r>
          </w:p>
        </w:tc>
        <w:tc>
          <w:tcPr>
            <w:tcW w:w="0" w:type="auto"/>
            <w:vAlign w:val="center"/>
            <w:hideMark/>
          </w:tcPr>
          <w:p w14:paraId="7749B7A0" w14:textId="77777777" w:rsidR="00714B45" w:rsidRPr="00714B45" w:rsidRDefault="00714B45" w:rsidP="00714B45">
            <w:r w:rsidRPr="00714B45">
              <w:t>Client liaison and service delivery</w:t>
            </w:r>
          </w:p>
        </w:tc>
      </w:tr>
      <w:tr w:rsidR="00714B45" w:rsidRPr="00714B45" w14:paraId="0E87A16C" w14:textId="77777777" w:rsidTr="008E2BC7">
        <w:trPr>
          <w:tblCellSpacing w:w="15" w:type="dxa"/>
        </w:trPr>
        <w:tc>
          <w:tcPr>
            <w:tcW w:w="0" w:type="auto"/>
            <w:vAlign w:val="center"/>
            <w:hideMark/>
          </w:tcPr>
          <w:p w14:paraId="10ABBFC5" w14:textId="77777777" w:rsidR="00714B45" w:rsidRPr="00714B45" w:rsidRDefault="00714B45" w:rsidP="00714B45">
            <w:r w:rsidRPr="00714B45">
              <w:t>Manager 6</w:t>
            </w:r>
          </w:p>
        </w:tc>
        <w:tc>
          <w:tcPr>
            <w:tcW w:w="0" w:type="auto"/>
            <w:vAlign w:val="center"/>
            <w:hideMark/>
          </w:tcPr>
          <w:p w14:paraId="27E896B9" w14:textId="77777777" w:rsidR="00714B45" w:rsidRPr="00714B45" w:rsidRDefault="00714B45" w:rsidP="00714B45">
            <w:r w:rsidRPr="00714B45">
              <w:t>Engineering</w:t>
            </w:r>
          </w:p>
        </w:tc>
        <w:tc>
          <w:tcPr>
            <w:tcW w:w="0" w:type="auto"/>
            <w:vAlign w:val="center"/>
            <w:hideMark/>
          </w:tcPr>
          <w:p w14:paraId="20EB0CDA" w14:textId="77777777" w:rsidR="00714B45" w:rsidRPr="00714B45" w:rsidRDefault="00714B45" w:rsidP="00714B45">
            <w:r w:rsidRPr="00714B45">
              <w:t>36</w:t>
            </w:r>
          </w:p>
        </w:tc>
        <w:tc>
          <w:tcPr>
            <w:tcW w:w="0" w:type="auto"/>
            <w:vAlign w:val="center"/>
            <w:hideMark/>
          </w:tcPr>
          <w:p w14:paraId="7458D245" w14:textId="77777777" w:rsidR="00714B45" w:rsidRPr="00714B45" w:rsidRDefault="00714B45" w:rsidP="00714B45">
            <w:r w:rsidRPr="00714B45">
              <w:t>Employee development and onboarding</w:t>
            </w:r>
          </w:p>
        </w:tc>
      </w:tr>
      <w:tr w:rsidR="00714B45" w:rsidRPr="00714B45" w14:paraId="24AE4B11" w14:textId="77777777" w:rsidTr="008E2BC7">
        <w:trPr>
          <w:tblCellSpacing w:w="15" w:type="dxa"/>
        </w:trPr>
        <w:tc>
          <w:tcPr>
            <w:tcW w:w="0" w:type="auto"/>
            <w:vAlign w:val="center"/>
            <w:hideMark/>
          </w:tcPr>
          <w:p w14:paraId="0448658F" w14:textId="77777777" w:rsidR="00714B45" w:rsidRPr="00714B45" w:rsidRDefault="00714B45" w:rsidP="00714B45">
            <w:r w:rsidRPr="00714B45">
              <w:rPr>
                <w:b/>
                <w:bCs/>
              </w:rPr>
              <w:t>Total</w:t>
            </w:r>
          </w:p>
        </w:tc>
        <w:tc>
          <w:tcPr>
            <w:tcW w:w="0" w:type="auto"/>
            <w:vAlign w:val="center"/>
            <w:hideMark/>
          </w:tcPr>
          <w:p w14:paraId="686CD0B3" w14:textId="77777777" w:rsidR="00714B45" w:rsidRPr="00714B45" w:rsidRDefault="00714B45" w:rsidP="00714B45"/>
        </w:tc>
        <w:tc>
          <w:tcPr>
            <w:tcW w:w="0" w:type="auto"/>
            <w:vAlign w:val="center"/>
            <w:hideMark/>
          </w:tcPr>
          <w:p w14:paraId="318F543F" w14:textId="77777777" w:rsidR="00714B45" w:rsidRPr="00714B45" w:rsidRDefault="00714B45" w:rsidP="00714B45">
            <w:r w:rsidRPr="00714B45">
              <w:rPr>
                <w:b/>
                <w:bCs/>
              </w:rPr>
              <w:t>192 employees</w:t>
            </w:r>
          </w:p>
        </w:tc>
        <w:tc>
          <w:tcPr>
            <w:tcW w:w="0" w:type="auto"/>
            <w:vAlign w:val="center"/>
            <w:hideMark/>
          </w:tcPr>
          <w:p w14:paraId="629FB9F8" w14:textId="77777777" w:rsidR="00714B45" w:rsidRPr="00714B45" w:rsidRDefault="00714B45" w:rsidP="00714B45"/>
        </w:tc>
      </w:tr>
    </w:tbl>
    <w:p w14:paraId="4D829B33" w14:textId="77777777" w:rsidR="00714B45" w:rsidRPr="00714B45" w:rsidRDefault="00714B45" w:rsidP="008E2BC7">
      <w:pPr>
        <w:jc w:val="both"/>
      </w:pPr>
      <w:r w:rsidRPr="00714B45">
        <w:t xml:space="preserve">The </w:t>
      </w:r>
      <w:proofErr w:type="gramStart"/>
      <w:r w:rsidRPr="00714B45">
        <w:t>six line</w:t>
      </w:r>
      <w:proofErr w:type="gramEnd"/>
      <w:r w:rsidRPr="00714B45">
        <w:t xml:space="preserve"> managers collectively oversee approximately 192 employees, representing around 72% of AFI’s total workforce. This high level of coverage reinforces the validity of their perspectives, as their roles sit at the intersection of operational delivery and strategic HR responsibility. Their combined experiences offer rich, representative insight into the challenges and opportunities of AFI’s post-merger management-led HR model.</w:t>
      </w:r>
    </w:p>
    <w:p w14:paraId="39B7B34B" w14:textId="77777777" w:rsidR="00332563" w:rsidRDefault="00332563" w:rsidP="00D45710"/>
    <w:p w14:paraId="4FB183AA" w14:textId="336582AD" w:rsidR="00332563" w:rsidRPr="000D550E" w:rsidRDefault="00332563" w:rsidP="00332563">
      <w:pPr>
        <w:pStyle w:val="Heading2"/>
      </w:pPr>
      <w:bookmarkStart w:id="40" w:name="_Toc210069351"/>
      <w:r w:rsidRPr="000D550E">
        <w:t>Appendix 4 – Thematic Analysis Table</w:t>
      </w:r>
      <w:bookmarkEnd w:id="40"/>
    </w:p>
    <w:p w14:paraId="6814E9FF" w14:textId="77777777" w:rsidR="00332563" w:rsidRPr="002908C6" w:rsidRDefault="00332563" w:rsidP="002908C6">
      <w:pPr>
        <w:rPr>
          <w:i/>
          <w:iCs/>
        </w:rPr>
      </w:pPr>
      <w:r w:rsidRPr="002908C6">
        <w:rPr>
          <w:i/>
          <w:iCs/>
        </w:rPr>
        <w:t>(Source: Research Data, 2025)</w:t>
      </w:r>
    </w:p>
    <w:p w14:paraId="341C9E6C" w14:textId="77777777" w:rsidR="000A71A7" w:rsidRDefault="000A71A7" w:rsidP="000D550E">
      <w:r w:rsidRPr="000A71A7">
        <w:t>This appendix presents the full thematic analysis table, outlining the coding framework, sub-themes, and overarching themes derived from the semi-structured interviews. It provides a transparent record of the analytical process, evidencing how raw data were systematically coded and grouped to identify key patterns and insights. This approach follows Braun and Clarke’s (2006) thematic analysis methodology, ensuring rigour and clarity in theme development.</w:t>
      </w:r>
    </w:p>
    <w:p w14:paraId="08924694" w14:textId="425E3B7A" w:rsidR="0051453D" w:rsidRDefault="0051453D" w:rsidP="000D550E">
      <w:r>
        <w:t>Manager Feedback by Theme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884"/>
        <w:gridCol w:w="1791"/>
        <w:gridCol w:w="1876"/>
        <w:gridCol w:w="1728"/>
      </w:tblGrid>
      <w:tr w:rsidR="00361B9E" w14:paraId="3D7B1C56" w14:textId="77777777" w:rsidTr="00361B9E">
        <w:tc>
          <w:tcPr>
            <w:tcW w:w="1728" w:type="dxa"/>
          </w:tcPr>
          <w:p w14:paraId="6EAA5A07" w14:textId="77777777" w:rsidR="00361B9E" w:rsidRPr="000A71A7" w:rsidRDefault="00361B9E" w:rsidP="00361B9E">
            <w:pPr>
              <w:rPr>
                <w:b/>
                <w:bCs/>
              </w:rPr>
            </w:pPr>
            <w:r w:rsidRPr="000A71A7">
              <w:rPr>
                <w:b/>
                <w:bCs/>
              </w:rPr>
              <w:lastRenderedPageBreak/>
              <w:t>Manager</w:t>
            </w:r>
          </w:p>
        </w:tc>
        <w:tc>
          <w:tcPr>
            <w:tcW w:w="1884" w:type="dxa"/>
          </w:tcPr>
          <w:p w14:paraId="184CBC93" w14:textId="5B7725FF" w:rsidR="00361B9E" w:rsidRPr="000A71A7" w:rsidRDefault="00361B9E" w:rsidP="00361B9E">
            <w:pPr>
              <w:rPr>
                <w:b/>
                <w:bCs/>
              </w:rPr>
            </w:pPr>
            <w:r w:rsidRPr="000A71A7">
              <w:rPr>
                <w:b/>
                <w:bCs/>
              </w:rPr>
              <w:t>Theme</w:t>
            </w:r>
          </w:p>
        </w:tc>
        <w:tc>
          <w:tcPr>
            <w:tcW w:w="1791" w:type="dxa"/>
          </w:tcPr>
          <w:p w14:paraId="52EB1AF5" w14:textId="72030156" w:rsidR="00361B9E" w:rsidRPr="000A71A7" w:rsidRDefault="00361B9E" w:rsidP="00361B9E">
            <w:pPr>
              <w:rPr>
                <w:b/>
                <w:bCs/>
              </w:rPr>
            </w:pPr>
            <w:r w:rsidRPr="000A71A7">
              <w:rPr>
                <w:b/>
                <w:bCs/>
              </w:rPr>
              <w:t>Positive</w:t>
            </w:r>
          </w:p>
        </w:tc>
        <w:tc>
          <w:tcPr>
            <w:tcW w:w="1876" w:type="dxa"/>
          </w:tcPr>
          <w:p w14:paraId="207614C1" w14:textId="43E902D6" w:rsidR="00361B9E" w:rsidRPr="000A71A7" w:rsidRDefault="00361B9E" w:rsidP="00361B9E">
            <w:pPr>
              <w:rPr>
                <w:b/>
                <w:bCs/>
              </w:rPr>
            </w:pPr>
            <w:r w:rsidRPr="000A71A7">
              <w:rPr>
                <w:b/>
                <w:bCs/>
              </w:rPr>
              <w:t>Negative</w:t>
            </w:r>
          </w:p>
        </w:tc>
        <w:tc>
          <w:tcPr>
            <w:tcW w:w="1728" w:type="dxa"/>
          </w:tcPr>
          <w:p w14:paraId="6D06EB3B" w14:textId="7CAECC31" w:rsidR="00361B9E" w:rsidRPr="000A71A7" w:rsidRDefault="00361B9E" w:rsidP="00361B9E">
            <w:pPr>
              <w:rPr>
                <w:b/>
                <w:bCs/>
              </w:rPr>
            </w:pPr>
            <w:r w:rsidRPr="000A71A7">
              <w:rPr>
                <w:b/>
                <w:bCs/>
              </w:rPr>
              <w:t>Neutral</w:t>
            </w:r>
          </w:p>
        </w:tc>
      </w:tr>
      <w:tr w:rsidR="00361B9E" w14:paraId="4E7B57F3" w14:textId="77777777" w:rsidTr="00361B9E">
        <w:tc>
          <w:tcPr>
            <w:tcW w:w="1728" w:type="dxa"/>
          </w:tcPr>
          <w:p w14:paraId="36FAEA48" w14:textId="0CA1E8BA" w:rsidR="00361B9E" w:rsidRDefault="00361B9E" w:rsidP="00361B9E">
            <w:r>
              <w:t>Manager 1</w:t>
            </w:r>
          </w:p>
        </w:tc>
        <w:tc>
          <w:tcPr>
            <w:tcW w:w="1884" w:type="dxa"/>
          </w:tcPr>
          <w:p w14:paraId="52FA9A3B" w14:textId="1D639037" w:rsidR="00361B9E" w:rsidRDefault="00361B9E" w:rsidP="00361B9E">
            <w:r>
              <w:t>Emotional Readiness (Adjustment to Change)</w:t>
            </w:r>
          </w:p>
        </w:tc>
        <w:tc>
          <w:tcPr>
            <w:tcW w:w="1791" w:type="dxa"/>
          </w:tcPr>
          <w:p w14:paraId="72FBAD9C" w14:textId="13A2842B" w:rsidR="00361B9E" w:rsidRDefault="00361B9E" w:rsidP="00361B9E">
            <w:r>
              <w:t>Positive, happy, successful.</w:t>
            </w:r>
          </w:p>
        </w:tc>
        <w:tc>
          <w:tcPr>
            <w:tcW w:w="1876" w:type="dxa"/>
          </w:tcPr>
          <w:p w14:paraId="3C403441" w14:textId="77777777" w:rsidR="00361B9E" w:rsidRDefault="00361B9E" w:rsidP="00361B9E"/>
        </w:tc>
        <w:tc>
          <w:tcPr>
            <w:tcW w:w="1728" w:type="dxa"/>
          </w:tcPr>
          <w:p w14:paraId="062181C0" w14:textId="77777777" w:rsidR="00361B9E" w:rsidRDefault="00361B9E" w:rsidP="00361B9E"/>
        </w:tc>
      </w:tr>
      <w:tr w:rsidR="00361B9E" w14:paraId="1EECD777" w14:textId="77777777" w:rsidTr="00361B9E">
        <w:tc>
          <w:tcPr>
            <w:tcW w:w="1728" w:type="dxa"/>
          </w:tcPr>
          <w:p w14:paraId="6CE9DDC4" w14:textId="57094F24" w:rsidR="00361B9E" w:rsidRDefault="00361B9E" w:rsidP="00361B9E">
            <w:r>
              <w:t xml:space="preserve">Manager 1 </w:t>
            </w:r>
          </w:p>
        </w:tc>
        <w:tc>
          <w:tcPr>
            <w:tcW w:w="1884" w:type="dxa"/>
          </w:tcPr>
          <w:p w14:paraId="62ED95E5" w14:textId="2BB2F8B2" w:rsidR="00361B9E" w:rsidRDefault="00361B9E" w:rsidP="00361B9E">
            <w:r>
              <w:t>Confidence and Capability</w:t>
            </w:r>
          </w:p>
        </w:tc>
        <w:tc>
          <w:tcPr>
            <w:tcW w:w="1791" w:type="dxa"/>
          </w:tcPr>
          <w:p w14:paraId="4F9C6F65" w14:textId="4A08E591" w:rsidR="00361B9E" w:rsidRDefault="00361B9E" w:rsidP="00361B9E">
            <w:r>
              <w:t>All participants rated confidence in people management responsibilities 5/5</w:t>
            </w:r>
          </w:p>
        </w:tc>
        <w:tc>
          <w:tcPr>
            <w:tcW w:w="1876" w:type="dxa"/>
          </w:tcPr>
          <w:p w14:paraId="3F6A6389" w14:textId="77777777" w:rsidR="00361B9E" w:rsidRDefault="00361B9E" w:rsidP="00361B9E"/>
        </w:tc>
        <w:tc>
          <w:tcPr>
            <w:tcW w:w="1728" w:type="dxa"/>
          </w:tcPr>
          <w:p w14:paraId="6F79638C" w14:textId="27C8F2B4" w:rsidR="00361B9E" w:rsidRDefault="00361B9E" w:rsidP="00361B9E">
            <w:r>
              <w:t>Confident but frustrated by resources and CAPEX process.</w:t>
            </w:r>
          </w:p>
        </w:tc>
      </w:tr>
      <w:tr w:rsidR="00361B9E" w14:paraId="10C5D562" w14:textId="77777777" w:rsidTr="00361B9E">
        <w:tc>
          <w:tcPr>
            <w:tcW w:w="1728" w:type="dxa"/>
          </w:tcPr>
          <w:p w14:paraId="7F12AF64" w14:textId="69A416BD" w:rsidR="00361B9E" w:rsidRDefault="00361B9E" w:rsidP="00361B9E">
            <w:r>
              <w:t xml:space="preserve">Manager 1 </w:t>
            </w:r>
          </w:p>
        </w:tc>
        <w:tc>
          <w:tcPr>
            <w:tcW w:w="1884" w:type="dxa"/>
          </w:tcPr>
          <w:p w14:paraId="0ADF9441" w14:textId="02392CB2" w:rsidR="00361B9E" w:rsidRDefault="00361B9E" w:rsidP="00361B9E">
            <w:r>
              <w:t>Communication and Support</w:t>
            </w:r>
          </w:p>
        </w:tc>
        <w:tc>
          <w:tcPr>
            <w:tcW w:w="1791" w:type="dxa"/>
          </w:tcPr>
          <w:p w14:paraId="3E473E15" w14:textId="16FD19E8" w:rsidR="00361B9E" w:rsidRDefault="00361B9E" w:rsidP="00361B9E">
            <w:r>
              <w:t>Support 4/5, 'some clear guidance from leaders.'</w:t>
            </w:r>
          </w:p>
        </w:tc>
        <w:tc>
          <w:tcPr>
            <w:tcW w:w="1876" w:type="dxa"/>
          </w:tcPr>
          <w:p w14:paraId="4E257582" w14:textId="77777777" w:rsidR="00361B9E" w:rsidRDefault="00361B9E" w:rsidP="00361B9E"/>
        </w:tc>
        <w:tc>
          <w:tcPr>
            <w:tcW w:w="1728" w:type="dxa"/>
          </w:tcPr>
          <w:p w14:paraId="0E19D9D1" w14:textId="77777777" w:rsidR="00361B9E" w:rsidRDefault="00361B9E" w:rsidP="00361B9E"/>
        </w:tc>
      </w:tr>
      <w:tr w:rsidR="00361B9E" w14:paraId="65ADC1F4" w14:textId="77777777" w:rsidTr="00361B9E">
        <w:tc>
          <w:tcPr>
            <w:tcW w:w="1728" w:type="dxa"/>
          </w:tcPr>
          <w:p w14:paraId="1097DBC2" w14:textId="026EA45C" w:rsidR="00361B9E" w:rsidRDefault="00361B9E" w:rsidP="00361B9E">
            <w:r>
              <w:t xml:space="preserve">Manager 1 </w:t>
            </w:r>
          </w:p>
        </w:tc>
        <w:tc>
          <w:tcPr>
            <w:tcW w:w="1884" w:type="dxa"/>
          </w:tcPr>
          <w:p w14:paraId="2CD65C12" w14:textId="15318C4F" w:rsidR="00361B9E" w:rsidRDefault="00361B9E" w:rsidP="00361B9E">
            <w:r>
              <w:t>Training and Development</w:t>
            </w:r>
          </w:p>
        </w:tc>
        <w:tc>
          <w:tcPr>
            <w:tcW w:w="1791" w:type="dxa"/>
          </w:tcPr>
          <w:p w14:paraId="3696FA07" w14:textId="77777777" w:rsidR="00361B9E" w:rsidRDefault="00361B9E" w:rsidP="00361B9E"/>
        </w:tc>
        <w:tc>
          <w:tcPr>
            <w:tcW w:w="1876" w:type="dxa"/>
          </w:tcPr>
          <w:p w14:paraId="5902B010" w14:textId="443B1854" w:rsidR="00361B9E" w:rsidRDefault="00361B9E" w:rsidP="00361B9E">
            <w:r>
              <w:t>No SAP knowledge.</w:t>
            </w:r>
          </w:p>
        </w:tc>
        <w:tc>
          <w:tcPr>
            <w:tcW w:w="1728" w:type="dxa"/>
          </w:tcPr>
          <w:p w14:paraId="572947A1" w14:textId="77777777" w:rsidR="00361B9E" w:rsidRDefault="00361B9E" w:rsidP="00361B9E"/>
        </w:tc>
      </w:tr>
      <w:tr w:rsidR="00361B9E" w14:paraId="0A643064" w14:textId="77777777" w:rsidTr="00361B9E">
        <w:tc>
          <w:tcPr>
            <w:tcW w:w="1728" w:type="dxa"/>
          </w:tcPr>
          <w:p w14:paraId="55F69F02" w14:textId="5611C2E5" w:rsidR="00361B9E" w:rsidRDefault="00361B9E" w:rsidP="00361B9E">
            <w:r>
              <w:t>Manager 1</w:t>
            </w:r>
          </w:p>
        </w:tc>
        <w:tc>
          <w:tcPr>
            <w:tcW w:w="1884" w:type="dxa"/>
          </w:tcPr>
          <w:p w14:paraId="713EE2BF" w14:textId="56972B66" w:rsidR="00361B9E" w:rsidRDefault="00361B9E" w:rsidP="00361B9E">
            <w:r>
              <w:t>Cultural Integration and Team Dynamics</w:t>
            </w:r>
          </w:p>
        </w:tc>
        <w:tc>
          <w:tcPr>
            <w:tcW w:w="1791" w:type="dxa"/>
          </w:tcPr>
          <w:p w14:paraId="148D9D1F" w14:textId="514D188C" w:rsidR="00361B9E" w:rsidRDefault="00361B9E" w:rsidP="00361B9E">
            <w:r>
              <w:t>Culture supportive, managers work well together.</w:t>
            </w:r>
          </w:p>
        </w:tc>
        <w:tc>
          <w:tcPr>
            <w:tcW w:w="1876" w:type="dxa"/>
          </w:tcPr>
          <w:p w14:paraId="17D158C0" w14:textId="77777777" w:rsidR="00361B9E" w:rsidRDefault="00361B9E" w:rsidP="00361B9E"/>
        </w:tc>
        <w:tc>
          <w:tcPr>
            <w:tcW w:w="1728" w:type="dxa"/>
          </w:tcPr>
          <w:p w14:paraId="554670DA" w14:textId="77777777" w:rsidR="00361B9E" w:rsidRDefault="00361B9E" w:rsidP="00361B9E"/>
        </w:tc>
      </w:tr>
      <w:tr w:rsidR="00361B9E" w14:paraId="08CC74D9" w14:textId="77777777" w:rsidTr="00361B9E">
        <w:tc>
          <w:tcPr>
            <w:tcW w:w="1728" w:type="dxa"/>
          </w:tcPr>
          <w:p w14:paraId="40A133F6" w14:textId="3D21C15D" w:rsidR="00361B9E" w:rsidRDefault="00361B9E" w:rsidP="00361B9E">
            <w:r>
              <w:t xml:space="preserve">Manager 1 </w:t>
            </w:r>
          </w:p>
        </w:tc>
        <w:tc>
          <w:tcPr>
            <w:tcW w:w="1884" w:type="dxa"/>
          </w:tcPr>
          <w:p w14:paraId="035330B9" w14:textId="2612391A" w:rsidR="00361B9E" w:rsidRDefault="00361B9E" w:rsidP="00361B9E">
            <w:r>
              <w:t>Opportunities for Improvement</w:t>
            </w:r>
          </w:p>
        </w:tc>
        <w:tc>
          <w:tcPr>
            <w:tcW w:w="1791" w:type="dxa"/>
          </w:tcPr>
          <w:p w14:paraId="2980E035" w14:textId="49A08093" w:rsidR="00361B9E" w:rsidRDefault="00361B9E" w:rsidP="00361B9E">
            <w:r>
              <w:t>If clarified, processes could run smoothly.</w:t>
            </w:r>
          </w:p>
        </w:tc>
        <w:tc>
          <w:tcPr>
            <w:tcW w:w="1876" w:type="dxa"/>
          </w:tcPr>
          <w:p w14:paraId="5026112B" w14:textId="77777777" w:rsidR="00361B9E" w:rsidRDefault="00361B9E" w:rsidP="00361B9E"/>
        </w:tc>
        <w:tc>
          <w:tcPr>
            <w:tcW w:w="1728" w:type="dxa"/>
          </w:tcPr>
          <w:p w14:paraId="5F6D8D24" w14:textId="77777777" w:rsidR="00361B9E" w:rsidRDefault="00361B9E" w:rsidP="00361B9E"/>
        </w:tc>
      </w:tr>
      <w:tr w:rsidR="00361B9E" w14:paraId="03FDE7F1" w14:textId="77777777" w:rsidTr="00361B9E">
        <w:tc>
          <w:tcPr>
            <w:tcW w:w="1728" w:type="dxa"/>
          </w:tcPr>
          <w:p w14:paraId="26AB6959" w14:textId="5303D1CB" w:rsidR="00361B9E" w:rsidRDefault="00361B9E" w:rsidP="00361B9E">
            <w:r>
              <w:t xml:space="preserve">Manager 2 </w:t>
            </w:r>
          </w:p>
        </w:tc>
        <w:tc>
          <w:tcPr>
            <w:tcW w:w="1884" w:type="dxa"/>
          </w:tcPr>
          <w:p w14:paraId="18F53DDF" w14:textId="711C9FA9" w:rsidR="00361B9E" w:rsidRDefault="00361B9E" w:rsidP="00361B9E">
            <w:r>
              <w:t>Emotional Readiness (Adjustment to Change)</w:t>
            </w:r>
          </w:p>
        </w:tc>
        <w:tc>
          <w:tcPr>
            <w:tcW w:w="1791" w:type="dxa"/>
          </w:tcPr>
          <w:p w14:paraId="135352E1" w14:textId="77777777" w:rsidR="00361B9E" w:rsidRDefault="00361B9E" w:rsidP="00361B9E"/>
        </w:tc>
        <w:tc>
          <w:tcPr>
            <w:tcW w:w="1876" w:type="dxa"/>
          </w:tcPr>
          <w:p w14:paraId="7E9F446C" w14:textId="368EE7C0" w:rsidR="00361B9E" w:rsidRDefault="00361B9E" w:rsidP="00361B9E">
            <w:r>
              <w:t>Challenging, slightly ambiguous.</w:t>
            </w:r>
          </w:p>
        </w:tc>
        <w:tc>
          <w:tcPr>
            <w:tcW w:w="1728" w:type="dxa"/>
          </w:tcPr>
          <w:p w14:paraId="3F10D666" w14:textId="77777777" w:rsidR="00361B9E" w:rsidRDefault="00361B9E" w:rsidP="00361B9E"/>
        </w:tc>
      </w:tr>
      <w:tr w:rsidR="00361B9E" w14:paraId="5AEF9D20" w14:textId="77777777" w:rsidTr="00361B9E">
        <w:tc>
          <w:tcPr>
            <w:tcW w:w="1728" w:type="dxa"/>
          </w:tcPr>
          <w:p w14:paraId="3EB7B6B5" w14:textId="47BE1346" w:rsidR="00361B9E" w:rsidRDefault="00361B9E" w:rsidP="00361B9E">
            <w:r>
              <w:t>Manager 2</w:t>
            </w:r>
          </w:p>
        </w:tc>
        <w:tc>
          <w:tcPr>
            <w:tcW w:w="1884" w:type="dxa"/>
          </w:tcPr>
          <w:p w14:paraId="28E91366" w14:textId="5330BBD7" w:rsidR="00361B9E" w:rsidRDefault="00361B9E" w:rsidP="00361B9E">
            <w:r>
              <w:t>Confidence and Capability</w:t>
            </w:r>
          </w:p>
        </w:tc>
        <w:tc>
          <w:tcPr>
            <w:tcW w:w="1791" w:type="dxa"/>
          </w:tcPr>
          <w:p w14:paraId="1099FB23" w14:textId="77777777" w:rsidR="00361B9E" w:rsidRDefault="00361B9E" w:rsidP="00361B9E"/>
        </w:tc>
        <w:tc>
          <w:tcPr>
            <w:tcW w:w="1876" w:type="dxa"/>
          </w:tcPr>
          <w:p w14:paraId="7E442156" w14:textId="7F1CAAE8" w:rsidR="00361B9E" w:rsidRDefault="00361B9E" w:rsidP="00361B9E">
            <w:r>
              <w:t>Lack of direction reduced confidence.</w:t>
            </w:r>
          </w:p>
        </w:tc>
        <w:tc>
          <w:tcPr>
            <w:tcW w:w="1728" w:type="dxa"/>
          </w:tcPr>
          <w:p w14:paraId="16BFE638" w14:textId="77777777" w:rsidR="00361B9E" w:rsidRDefault="00361B9E" w:rsidP="00361B9E"/>
        </w:tc>
      </w:tr>
      <w:tr w:rsidR="00361B9E" w14:paraId="001A4023" w14:textId="77777777" w:rsidTr="00361B9E">
        <w:tc>
          <w:tcPr>
            <w:tcW w:w="1728" w:type="dxa"/>
          </w:tcPr>
          <w:p w14:paraId="356BC9F7" w14:textId="61F6337A" w:rsidR="00361B9E" w:rsidRDefault="00361B9E" w:rsidP="00361B9E">
            <w:r>
              <w:t xml:space="preserve">Manager 2 </w:t>
            </w:r>
          </w:p>
        </w:tc>
        <w:tc>
          <w:tcPr>
            <w:tcW w:w="1884" w:type="dxa"/>
          </w:tcPr>
          <w:p w14:paraId="032FCD72" w14:textId="5CEEB350" w:rsidR="00361B9E" w:rsidRDefault="00361B9E" w:rsidP="00361B9E">
            <w:r>
              <w:t>Communication and Support</w:t>
            </w:r>
          </w:p>
        </w:tc>
        <w:tc>
          <w:tcPr>
            <w:tcW w:w="1791" w:type="dxa"/>
          </w:tcPr>
          <w:p w14:paraId="5BE9312E" w14:textId="77777777" w:rsidR="00361B9E" w:rsidRDefault="00361B9E" w:rsidP="00361B9E"/>
        </w:tc>
        <w:tc>
          <w:tcPr>
            <w:tcW w:w="1876" w:type="dxa"/>
          </w:tcPr>
          <w:p w14:paraId="1C109658" w14:textId="648A360F" w:rsidR="00361B9E" w:rsidRDefault="00361B9E" w:rsidP="00361B9E">
            <w:r>
              <w:t>Support 3/5, 'communication inconsistent.'</w:t>
            </w:r>
          </w:p>
        </w:tc>
        <w:tc>
          <w:tcPr>
            <w:tcW w:w="1728" w:type="dxa"/>
          </w:tcPr>
          <w:p w14:paraId="43647646" w14:textId="77777777" w:rsidR="00361B9E" w:rsidRDefault="00361B9E" w:rsidP="00361B9E"/>
        </w:tc>
      </w:tr>
      <w:tr w:rsidR="00361B9E" w14:paraId="58BC5793" w14:textId="77777777" w:rsidTr="00361B9E">
        <w:tc>
          <w:tcPr>
            <w:tcW w:w="1728" w:type="dxa"/>
          </w:tcPr>
          <w:p w14:paraId="0A1B36FD" w14:textId="1BE9A24B" w:rsidR="00361B9E" w:rsidRDefault="00361B9E" w:rsidP="00361B9E">
            <w:r>
              <w:lastRenderedPageBreak/>
              <w:t xml:space="preserve">Manager 2 </w:t>
            </w:r>
          </w:p>
        </w:tc>
        <w:tc>
          <w:tcPr>
            <w:tcW w:w="1884" w:type="dxa"/>
          </w:tcPr>
          <w:p w14:paraId="51194B32" w14:textId="736FAF3F" w:rsidR="00361B9E" w:rsidRDefault="00361B9E" w:rsidP="00361B9E">
            <w:r>
              <w:t>Training and Development</w:t>
            </w:r>
          </w:p>
        </w:tc>
        <w:tc>
          <w:tcPr>
            <w:tcW w:w="1791" w:type="dxa"/>
          </w:tcPr>
          <w:p w14:paraId="5266A9BA" w14:textId="77777777" w:rsidR="00361B9E" w:rsidRDefault="00361B9E" w:rsidP="00361B9E"/>
        </w:tc>
        <w:tc>
          <w:tcPr>
            <w:tcW w:w="1876" w:type="dxa"/>
          </w:tcPr>
          <w:p w14:paraId="478A16B1" w14:textId="6F95D007" w:rsidR="00361B9E" w:rsidRDefault="00361B9E" w:rsidP="00361B9E">
            <w:r>
              <w:t>Learn as you go approach ineffective.</w:t>
            </w:r>
          </w:p>
        </w:tc>
        <w:tc>
          <w:tcPr>
            <w:tcW w:w="1728" w:type="dxa"/>
          </w:tcPr>
          <w:p w14:paraId="17956124" w14:textId="77777777" w:rsidR="00361B9E" w:rsidRDefault="00361B9E" w:rsidP="00361B9E"/>
        </w:tc>
      </w:tr>
      <w:tr w:rsidR="00361B9E" w14:paraId="71B10748" w14:textId="77777777" w:rsidTr="00361B9E">
        <w:tc>
          <w:tcPr>
            <w:tcW w:w="1728" w:type="dxa"/>
          </w:tcPr>
          <w:p w14:paraId="4C7896C4" w14:textId="0DB60BA6" w:rsidR="00361B9E" w:rsidRDefault="00361B9E" w:rsidP="00361B9E">
            <w:r>
              <w:t xml:space="preserve">Manager 2 </w:t>
            </w:r>
          </w:p>
        </w:tc>
        <w:tc>
          <w:tcPr>
            <w:tcW w:w="1884" w:type="dxa"/>
          </w:tcPr>
          <w:p w14:paraId="493CBA6A" w14:textId="69D7D8C1" w:rsidR="00361B9E" w:rsidRDefault="00361B9E" w:rsidP="00361B9E">
            <w:r>
              <w:t>Cultural Integration and Team Dynamics</w:t>
            </w:r>
          </w:p>
        </w:tc>
        <w:tc>
          <w:tcPr>
            <w:tcW w:w="1791" w:type="dxa"/>
          </w:tcPr>
          <w:p w14:paraId="39C84CD9" w14:textId="77777777" w:rsidR="00361B9E" w:rsidRDefault="00361B9E" w:rsidP="00361B9E"/>
        </w:tc>
        <w:tc>
          <w:tcPr>
            <w:tcW w:w="1876" w:type="dxa"/>
          </w:tcPr>
          <w:p w14:paraId="54390097" w14:textId="4AE29BEC" w:rsidR="00361B9E" w:rsidRDefault="00361B9E" w:rsidP="00361B9E">
            <w:r>
              <w:t>Negative behaviours, inconsistent working.</w:t>
            </w:r>
          </w:p>
        </w:tc>
        <w:tc>
          <w:tcPr>
            <w:tcW w:w="1728" w:type="dxa"/>
          </w:tcPr>
          <w:p w14:paraId="29D87FF1" w14:textId="77777777" w:rsidR="00361B9E" w:rsidRDefault="00361B9E" w:rsidP="00361B9E"/>
        </w:tc>
      </w:tr>
      <w:tr w:rsidR="00361B9E" w14:paraId="7E794BFD" w14:textId="77777777" w:rsidTr="00361B9E">
        <w:tc>
          <w:tcPr>
            <w:tcW w:w="1728" w:type="dxa"/>
          </w:tcPr>
          <w:p w14:paraId="2F7140FB" w14:textId="43BEE723" w:rsidR="00361B9E" w:rsidRDefault="00361B9E" w:rsidP="00361B9E">
            <w:r>
              <w:t>Manager 2</w:t>
            </w:r>
          </w:p>
        </w:tc>
        <w:tc>
          <w:tcPr>
            <w:tcW w:w="1884" w:type="dxa"/>
          </w:tcPr>
          <w:p w14:paraId="26D69F59" w14:textId="6259597E" w:rsidR="00361B9E" w:rsidRDefault="00361B9E" w:rsidP="00361B9E">
            <w:r>
              <w:t>Opportunities for Improvement</w:t>
            </w:r>
          </w:p>
        </w:tc>
        <w:tc>
          <w:tcPr>
            <w:tcW w:w="1791" w:type="dxa"/>
          </w:tcPr>
          <w:p w14:paraId="12ABDBB9" w14:textId="77777777" w:rsidR="00361B9E" w:rsidRDefault="00361B9E" w:rsidP="00361B9E"/>
        </w:tc>
        <w:tc>
          <w:tcPr>
            <w:tcW w:w="1876" w:type="dxa"/>
          </w:tcPr>
          <w:p w14:paraId="6618F922" w14:textId="455F79A2" w:rsidR="00361B9E" w:rsidRDefault="00361B9E" w:rsidP="00361B9E">
            <w:r>
              <w:t>Risk of staying in dip too long.</w:t>
            </w:r>
          </w:p>
        </w:tc>
        <w:tc>
          <w:tcPr>
            <w:tcW w:w="1728" w:type="dxa"/>
          </w:tcPr>
          <w:p w14:paraId="671A7EA4" w14:textId="77777777" w:rsidR="00361B9E" w:rsidRDefault="00361B9E" w:rsidP="00361B9E"/>
        </w:tc>
      </w:tr>
      <w:tr w:rsidR="00361B9E" w14:paraId="39DEDF18" w14:textId="77777777" w:rsidTr="00361B9E">
        <w:tc>
          <w:tcPr>
            <w:tcW w:w="1728" w:type="dxa"/>
          </w:tcPr>
          <w:p w14:paraId="0E653721" w14:textId="4D0EC223" w:rsidR="00361B9E" w:rsidRDefault="00361B9E" w:rsidP="00361B9E">
            <w:r>
              <w:t xml:space="preserve">Manager 3 </w:t>
            </w:r>
          </w:p>
        </w:tc>
        <w:tc>
          <w:tcPr>
            <w:tcW w:w="1884" w:type="dxa"/>
          </w:tcPr>
          <w:p w14:paraId="5C00972C" w14:textId="35084079" w:rsidR="00361B9E" w:rsidRDefault="00361B9E" w:rsidP="00361B9E">
            <w:r>
              <w:t>Emotional Readiness (Adjustment to Change)</w:t>
            </w:r>
          </w:p>
        </w:tc>
        <w:tc>
          <w:tcPr>
            <w:tcW w:w="1791" w:type="dxa"/>
          </w:tcPr>
          <w:p w14:paraId="1DB456F1" w14:textId="0AAAC44D" w:rsidR="00361B9E" w:rsidRDefault="00361B9E" w:rsidP="00361B9E">
            <w:r>
              <w:t>Optimistic, able to make changes.</w:t>
            </w:r>
          </w:p>
        </w:tc>
        <w:tc>
          <w:tcPr>
            <w:tcW w:w="1876" w:type="dxa"/>
          </w:tcPr>
          <w:p w14:paraId="2A781ADE" w14:textId="77777777" w:rsidR="00361B9E" w:rsidRDefault="00361B9E" w:rsidP="00361B9E"/>
        </w:tc>
        <w:tc>
          <w:tcPr>
            <w:tcW w:w="1728" w:type="dxa"/>
          </w:tcPr>
          <w:p w14:paraId="5CAB7CC8" w14:textId="77777777" w:rsidR="00361B9E" w:rsidRDefault="00361B9E" w:rsidP="00361B9E"/>
        </w:tc>
      </w:tr>
      <w:tr w:rsidR="00361B9E" w14:paraId="0BFEF3E3" w14:textId="77777777" w:rsidTr="00361B9E">
        <w:tc>
          <w:tcPr>
            <w:tcW w:w="1728" w:type="dxa"/>
          </w:tcPr>
          <w:p w14:paraId="36217EC6" w14:textId="2A1A467C" w:rsidR="00361B9E" w:rsidRDefault="00361B9E" w:rsidP="00361B9E">
            <w:r>
              <w:t xml:space="preserve">Manager 3 </w:t>
            </w:r>
          </w:p>
        </w:tc>
        <w:tc>
          <w:tcPr>
            <w:tcW w:w="1884" w:type="dxa"/>
          </w:tcPr>
          <w:p w14:paraId="3E0950B7" w14:textId="3A82DD4C" w:rsidR="00361B9E" w:rsidRDefault="00361B9E" w:rsidP="00361B9E">
            <w:r>
              <w:t>Confidence and Capability</w:t>
            </w:r>
          </w:p>
        </w:tc>
        <w:tc>
          <w:tcPr>
            <w:tcW w:w="1791" w:type="dxa"/>
          </w:tcPr>
          <w:p w14:paraId="066A4DB5" w14:textId="77777777" w:rsidR="00361B9E" w:rsidRDefault="00361B9E" w:rsidP="00361B9E"/>
        </w:tc>
        <w:tc>
          <w:tcPr>
            <w:tcW w:w="1876" w:type="dxa"/>
          </w:tcPr>
          <w:p w14:paraId="3733C856" w14:textId="79286662" w:rsidR="00361B9E" w:rsidRDefault="00361B9E" w:rsidP="00361B9E">
            <w:r>
              <w:t>Training insufficient, learn as we go.</w:t>
            </w:r>
          </w:p>
        </w:tc>
        <w:tc>
          <w:tcPr>
            <w:tcW w:w="1728" w:type="dxa"/>
          </w:tcPr>
          <w:p w14:paraId="58994BD4" w14:textId="77777777" w:rsidR="00361B9E" w:rsidRDefault="00361B9E" w:rsidP="00361B9E"/>
        </w:tc>
      </w:tr>
      <w:tr w:rsidR="00361B9E" w14:paraId="0C94500C" w14:textId="77777777" w:rsidTr="00361B9E">
        <w:tc>
          <w:tcPr>
            <w:tcW w:w="1728" w:type="dxa"/>
          </w:tcPr>
          <w:p w14:paraId="4EDF0635" w14:textId="6A070366" w:rsidR="00361B9E" w:rsidRDefault="00361B9E" w:rsidP="00361B9E">
            <w:r>
              <w:t xml:space="preserve">Manager 3 </w:t>
            </w:r>
          </w:p>
        </w:tc>
        <w:tc>
          <w:tcPr>
            <w:tcW w:w="1884" w:type="dxa"/>
          </w:tcPr>
          <w:p w14:paraId="5CFE08AD" w14:textId="1C3AB09B" w:rsidR="00361B9E" w:rsidRDefault="00361B9E" w:rsidP="00361B9E">
            <w:r>
              <w:t>Communication and Support</w:t>
            </w:r>
          </w:p>
        </w:tc>
        <w:tc>
          <w:tcPr>
            <w:tcW w:w="1791" w:type="dxa"/>
          </w:tcPr>
          <w:p w14:paraId="189FC47E" w14:textId="77777777" w:rsidR="00361B9E" w:rsidRDefault="00361B9E" w:rsidP="00361B9E"/>
        </w:tc>
        <w:tc>
          <w:tcPr>
            <w:tcW w:w="1876" w:type="dxa"/>
          </w:tcPr>
          <w:p w14:paraId="4441E1FA" w14:textId="77777777" w:rsidR="00361B9E" w:rsidRDefault="00361B9E" w:rsidP="00361B9E"/>
        </w:tc>
        <w:tc>
          <w:tcPr>
            <w:tcW w:w="1728" w:type="dxa"/>
          </w:tcPr>
          <w:p w14:paraId="2E87033F" w14:textId="1C16866D" w:rsidR="00361B9E" w:rsidRDefault="00361B9E" w:rsidP="00361B9E">
            <w:r>
              <w:t>Support there, but reactive rather than proactive.</w:t>
            </w:r>
          </w:p>
        </w:tc>
      </w:tr>
      <w:tr w:rsidR="00361B9E" w14:paraId="7C388EF5" w14:textId="77777777" w:rsidTr="00361B9E">
        <w:tc>
          <w:tcPr>
            <w:tcW w:w="1728" w:type="dxa"/>
          </w:tcPr>
          <w:p w14:paraId="30CF8CC4" w14:textId="7B5AEB6F" w:rsidR="00361B9E" w:rsidRDefault="00361B9E" w:rsidP="00361B9E">
            <w:r>
              <w:t xml:space="preserve">Manager 3 </w:t>
            </w:r>
          </w:p>
        </w:tc>
        <w:tc>
          <w:tcPr>
            <w:tcW w:w="1884" w:type="dxa"/>
          </w:tcPr>
          <w:p w14:paraId="2557FBB8" w14:textId="6C7546BC" w:rsidR="00361B9E" w:rsidRDefault="00361B9E" w:rsidP="00361B9E">
            <w:r>
              <w:t>Training and Development</w:t>
            </w:r>
          </w:p>
        </w:tc>
        <w:tc>
          <w:tcPr>
            <w:tcW w:w="1791" w:type="dxa"/>
          </w:tcPr>
          <w:p w14:paraId="3B608461" w14:textId="77777777" w:rsidR="00361B9E" w:rsidRDefault="00361B9E" w:rsidP="00361B9E"/>
        </w:tc>
        <w:tc>
          <w:tcPr>
            <w:tcW w:w="1876" w:type="dxa"/>
          </w:tcPr>
          <w:p w14:paraId="00C36278" w14:textId="0C1CD526" w:rsidR="00361B9E" w:rsidRDefault="00361B9E" w:rsidP="00361B9E">
            <w:r>
              <w:t>Training reactive.</w:t>
            </w:r>
          </w:p>
        </w:tc>
        <w:tc>
          <w:tcPr>
            <w:tcW w:w="1728" w:type="dxa"/>
          </w:tcPr>
          <w:p w14:paraId="62A55847" w14:textId="77777777" w:rsidR="00361B9E" w:rsidRDefault="00361B9E" w:rsidP="00361B9E"/>
        </w:tc>
      </w:tr>
      <w:tr w:rsidR="00361B9E" w14:paraId="2F38AD54" w14:textId="77777777" w:rsidTr="00361B9E">
        <w:tc>
          <w:tcPr>
            <w:tcW w:w="1728" w:type="dxa"/>
          </w:tcPr>
          <w:p w14:paraId="20D13947" w14:textId="0A550985" w:rsidR="00361B9E" w:rsidRDefault="00361B9E" w:rsidP="00361B9E">
            <w:r>
              <w:t xml:space="preserve">Manager 3 </w:t>
            </w:r>
          </w:p>
        </w:tc>
        <w:tc>
          <w:tcPr>
            <w:tcW w:w="1884" w:type="dxa"/>
          </w:tcPr>
          <w:p w14:paraId="158F1E67" w14:textId="654C0B6F" w:rsidR="00361B9E" w:rsidRDefault="00361B9E" w:rsidP="00361B9E">
            <w:r>
              <w:t>Cultural Integration and Team Dynamics</w:t>
            </w:r>
          </w:p>
        </w:tc>
        <w:tc>
          <w:tcPr>
            <w:tcW w:w="1791" w:type="dxa"/>
          </w:tcPr>
          <w:p w14:paraId="2E8E2571" w14:textId="3B4BFAA8" w:rsidR="00361B9E" w:rsidRDefault="00361B9E" w:rsidP="00361B9E">
            <w:r>
              <w:t>Opportunities to improve teamwork.</w:t>
            </w:r>
          </w:p>
        </w:tc>
        <w:tc>
          <w:tcPr>
            <w:tcW w:w="1876" w:type="dxa"/>
          </w:tcPr>
          <w:p w14:paraId="1E3F3998" w14:textId="77777777" w:rsidR="00361B9E" w:rsidRDefault="00361B9E" w:rsidP="00361B9E"/>
        </w:tc>
        <w:tc>
          <w:tcPr>
            <w:tcW w:w="1728" w:type="dxa"/>
          </w:tcPr>
          <w:p w14:paraId="7A913204" w14:textId="77777777" w:rsidR="00361B9E" w:rsidRDefault="00361B9E" w:rsidP="00361B9E"/>
        </w:tc>
      </w:tr>
      <w:tr w:rsidR="00361B9E" w14:paraId="6FDD3887" w14:textId="77777777" w:rsidTr="00361B9E">
        <w:tc>
          <w:tcPr>
            <w:tcW w:w="1728" w:type="dxa"/>
          </w:tcPr>
          <w:p w14:paraId="2C5E3C52" w14:textId="4C4EE932" w:rsidR="00361B9E" w:rsidRDefault="00361B9E" w:rsidP="00361B9E">
            <w:r>
              <w:t xml:space="preserve">Manager 3 </w:t>
            </w:r>
          </w:p>
        </w:tc>
        <w:tc>
          <w:tcPr>
            <w:tcW w:w="1884" w:type="dxa"/>
          </w:tcPr>
          <w:p w14:paraId="363CD03C" w14:textId="4974D0AD" w:rsidR="00361B9E" w:rsidRDefault="00361B9E" w:rsidP="00361B9E">
            <w:r>
              <w:t>Opportunities for Improvement</w:t>
            </w:r>
          </w:p>
        </w:tc>
        <w:tc>
          <w:tcPr>
            <w:tcW w:w="1791" w:type="dxa"/>
          </w:tcPr>
          <w:p w14:paraId="560D5B59" w14:textId="77777777" w:rsidR="00361B9E" w:rsidRDefault="00361B9E" w:rsidP="00361B9E"/>
        </w:tc>
        <w:tc>
          <w:tcPr>
            <w:tcW w:w="1876" w:type="dxa"/>
          </w:tcPr>
          <w:p w14:paraId="59763F18" w14:textId="51F4461C" w:rsidR="00361B9E" w:rsidRDefault="00361B9E" w:rsidP="00361B9E">
            <w:r>
              <w:t>System issues could slow execution.</w:t>
            </w:r>
          </w:p>
        </w:tc>
        <w:tc>
          <w:tcPr>
            <w:tcW w:w="1728" w:type="dxa"/>
          </w:tcPr>
          <w:p w14:paraId="285F6CCA" w14:textId="77777777" w:rsidR="00361B9E" w:rsidRDefault="00361B9E" w:rsidP="00361B9E"/>
        </w:tc>
      </w:tr>
      <w:tr w:rsidR="00361B9E" w14:paraId="2F4590AB" w14:textId="77777777" w:rsidTr="00361B9E">
        <w:tc>
          <w:tcPr>
            <w:tcW w:w="1728" w:type="dxa"/>
          </w:tcPr>
          <w:p w14:paraId="14CE8742" w14:textId="187D297B" w:rsidR="00361B9E" w:rsidRDefault="00361B9E" w:rsidP="00361B9E">
            <w:r>
              <w:t xml:space="preserve">Manager 4 </w:t>
            </w:r>
          </w:p>
        </w:tc>
        <w:tc>
          <w:tcPr>
            <w:tcW w:w="1884" w:type="dxa"/>
          </w:tcPr>
          <w:p w14:paraId="5227BE53" w14:textId="6667E9C1" w:rsidR="00361B9E" w:rsidRDefault="00361B9E" w:rsidP="00361B9E">
            <w:r>
              <w:t>Emotional Readiness (Adjustment to Change)</w:t>
            </w:r>
          </w:p>
        </w:tc>
        <w:tc>
          <w:tcPr>
            <w:tcW w:w="1791" w:type="dxa"/>
          </w:tcPr>
          <w:p w14:paraId="59BD5DB4" w14:textId="77777777" w:rsidR="00361B9E" w:rsidRDefault="00361B9E" w:rsidP="00361B9E"/>
        </w:tc>
        <w:tc>
          <w:tcPr>
            <w:tcW w:w="1876" w:type="dxa"/>
          </w:tcPr>
          <w:p w14:paraId="50C09D47" w14:textId="25B1FC39" w:rsidR="00361B9E" w:rsidRDefault="00361B9E" w:rsidP="00361B9E">
            <w:r>
              <w:t>Stressed with system changes.</w:t>
            </w:r>
          </w:p>
        </w:tc>
        <w:tc>
          <w:tcPr>
            <w:tcW w:w="1728" w:type="dxa"/>
          </w:tcPr>
          <w:p w14:paraId="085E934C" w14:textId="77777777" w:rsidR="00361B9E" w:rsidRDefault="00361B9E" w:rsidP="00361B9E"/>
        </w:tc>
      </w:tr>
      <w:tr w:rsidR="00361B9E" w14:paraId="05965EDA" w14:textId="77777777" w:rsidTr="00361B9E">
        <w:tc>
          <w:tcPr>
            <w:tcW w:w="1728" w:type="dxa"/>
          </w:tcPr>
          <w:p w14:paraId="1ACBC398" w14:textId="14AD02BE" w:rsidR="00361B9E" w:rsidRDefault="00361B9E" w:rsidP="00361B9E">
            <w:r>
              <w:t xml:space="preserve">Manager 4 </w:t>
            </w:r>
          </w:p>
        </w:tc>
        <w:tc>
          <w:tcPr>
            <w:tcW w:w="1884" w:type="dxa"/>
          </w:tcPr>
          <w:p w14:paraId="161B5F09" w14:textId="20BE113A" w:rsidR="00361B9E" w:rsidRDefault="00361B9E" w:rsidP="00361B9E">
            <w:r>
              <w:t>Communication and Support</w:t>
            </w:r>
          </w:p>
        </w:tc>
        <w:tc>
          <w:tcPr>
            <w:tcW w:w="1791" w:type="dxa"/>
          </w:tcPr>
          <w:p w14:paraId="33199451" w14:textId="77777777" w:rsidR="00361B9E" w:rsidRDefault="00361B9E" w:rsidP="00361B9E"/>
        </w:tc>
        <w:tc>
          <w:tcPr>
            <w:tcW w:w="1876" w:type="dxa"/>
          </w:tcPr>
          <w:p w14:paraId="775BBC2B" w14:textId="568A2DE4" w:rsidR="00361B9E" w:rsidRDefault="00361B9E" w:rsidP="00361B9E">
            <w:r>
              <w:t xml:space="preserve">Decisions made without </w:t>
            </w:r>
            <w:r>
              <w:lastRenderedPageBreak/>
              <w:t>consulting managers.</w:t>
            </w:r>
          </w:p>
        </w:tc>
        <w:tc>
          <w:tcPr>
            <w:tcW w:w="1728" w:type="dxa"/>
          </w:tcPr>
          <w:p w14:paraId="154EA82C" w14:textId="77777777" w:rsidR="00361B9E" w:rsidRDefault="00361B9E" w:rsidP="00361B9E"/>
        </w:tc>
      </w:tr>
      <w:tr w:rsidR="00361B9E" w14:paraId="573D7673" w14:textId="77777777" w:rsidTr="00361B9E">
        <w:tc>
          <w:tcPr>
            <w:tcW w:w="1728" w:type="dxa"/>
          </w:tcPr>
          <w:p w14:paraId="74C193E1" w14:textId="36AFFCAC" w:rsidR="00361B9E" w:rsidRDefault="00361B9E" w:rsidP="00361B9E">
            <w:r>
              <w:t xml:space="preserve">Manager 4 </w:t>
            </w:r>
          </w:p>
        </w:tc>
        <w:tc>
          <w:tcPr>
            <w:tcW w:w="1884" w:type="dxa"/>
          </w:tcPr>
          <w:p w14:paraId="415311E7" w14:textId="0060A596" w:rsidR="00361B9E" w:rsidRDefault="00361B9E" w:rsidP="00361B9E">
            <w:r>
              <w:t>Training and Development</w:t>
            </w:r>
          </w:p>
        </w:tc>
        <w:tc>
          <w:tcPr>
            <w:tcW w:w="1791" w:type="dxa"/>
          </w:tcPr>
          <w:p w14:paraId="2AE2ABCD" w14:textId="77777777" w:rsidR="00361B9E" w:rsidRDefault="00361B9E" w:rsidP="00361B9E"/>
        </w:tc>
        <w:tc>
          <w:tcPr>
            <w:tcW w:w="1876" w:type="dxa"/>
          </w:tcPr>
          <w:p w14:paraId="54E5ABFE" w14:textId="77777777" w:rsidR="00361B9E" w:rsidRDefault="00361B9E" w:rsidP="00361B9E"/>
        </w:tc>
        <w:tc>
          <w:tcPr>
            <w:tcW w:w="1728" w:type="dxa"/>
          </w:tcPr>
          <w:p w14:paraId="0A0404EC" w14:textId="727C0931" w:rsidR="00361B9E" w:rsidRDefault="00361B9E" w:rsidP="00361B9E">
            <w:r>
              <w:t>Useful but too condensed.</w:t>
            </w:r>
          </w:p>
        </w:tc>
      </w:tr>
      <w:tr w:rsidR="00361B9E" w14:paraId="33270C18" w14:textId="77777777" w:rsidTr="00361B9E">
        <w:tc>
          <w:tcPr>
            <w:tcW w:w="1728" w:type="dxa"/>
          </w:tcPr>
          <w:p w14:paraId="6BF5F3C4" w14:textId="35090921" w:rsidR="00361B9E" w:rsidRDefault="00361B9E" w:rsidP="00361B9E">
            <w:r>
              <w:t xml:space="preserve">Manager 4 </w:t>
            </w:r>
          </w:p>
        </w:tc>
        <w:tc>
          <w:tcPr>
            <w:tcW w:w="1884" w:type="dxa"/>
          </w:tcPr>
          <w:p w14:paraId="559585D0" w14:textId="23434C31" w:rsidR="00361B9E" w:rsidRDefault="00361B9E" w:rsidP="00361B9E">
            <w:r>
              <w:t>Cultural Integration and Team Dynamics</w:t>
            </w:r>
          </w:p>
        </w:tc>
        <w:tc>
          <w:tcPr>
            <w:tcW w:w="1791" w:type="dxa"/>
          </w:tcPr>
          <w:p w14:paraId="643B4DB5" w14:textId="77777777" w:rsidR="00361B9E" w:rsidRDefault="00361B9E" w:rsidP="00361B9E"/>
        </w:tc>
        <w:tc>
          <w:tcPr>
            <w:tcW w:w="1876" w:type="dxa"/>
          </w:tcPr>
          <w:p w14:paraId="52210E17" w14:textId="01A0162E" w:rsidR="00361B9E" w:rsidRDefault="00361B9E" w:rsidP="00361B9E">
            <w:r>
              <w:t>Silos remain.</w:t>
            </w:r>
          </w:p>
        </w:tc>
        <w:tc>
          <w:tcPr>
            <w:tcW w:w="1728" w:type="dxa"/>
          </w:tcPr>
          <w:p w14:paraId="5926736D" w14:textId="77777777" w:rsidR="00361B9E" w:rsidRDefault="00361B9E" w:rsidP="00361B9E"/>
        </w:tc>
      </w:tr>
      <w:tr w:rsidR="00361B9E" w14:paraId="1411A63B" w14:textId="77777777" w:rsidTr="00361B9E">
        <w:tc>
          <w:tcPr>
            <w:tcW w:w="1728" w:type="dxa"/>
          </w:tcPr>
          <w:p w14:paraId="7C07B2FB" w14:textId="26FF8E76" w:rsidR="00361B9E" w:rsidRDefault="00361B9E" w:rsidP="00361B9E">
            <w:r>
              <w:t xml:space="preserve">Manager 5 </w:t>
            </w:r>
          </w:p>
        </w:tc>
        <w:tc>
          <w:tcPr>
            <w:tcW w:w="1884" w:type="dxa"/>
          </w:tcPr>
          <w:p w14:paraId="4E6A4536" w14:textId="39E56A4B" w:rsidR="00361B9E" w:rsidRDefault="00361B9E" w:rsidP="00361B9E">
            <w:r>
              <w:t>Emotional Readiness (Adjustment to Change)</w:t>
            </w:r>
          </w:p>
        </w:tc>
        <w:tc>
          <w:tcPr>
            <w:tcW w:w="1791" w:type="dxa"/>
          </w:tcPr>
          <w:p w14:paraId="5DEE1689" w14:textId="77777777" w:rsidR="00361B9E" w:rsidRDefault="00361B9E" w:rsidP="00361B9E"/>
        </w:tc>
        <w:tc>
          <w:tcPr>
            <w:tcW w:w="1876" w:type="dxa"/>
          </w:tcPr>
          <w:p w14:paraId="11E37185" w14:textId="77777777" w:rsidR="00361B9E" w:rsidRDefault="00361B9E" w:rsidP="00361B9E"/>
        </w:tc>
        <w:tc>
          <w:tcPr>
            <w:tcW w:w="1728" w:type="dxa"/>
          </w:tcPr>
          <w:p w14:paraId="5D86B66F" w14:textId="7023F818" w:rsidR="00361B9E" w:rsidRDefault="00361B9E" w:rsidP="00361B9E">
            <w:r>
              <w:t>Mixed – both positive and negative.</w:t>
            </w:r>
          </w:p>
        </w:tc>
      </w:tr>
      <w:tr w:rsidR="00361B9E" w14:paraId="66AC0F36" w14:textId="77777777" w:rsidTr="00361B9E">
        <w:tc>
          <w:tcPr>
            <w:tcW w:w="1728" w:type="dxa"/>
          </w:tcPr>
          <w:p w14:paraId="0422DA1D" w14:textId="2B9FA812" w:rsidR="00361B9E" w:rsidRDefault="00361B9E" w:rsidP="00361B9E">
            <w:r>
              <w:t xml:space="preserve">Manager 5 </w:t>
            </w:r>
          </w:p>
        </w:tc>
        <w:tc>
          <w:tcPr>
            <w:tcW w:w="1884" w:type="dxa"/>
          </w:tcPr>
          <w:p w14:paraId="4816323F" w14:textId="063D4098" w:rsidR="00361B9E" w:rsidRDefault="00361B9E" w:rsidP="00361B9E">
            <w:r>
              <w:t>Communication and Support</w:t>
            </w:r>
          </w:p>
        </w:tc>
        <w:tc>
          <w:tcPr>
            <w:tcW w:w="1791" w:type="dxa"/>
          </w:tcPr>
          <w:p w14:paraId="16927F12" w14:textId="17984632" w:rsidR="00361B9E" w:rsidRDefault="00361B9E" w:rsidP="00361B9E">
            <w:r>
              <w:t>Improved mid-process.</w:t>
            </w:r>
          </w:p>
        </w:tc>
        <w:tc>
          <w:tcPr>
            <w:tcW w:w="1876" w:type="dxa"/>
          </w:tcPr>
          <w:p w14:paraId="0D218366" w14:textId="77777777" w:rsidR="00361B9E" w:rsidRDefault="00361B9E" w:rsidP="00361B9E"/>
        </w:tc>
        <w:tc>
          <w:tcPr>
            <w:tcW w:w="1728" w:type="dxa"/>
          </w:tcPr>
          <w:p w14:paraId="59BA99D3" w14:textId="77777777" w:rsidR="00361B9E" w:rsidRDefault="00361B9E" w:rsidP="00361B9E"/>
        </w:tc>
      </w:tr>
      <w:tr w:rsidR="00361B9E" w14:paraId="76E9FD1A" w14:textId="77777777" w:rsidTr="00361B9E">
        <w:tc>
          <w:tcPr>
            <w:tcW w:w="1728" w:type="dxa"/>
          </w:tcPr>
          <w:p w14:paraId="71D08978" w14:textId="1A4D8979" w:rsidR="00361B9E" w:rsidRDefault="00361B9E" w:rsidP="00361B9E">
            <w:r>
              <w:t xml:space="preserve">Manager 5 </w:t>
            </w:r>
          </w:p>
        </w:tc>
        <w:tc>
          <w:tcPr>
            <w:tcW w:w="1884" w:type="dxa"/>
          </w:tcPr>
          <w:p w14:paraId="6836AE49" w14:textId="1DD2DEAF" w:rsidR="00361B9E" w:rsidRDefault="00361B9E" w:rsidP="00361B9E">
            <w:r>
              <w:t>Training and Development</w:t>
            </w:r>
          </w:p>
        </w:tc>
        <w:tc>
          <w:tcPr>
            <w:tcW w:w="1791" w:type="dxa"/>
          </w:tcPr>
          <w:p w14:paraId="14C923BA" w14:textId="7A10A8CE" w:rsidR="00361B9E" w:rsidRDefault="00361B9E" w:rsidP="00361B9E">
            <w:r>
              <w:t>SAP training eventually delivered, managers helped each other.</w:t>
            </w:r>
          </w:p>
        </w:tc>
        <w:tc>
          <w:tcPr>
            <w:tcW w:w="1876" w:type="dxa"/>
          </w:tcPr>
          <w:p w14:paraId="036C5E0E" w14:textId="77777777" w:rsidR="00361B9E" w:rsidRDefault="00361B9E" w:rsidP="00361B9E"/>
        </w:tc>
        <w:tc>
          <w:tcPr>
            <w:tcW w:w="1728" w:type="dxa"/>
          </w:tcPr>
          <w:p w14:paraId="6F60FD80" w14:textId="77777777" w:rsidR="00361B9E" w:rsidRDefault="00361B9E" w:rsidP="00361B9E"/>
        </w:tc>
      </w:tr>
      <w:tr w:rsidR="00361B9E" w14:paraId="1552D93C" w14:textId="77777777" w:rsidTr="00361B9E">
        <w:tc>
          <w:tcPr>
            <w:tcW w:w="1728" w:type="dxa"/>
          </w:tcPr>
          <w:p w14:paraId="099FB3FA" w14:textId="28B3F1BC" w:rsidR="00361B9E" w:rsidRDefault="00361B9E" w:rsidP="00361B9E">
            <w:r>
              <w:t xml:space="preserve">Manager 5 </w:t>
            </w:r>
          </w:p>
        </w:tc>
        <w:tc>
          <w:tcPr>
            <w:tcW w:w="1884" w:type="dxa"/>
          </w:tcPr>
          <w:p w14:paraId="4EC83617" w14:textId="774886FB" w:rsidR="00361B9E" w:rsidRDefault="00361B9E" w:rsidP="00361B9E">
            <w:r>
              <w:t>Cultural Integration and Team Dynamics</w:t>
            </w:r>
          </w:p>
        </w:tc>
        <w:tc>
          <w:tcPr>
            <w:tcW w:w="1791" w:type="dxa"/>
          </w:tcPr>
          <w:p w14:paraId="71CFFA00" w14:textId="77777777" w:rsidR="00361B9E" w:rsidRDefault="00361B9E" w:rsidP="00361B9E"/>
        </w:tc>
        <w:tc>
          <w:tcPr>
            <w:tcW w:w="1876" w:type="dxa"/>
          </w:tcPr>
          <w:p w14:paraId="52B6D68C" w14:textId="77777777" w:rsidR="00361B9E" w:rsidRDefault="00361B9E" w:rsidP="00361B9E"/>
        </w:tc>
        <w:tc>
          <w:tcPr>
            <w:tcW w:w="1728" w:type="dxa"/>
          </w:tcPr>
          <w:p w14:paraId="4B519F23" w14:textId="2C8F2802" w:rsidR="00361B9E" w:rsidRDefault="00361B9E" w:rsidP="00361B9E">
            <w:r>
              <w:t>Some barriers but manageable with effort.</w:t>
            </w:r>
          </w:p>
        </w:tc>
      </w:tr>
      <w:tr w:rsidR="00361B9E" w14:paraId="52D6FE37" w14:textId="77777777" w:rsidTr="00361B9E">
        <w:tc>
          <w:tcPr>
            <w:tcW w:w="1728" w:type="dxa"/>
          </w:tcPr>
          <w:p w14:paraId="26648C45" w14:textId="5088BC7D" w:rsidR="00361B9E" w:rsidRDefault="00361B9E" w:rsidP="00361B9E">
            <w:r>
              <w:t xml:space="preserve">Manager 5 </w:t>
            </w:r>
          </w:p>
        </w:tc>
        <w:tc>
          <w:tcPr>
            <w:tcW w:w="1884" w:type="dxa"/>
          </w:tcPr>
          <w:p w14:paraId="7A65F2C1" w14:textId="63235465" w:rsidR="00361B9E" w:rsidRDefault="00361B9E" w:rsidP="00361B9E">
            <w:r>
              <w:t>Opportunities for Improvement</w:t>
            </w:r>
          </w:p>
        </w:tc>
        <w:tc>
          <w:tcPr>
            <w:tcW w:w="1791" w:type="dxa"/>
          </w:tcPr>
          <w:p w14:paraId="341EBF17" w14:textId="77777777" w:rsidR="00361B9E" w:rsidRDefault="00361B9E" w:rsidP="00361B9E"/>
        </w:tc>
        <w:tc>
          <w:tcPr>
            <w:tcW w:w="1876" w:type="dxa"/>
          </w:tcPr>
          <w:p w14:paraId="1A959B44" w14:textId="77777777" w:rsidR="00361B9E" w:rsidRDefault="00361B9E" w:rsidP="00361B9E"/>
        </w:tc>
        <w:tc>
          <w:tcPr>
            <w:tcW w:w="1728" w:type="dxa"/>
          </w:tcPr>
          <w:p w14:paraId="7872453C" w14:textId="36ADADF6" w:rsidR="00361B9E" w:rsidRDefault="00361B9E" w:rsidP="00361B9E">
            <w:r>
              <w:t>Risks manageable with right leadership focus.</w:t>
            </w:r>
          </w:p>
        </w:tc>
      </w:tr>
    </w:tbl>
    <w:p w14:paraId="1CE361B8" w14:textId="77777777" w:rsidR="0051453D" w:rsidRDefault="0051453D" w:rsidP="0051453D"/>
    <w:p w14:paraId="0391842F" w14:textId="03AD8519" w:rsidR="00332563" w:rsidRPr="00D45710" w:rsidRDefault="00332563" w:rsidP="00D45710"/>
    <w:p w14:paraId="7ED85315" w14:textId="77777777" w:rsidR="004A5DA6" w:rsidRPr="00D655F0" w:rsidRDefault="004A5DA6"/>
    <w:sectPr w:rsidR="004A5DA6" w:rsidRPr="00D655F0" w:rsidSect="00412DBD">
      <w:headerReference w:type="even" r:id="rId41"/>
      <w:headerReference w:type="default" r:id="rId42"/>
      <w:footerReference w:type="default" r:id="rId43"/>
      <w:headerReference w:type="first" r:id="rId44"/>
      <w:footerReference w:type="first" r:id="rId45"/>
      <w:pgSz w:w="11906" w:h="16838"/>
      <w:pgMar w:top="1440" w:right="1440" w:bottom="1440" w:left="1440" w:header="737"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FB7F" w14:textId="77777777" w:rsidR="000F19E4" w:rsidRDefault="000F19E4">
      <w:pPr>
        <w:spacing w:after="0" w:line="240" w:lineRule="auto"/>
      </w:pPr>
      <w:r>
        <w:separator/>
      </w:r>
    </w:p>
  </w:endnote>
  <w:endnote w:type="continuationSeparator" w:id="0">
    <w:p w14:paraId="16B87E52" w14:textId="77777777" w:rsidR="000F19E4" w:rsidRDefault="000F1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272631"/>
      <w:docPartObj>
        <w:docPartGallery w:val="Page Numbers (Bottom of Page)"/>
        <w:docPartUnique/>
      </w:docPartObj>
    </w:sdtPr>
    <w:sdtEndPr>
      <w:rPr>
        <w:color w:val="7F7F7F" w:themeColor="background1" w:themeShade="7F"/>
        <w:spacing w:val="60"/>
      </w:rPr>
    </w:sdtEndPr>
    <w:sdtContent>
      <w:p w14:paraId="302C4ADD" w14:textId="1A9B393C" w:rsidR="00412DBD" w:rsidRPr="00296834" w:rsidRDefault="00412DBD" w:rsidP="00E83345">
        <w:pPr>
          <w:pStyle w:val="NoSpacing"/>
          <w:rPr>
            <w:bCs/>
          </w:rPr>
        </w:pPr>
        <w:r w:rsidRPr="00296834">
          <w:fldChar w:fldCharType="begin"/>
        </w:r>
        <w:r w:rsidRPr="00296834">
          <w:instrText xml:space="preserve"> PAGE   \* MERGEFORMAT </w:instrText>
        </w:r>
        <w:r w:rsidRPr="00296834">
          <w:fldChar w:fldCharType="separate"/>
        </w:r>
        <w:r>
          <w:t>1</w:t>
        </w:r>
        <w:r w:rsidRPr="00296834">
          <w:rPr>
            <w:bCs/>
            <w:noProof/>
          </w:rPr>
          <w:fldChar w:fldCharType="end"/>
        </w:r>
        <w:r w:rsidRPr="00296834">
          <w:rPr>
            <w:bCs/>
          </w:rPr>
          <w:t xml:space="preserve"> | </w:t>
        </w:r>
        <w:r w:rsidRPr="00296834">
          <w:rPr>
            <w:color w:val="7F7F7F" w:themeColor="background1" w:themeShade="7F"/>
            <w:spacing w:val="60"/>
          </w:rPr>
          <w:t>Page</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00742956">
          <w:rPr>
            <w:color w:val="7F7F7F" w:themeColor="background1" w:themeShade="7F"/>
            <w:spacing w:val="60"/>
          </w:rPr>
          <w:t xml:space="preserve">Nia </w:t>
        </w:r>
        <w:proofErr w:type="spellStart"/>
        <w:r w:rsidR="00742956">
          <w:rPr>
            <w:color w:val="7F7F7F" w:themeColor="background1" w:themeShade="7F"/>
            <w:spacing w:val="60"/>
          </w:rPr>
          <w:t>Milcoy</w:t>
        </w:r>
        <w:proofErr w:type="spellEnd"/>
        <w:r w:rsidR="00742956">
          <w:rPr>
            <w:color w:val="7F7F7F" w:themeColor="background1" w:themeShade="7F"/>
            <w:spacing w:val="60"/>
          </w:rPr>
          <w:t xml:space="preserve"> </w:t>
        </w:r>
        <w:r>
          <w:rPr>
            <w:color w:val="7F7F7F" w:themeColor="background1" w:themeShade="7F"/>
            <w:spacing w:val="60"/>
          </w:rPr>
          <w:tab/>
        </w:r>
        <w:r>
          <w:rPr>
            <w:color w:val="7F7F7F" w:themeColor="background1" w:themeShade="7F"/>
            <w:spacing w:val="60"/>
          </w:rPr>
          <w:tab/>
        </w:r>
        <w:r w:rsidR="00742956">
          <w:rPr>
            <w:color w:val="7F7F7F" w:themeColor="background1" w:themeShade="7F"/>
            <w:spacing w:val="60"/>
          </w:rPr>
          <w:t>0600733</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p>
    </w:sdtContent>
  </w:sdt>
  <w:p w14:paraId="2E40C42C" w14:textId="77777777" w:rsidR="00412DBD" w:rsidRPr="00E83345" w:rsidRDefault="00412DBD" w:rsidP="00E833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412DBD" w14:paraId="6E9E3BCB" w14:textId="77777777" w:rsidTr="705C6F4E">
      <w:trPr>
        <w:trHeight w:val="300"/>
      </w:trPr>
      <w:tc>
        <w:tcPr>
          <w:tcW w:w="3005" w:type="dxa"/>
        </w:tcPr>
        <w:p w14:paraId="0FABEFCA" w14:textId="77777777" w:rsidR="00412DBD" w:rsidRDefault="00412DBD" w:rsidP="705C6F4E">
          <w:pPr>
            <w:pStyle w:val="Header"/>
            <w:ind w:left="-115"/>
          </w:pPr>
        </w:p>
      </w:tc>
      <w:tc>
        <w:tcPr>
          <w:tcW w:w="3005" w:type="dxa"/>
        </w:tcPr>
        <w:p w14:paraId="521ACF28" w14:textId="77777777" w:rsidR="00412DBD" w:rsidRDefault="00412DBD" w:rsidP="705C6F4E">
          <w:pPr>
            <w:pStyle w:val="Header"/>
            <w:jc w:val="center"/>
          </w:pPr>
        </w:p>
      </w:tc>
      <w:tc>
        <w:tcPr>
          <w:tcW w:w="3005" w:type="dxa"/>
        </w:tcPr>
        <w:p w14:paraId="698A02E7" w14:textId="77777777" w:rsidR="00412DBD" w:rsidRDefault="00412DBD" w:rsidP="705C6F4E">
          <w:pPr>
            <w:pStyle w:val="Header"/>
            <w:ind w:right="-115"/>
            <w:jc w:val="right"/>
          </w:pPr>
        </w:p>
      </w:tc>
    </w:tr>
  </w:tbl>
  <w:p w14:paraId="4768DFD2" w14:textId="77777777" w:rsidR="00412DBD" w:rsidRDefault="00412DBD" w:rsidP="705C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E9A43" w14:textId="77777777" w:rsidR="000F19E4" w:rsidRDefault="000F19E4">
      <w:pPr>
        <w:spacing w:after="0" w:line="240" w:lineRule="auto"/>
      </w:pPr>
      <w:r>
        <w:separator/>
      </w:r>
    </w:p>
  </w:footnote>
  <w:footnote w:type="continuationSeparator" w:id="0">
    <w:p w14:paraId="6B2CD92B" w14:textId="77777777" w:rsidR="000F19E4" w:rsidRDefault="000F1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F7871" w14:textId="3610CFFB" w:rsidR="00F84811" w:rsidRDefault="00F84811">
    <w:pPr>
      <w:pStyle w:val="Header"/>
    </w:pPr>
    <w:r>
      <w:rPr>
        <w:noProof/>
        <w14:ligatures w14:val="standardContextual"/>
      </w:rPr>
      <mc:AlternateContent>
        <mc:Choice Requires="wps">
          <w:drawing>
            <wp:anchor distT="0" distB="0" distL="0" distR="0" simplePos="0" relativeHeight="251660288" behindDoc="0" locked="0" layoutInCell="1" allowOverlap="1" wp14:anchorId="3E07AD78" wp14:editId="531F37E3">
              <wp:simplePos x="635" y="635"/>
              <wp:positionH relativeFrom="page">
                <wp:align>left</wp:align>
              </wp:positionH>
              <wp:positionV relativeFrom="page">
                <wp:align>top</wp:align>
              </wp:positionV>
              <wp:extent cx="1149350" cy="386715"/>
              <wp:effectExtent l="0" t="0" r="12700" b="13335"/>
              <wp:wrapNone/>
              <wp:docPr id="1013854939" name="Text Box 2" descr="ARLA 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9350" cy="386715"/>
                      </a:xfrm>
                      <a:prstGeom prst="rect">
                        <a:avLst/>
                      </a:prstGeom>
                      <a:noFill/>
                      <a:ln>
                        <a:noFill/>
                      </a:ln>
                    </wps:spPr>
                    <wps:txbx>
                      <w:txbxContent>
                        <w:p w14:paraId="0BD0A70C" w14:textId="5EA53AB8"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E07AD78" id="_x0000_t202" coordsize="21600,21600" o:spt="202" path="m,l,21600r21600,l21600,xe">
              <v:stroke joinstyle="miter"/>
              <v:path gradientshapeok="t" o:connecttype="rect"/>
            </v:shapetype>
            <v:shape id="Text Box 2" o:spid="_x0000_s1026" type="#_x0000_t202" alt="ARLA INTERNAL " style="position:absolute;margin-left:0;margin-top:0;width:90.5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" filled="f" stroked="f">
              <v:textbox style="mso-fit-shape-to-text:t" inset="20pt,15pt,0,0">
                <w:txbxContent>
                  <w:p w14:paraId="0BD0A70C" w14:textId="5EA53AB8"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A8D9F" w14:textId="4B639226" w:rsidR="00412DBD" w:rsidRDefault="00F84811" w:rsidP="00E83345">
    <w:pPr>
      <w:pStyle w:val="Header"/>
    </w:pPr>
    <w:r>
      <w:rPr>
        <w:noProof/>
        <w14:ligatures w14:val="standardContextual"/>
      </w:rPr>
      <mc:AlternateContent>
        <mc:Choice Requires="wps">
          <w:drawing>
            <wp:anchor distT="0" distB="0" distL="0" distR="0" simplePos="0" relativeHeight="251661312" behindDoc="0" locked="0" layoutInCell="1" allowOverlap="1" wp14:anchorId="45EAA408" wp14:editId="69610BB0">
              <wp:simplePos x="914400" y="469900"/>
              <wp:positionH relativeFrom="page">
                <wp:align>left</wp:align>
              </wp:positionH>
              <wp:positionV relativeFrom="page">
                <wp:align>top</wp:align>
              </wp:positionV>
              <wp:extent cx="1149350" cy="386715"/>
              <wp:effectExtent l="0" t="0" r="12700" b="13335"/>
              <wp:wrapNone/>
              <wp:docPr id="120841290" name="Text Box 3" descr="ARLA 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9350" cy="386715"/>
                      </a:xfrm>
                      <a:prstGeom prst="rect">
                        <a:avLst/>
                      </a:prstGeom>
                      <a:noFill/>
                      <a:ln>
                        <a:noFill/>
                      </a:ln>
                    </wps:spPr>
                    <wps:txbx>
                      <w:txbxContent>
                        <w:p w14:paraId="04E636C2" w14:textId="0ECF6441"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5EAA408" id="_x0000_t202" coordsize="21600,21600" o:spt="202" path="m,l,21600r21600,l21600,xe">
              <v:stroke joinstyle="miter"/>
              <v:path gradientshapeok="t" o:connecttype="rect"/>
            </v:shapetype>
            <v:shape id="Text Box 3" o:spid="_x0000_s1027" type="#_x0000_t202" alt="ARLA INTERNAL " style="position:absolute;margin-left:0;margin-top:0;width:90.5pt;height:30.4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" filled="f" stroked="f">
              <v:textbox style="mso-fit-shape-to-text:t" inset="20pt,15pt,0,0">
                <w:txbxContent>
                  <w:p w14:paraId="04E636C2" w14:textId="0ECF6441"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v:textbox>
              <w10:wrap anchorx="page" anchory="page"/>
            </v:shape>
          </w:pict>
        </mc:Fallback>
      </mc:AlternateContent>
    </w:r>
    <w:r w:rsidR="00412DBD">
      <w:rPr>
        <w:noProof/>
      </w:rPr>
      <mc:AlternateContent>
        <mc:Choice Requires="wps">
          <w:drawing>
            <wp:anchor distT="4294967295" distB="4294967295" distL="114300" distR="114300" simplePos="0" relativeHeight="251658240" behindDoc="0" locked="0" layoutInCell="1" allowOverlap="1" wp14:anchorId="67A5C6D8" wp14:editId="5DCA2CFA">
              <wp:simplePos x="0" y="0"/>
              <wp:positionH relativeFrom="column">
                <wp:posOffset>-374650</wp:posOffset>
              </wp:positionH>
              <wp:positionV relativeFrom="paragraph">
                <wp:posOffset>356869</wp:posOffset>
              </wp:positionV>
              <wp:extent cx="6699250" cy="0"/>
              <wp:effectExtent l="0" t="0" r="0" b="0"/>
              <wp:wrapNone/>
              <wp:docPr id="133103346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EACDCD" id="Straight Connector 1"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" strokecolor="#156082 [3204]">
              <v:stroke joinstyle="miter"/>
              <o:lock v:ext="edit" shapetype="f"/>
            </v:line>
          </w:pict>
        </mc:Fallback>
      </mc:AlternateContent>
    </w:r>
  </w:p>
  <w:p w14:paraId="3767DAEA" w14:textId="77777777" w:rsidR="00412DBD" w:rsidRDefault="00412D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412DBD" w14:paraId="544AD10B" w14:textId="77777777" w:rsidTr="705C6F4E">
      <w:trPr>
        <w:trHeight w:val="300"/>
      </w:trPr>
      <w:tc>
        <w:tcPr>
          <w:tcW w:w="3005" w:type="dxa"/>
        </w:tcPr>
        <w:p w14:paraId="2F123E09" w14:textId="0895EF6A" w:rsidR="00412DBD" w:rsidRDefault="00F84811" w:rsidP="705C6F4E">
          <w:pPr>
            <w:pStyle w:val="Header"/>
            <w:ind w:left="-115"/>
          </w:pPr>
          <w:r>
            <w:rPr>
              <w:noProof/>
              <w14:ligatures w14:val="standardContextual"/>
            </w:rPr>
            <mc:AlternateContent>
              <mc:Choice Requires="wps">
                <w:drawing>
                  <wp:anchor distT="0" distB="0" distL="0" distR="0" simplePos="0" relativeHeight="251659264" behindDoc="0" locked="0" layoutInCell="1" allowOverlap="1" wp14:anchorId="7B0E6AB4" wp14:editId="65DD2022">
                    <wp:simplePos x="635" y="635"/>
                    <wp:positionH relativeFrom="page">
                      <wp:align>left</wp:align>
                    </wp:positionH>
                    <wp:positionV relativeFrom="page">
                      <wp:align>top</wp:align>
                    </wp:positionV>
                    <wp:extent cx="1149350" cy="386715"/>
                    <wp:effectExtent l="0" t="0" r="12700" b="13335"/>
                    <wp:wrapNone/>
                    <wp:docPr id="63289709" name="Text Box 1" descr="ARLA 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9350" cy="386715"/>
                            </a:xfrm>
                            <a:prstGeom prst="rect">
                              <a:avLst/>
                            </a:prstGeom>
                            <a:noFill/>
                            <a:ln>
                              <a:noFill/>
                            </a:ln>
                          </wps:spPr>
                          <wps:txbx>
                            <w:txbxContent>
                              <w:p w14:paraId="230C3D22" w14:textId="27920BAF"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B0E6AB4" id="_x0000_t202" coordsize="21600,21600" o:spt="202" path="m,l,21600r21600,l21600,xe">
                    <v:stroke joinstyle="miter"/>
                    <v:path gradientshapeok="t" o:connecttype="rect"/>
                  </v:shapetype>
                  <v:shape id="Text Box 1" o:spid="_x0000_s1028" type="#_x0000_t202" alt="ARLA INTERNAL " style="position:absolute;left:0;text-align:left;margin-left:0;margin-top:0;width:90.5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" filled="f" stroked="f">
                    <v:textbox style="mso-fit-shape-to-text:t" inset="20pt,15pt,0,0">
                      <w:txbxContent>
                        <w:p w14:paraId="230C3D22" w14:textId="27920BAF" w:rsidR="00F84811" w:rsidRPr="00F84811" w:rsidRDefault="00F84811" w:rsidP="00F84811">
                          <w:pPr>
                            <w:spacing w:after="0"/>
                            <w:rPr>
                              <w:rFonts w:ascii="Calibri" w:eastAsia="Calibri" w:hAnsi="Calibri" w:cs="Calibri"/>
                              <w:noProof/>
                              <w:color w:val="000000"/>
                              <w:sz w:val="22"/>
                              <w:szCs w:val="22"/>
                            </w:rPr>
                          </w:pPr>
                          <w:r w:rsidRPr="00F84811">
                            <w:rPr>
                              <w:rFonts w:ascii="Calibri" w:eastAsia="Calibri" w:hAnsi="Calibri" w:cs="Calibri"/>
                              <w:noProof/>
                              <w:color w:val="000000"/>
                              <w:sz w:val="22"/>
                              <w:szCs w:val="22"/>
                            </w:rPr>
                            <w:t xml:space="preserve">ARLA INTERNAL </w:t>
                          </w:r>
                        </w:p>
                      </w:txbxContent>
                    </v:textbox>
                    <w10:wrap anchorx="page" anchory="page"/>
                  </v:shape>
                </w:pict>
              </mc:Fallback>
            </mc:AlternateContent>
          </w:r>
        </w:p>
      </w:tc>
      <w:tc>
        <w:tcPr>
          <w:tcW w:w="3005" w:type="dxa"/>
        </w:tcPr>
        <w:p w14:paraId="69E2B2D0" w14:textId="77777777" w:rsidR="00412DBD" w:rsidRDefault="00412DBD" w:rsidP="705C6F4E">
          <w:pPr>
            <w:pStyle w:val="Header"/>
            <w:jc w:val="center"/>
          </w:pPr>
        </w:p>
      </w:tc>
      <w:tc>
        <w:tcPr>
          <w:tcW w:w="3005" w:type="dxa"/>
        </w:tcPr>
        <w:p w14:paraId="38F2C3B5" w14:textId="77777777" w:rsidR="00412DBD" w:rsidRDefault="00412DBD" w:rsidP="705C6F4E">
          <w:pPr>
            <w:pStyle w:val="Header"/>
            <w:ind w:right="-115"/>
            <w:jc w:val="right"/>
          </w:pPr>
        </w:p>
      </w:tc>
    </w:tr>
  </w:tbl>
  <w:p w14:paraId="5542681D" w14:textId="77777777" w:rsidR="00412DBD" w:rsidRDefault="00412DBD" w:rsidP="705C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4F56"/>
    <w:multiLevelType w:val="multilevel"/>
    <w:tmpl w:val="99A0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B7015"/>
    <w:multiLevelType w:val="hybridMultilevel"/>
    <w:tmpl w:val="44E8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F1B9D"/>
    <w:multiLevelType w:val="hybridMultilevel"/>
    <w:tmpl w:val="18389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A07BC"/>
    <w:multiLevelType w:val="multilevel"/>
    <w:tmpl w:val="CE7E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5498B"/>
    <w:multiLevelType w:val="hybridMultilevel"/>
    <w:tmpl w:val="4998A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7F2B7D"/>
    <w:multiLevelType w:val="hybridMultilevel"/>
    <w:tmpl w:val="31AE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174B0"/>
    <w:multiLevelType w:val="hybridMultilevel"/>
    <w:tmpl w:val="FA486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DF557A"/>
    <w:multiLevelType w:val="multilevel"/>
    <w:tmpl w:val="CD42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247E2A"/>
    <w:multiLevelType w:val="multilevel"/>
    <w:tmpl w:val="E336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C059AD"/>
    <w:multiLevelType w:val="multilevel"/>
    <w:tmpl w:val="0D64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394EE7"/>
    <w:multiLevelType w:val="multilevel"/>
    <w:tmpl w:val="618A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0A7FBF"/>
    <w:multiLevelType w:val="multilevel"/>
    <w:tmpl w:val="2608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8495834">
    <w:abstractNumId w:val="6"/>
  </w:num>
  <w:num w:numId="2" w16cid:durableId="1154221459">
    <w:abstractNumId w:val="2"/>
  </w:num>
  <w:num w:numId="3" w16cid:durableId="555821925">
    <w:abstractNumId w:val="5"/>
  </w:num>
  <w:num w:numId="4" w16cid:durableId="1510484534">
    <w:abstractNumId w:val="1"/>
  </w:num>
  <w:num w:numId="5" w16cid:durableId="1914386319">
    <w:abstractNumId w:val="4"/>
  </w:num>
  <w:num w:numId="6" w16cid:durableId="89393402">
    <w:abstractNumId w:val="8"/>
  </w:num>
  <w:num w:numId="7" w16cid:durableId="1885410689">
    <w:abstractNumId w:val="0"/>
  </w:num>
  <w:num w:numId="8" w16cid:durableId="799109232">
    <w:abstractNumId w:val="7"/>
  </w:num>
  <w:num w:numId="9" w16cid:durableId="404030676">
    <w:abstractNumId w:val="9"/>
  </w:num>
  <w:num w:numId="10" w16cid:durableId="1230576557">
    <w:abstractNumId w:val="10"/>
  </w:num>
  <w:num w:numId="11" w16cid:durableId="678237828">
    <w:abstractNumId w:val="11"/>
  </w:num>
  <w:num w:numId="12" w16cid:durableId="407919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E64"/>
    <w:rsid w:val="00047839"/>
    <w:rsid w:val="00050334"/>
    <w:rsid w:val="00096B0D"/>
    <w:rsid w:val="00097E82"/>
    <w:rsid w:val="000A52C3"/>
    <w:rsid w:val="000A71A7"/>
    <w:rsid w:val="000C429B"/>
    <w:rsid w:val="000D550E"/>
    <w:rsid w:val="000D557B"/>
    <w:rsid w:val="000D5EBB"/>
    <w:rsid w:val="000D6613"/>
    <w:rsid w:val="000D7C2B"/>
    <w:rsid w:val="000E0116"/>
    <w:rsid w:val="000F19E4"/>
    <w:rsid w:val="000F4FC5"/>
    <w:rsid w:val="001105AD"/>
    <w:rsid w:val="00114F21"/>
    <w:rsid w:val="00121B31"/>
    <w:rsid w:val="00141DFF"/>
    <w:rsid w:val="00144317"/>
    <w:rsid w:val="001526C0"/>
    <w:rsid w:val="001540E9"/>
    <w:rsid w:val="00156EB9"/>
    <w:rsid w:val="001846C7"/>
    <w:rsid w:val="00191024"/>
    <w:rsid w:val="001A49F4"/>
    <w:rsid w:val="002012A3"/>
    <w:rsid w:val="0022021D"/>
    <w:rsid w:val="002235AE"/>
    <w:rsid w:val="002340AE"/>
    <w:rsid w:val="00262119"/>
    <w:rsid w:val="002908C6"/>
    <w:rsid w:val="00290B0B"/>
    <w:rsid w:val="002B5512"/>
    <w:rsid w:val="002C31C8"/>
    <w:rsid w:val="002D0D99"/>
    <w:rsid w:val="002D1A57"/>
    <w:rsid w:val="002D482A"/>
    <w:rsid w:val="002D5115"/>
    <w:rsid w:val="002F36B1"/>
    <w:rsid w:val="003030E3"/>
    <w:rsid w:val="0030779E"/>
    <w:rsid w:val="003126D4"/>
    <w:rsid w:val="00332563"/>
    <w:rsid w:val="00333559"/>
    <w:rsid w:val="00345344"/>
    <w:rsid w:val="00361B9E"/>
    <w:rsid w:val="00385AFB"/>
    <w:rsid w:val="0039239B"/>
    <w:rsid w:val="003B6CFB"/>
    <w:rsid w:val="003C6AB5"/>
    <w:rsid w:val="00403953"/>
    <w:rsid w:val="004049D8"/>
    <w:rsid w:val="00410772"/>
    <w:rsid w:val="00412DBD"/>
    <w:rsid w:val="00420AD3"/>
    <w:rsid w:val="00425234"/>
    <w:rsid w:val="00426EED"/>
    <w:rsid w:val="00495E94"/>
    <w:rsid w:val="004A2B08"/>
    <w:rsid w:val="004A5DA6"/>
    <w:rsid w:val="004D321B"/>
    <w:rsid w:val="004E5C4D"/>
    <w:rsid w:val="004F21E2"/>
    <w:rsid w:val="004F6BC2"/>
    <w:rsid w:val="004F75D4"/>
    <w:rsid w:val="0051453D"/>
    <w:rsid w:val="00533B70"/>
    <w:rsid w:val="00547FFD"/>
    <w:rsid w:val="00555F49"/>
    <w:rsid w:val="005657F5"/>
    <w:rsid w:val="00586B96"/>
    <w:rsid w:val="00587BB7"/>
    <w:rsid w:val="005B465F"/>
    <w:rsid w:val="005D0107"/>
    <w:rsid w:val="005D0608"/>
    <w:rsid w:val="005F744E"/>
    <w:rsid w:val="006064DE"/>
    <w:rsid w:val="00606A3F"/>
    <w:rsid w:val="006311AC"/>
    <w:rsid w:val="006351B8"/>
    <w:rsid w:val="006406DC"/>
    <w:rsid w:val="00640C04"/>
    <w:rsid w:val="00662A00"/>
    <w:rsid w:val="00671572"/>
    <w:rsid w:val="00672729"/>
    <w:rsid w:val="0068792F"/>
    <w:rsid w:val="006A2415"/>
    <w:rsid w:val="006A5F62"/>
    <w:rsid w:val="006E5CAB"/>
    <w:rsid w:val="006E6F89"/>
    <w:rsid w:val="006E7322"/>
    <w:rsid w:val="006F641E"/>
    <w:rsid w:val="0070025A"/>
    <w:rsid w:val="00714B45"/>
    <w:rsid w:val="0072152D"/>
    <w:rsid w:val="00736106"/>
    <w:rsid w:val="00742956"/>
    <w:rsid w:val="00743B35"/>
    <w:rsid w:val="00745A5B"/>
    <w:rsid w:val="0076210D"/>
    <w:rsid w:val="007715AB"/>
    <w:rsid w:val="007C1102"/>
    <w:rsid w:val="007C5E64"/>
    <w:rsid w:val="007E335C"/>
    <w:rsid w:val="00802356"/>
    <w:rsid w:val="00803834"/>
    <w:rsid w:val="008038D2"/>
    <w:rsid w:val="0082466C"/>
    <w:rsid w:val="00863AAE"/>
    <w:rsid w:val="00874D8E"/>
    <w:rsid w:val="00892161"/>
    <w:rsid w:val="008A2E0B"/>
    <w:rsid w:val="008B4DE4"/>
    <w:rsid w:val="008C7AD1"/>
    <w:rsid w:val="008D65E6"/>
    <w:rsid w:val="008E2BC7"/>
    <w:rsid w:val="008F4DA5"/>
    <w:rsid w:val="00914A1B"/>
    <w:rsid w:val="00921AA0"/>
    <w:rsid w:val="00934073"/>
    <w:rsid w:val="00936952"/>
    <w:rsid w:val="00941293"/>
    <w:rsid w:val="009448A8"/>
    <w:rsid w:val="00971D63"/>
    <w:rsid w:val="009A76CD"/>
    <w:rsid w:val="009B17EB"/>
    <w:rsid w:val="009D538E"/>
    <w:rsid w:val="009E380A"/>
    <w:rsid w:val="009E610F"/>
    <w:rsid w:val="00A14EFA"/>
    <w:rsid w:val="00A17635"/>
    <w:rsid w:val="00A177AA"/>
    <w:rsid w:val="00A26D34"/>
    <w:rsid w:val="00A4541E"/>
    <w:rsid w:val="00A62101"/>
    <w:rsid w:val="00A72F95"/>
    <w:rsid w:val="00A938F0"/>
    <w:rsid w:val="00AA260D"/>
    <w:rsid w:val="00AB249E"/>
    <w:rsid w:val="00AC4EE7"/>
    <w:rsid w:val="00AD75FF"/>
    <w:rsid w:val="00AE555C"/>
    <w:rsid w:val="00AF335F"/>
    <w:rsid w:val="00B10ED0"/>
    <w:rsid w:val="00B2391F"/>
    <w:rsid w:val="00B31108"/>
    <w:rsid w:val="00B32512"/>
    <w:rsid w:val="00B626F8"/>
    <w:rsid w:val="00B64C35"/>
    <w:rsid w:val="00B96956"/>
    <w:rsid w:val="00BA69DC"/>
    <w:rsid w:val="00BF35FC"/>
    <w:rsid w:val="00C02152"/>
    <w:rsid w:val="00C10992"/>
    <w:rsid w:val="00C23BDC"/>
    <w:rsid w:val="00C27812"/>
    <w:rsid w:val="00C71C8A"/>
    <w:rsid w:val="00C7408C"/>
    <w:rsid w:val="00C931F4"/>
    <w:rsid w:val="00C96AE8"/>
    <w:rsid w:val="00CA3807"/>
    <w:rsid w:val="00CA66F7"/>
    <w:rsid w:val="00CC7504"/>
    <w:rsid w:val="00CD3E4C"/>
    <w:rsid w:val="00CF01BA"/>
    <w:rsid w:val="00D31949"/>
    <w:rsid w:val="00D45710"/>
    <w:rsid w:val="00D47511"/>
    <w:rsid w:val="00D47ECE"/>
    <w:rsid w:val="00D50B57"/>
    <w:rsid w:val="00D60988"/>
    <w:rsid w:val="00D655F0"/>
    <w:rsid w:val="00DB71C0"/>
    <w:rsid w:val="00DC0C7E"/>
    <w:rsid w:val="00DD3D31"/>
    <w:rsid w:val="00DD64D6"/>
    <w:rsid w:val="00DE5CEA"/>
    <w:rsid w:val="00E03D14"/>
    <w:rsid w:val="00E46AEF"/>
    <w:rsid w:val="00E5133B"/>
    <w:rsid w:val="00E74577"/>
    <w:rsid w:val="00E820A1"/>
    <w:rsid w:val="00E8503C"/>
    <w:rsid w:val="00E86506"/>
    <w:rsid w:val="00E87A5E"/>
    <w:rsid w:val="00E948A4"/>
    <w:rsid w:val="00EB22FC"/>
    <w:rsid w:val="00EE4B7E"/>
    <w:rsid w:val="00EF0A10"/>
    <w:rsid w:val="00EF6637"/>
    <w:rsid w:val="00F119C4"/>
    <w:rsid w:val="00F13A1B"/>
    <w:rsid w:val="00F24803"/>
    <w:rsid w:val="00F42317"/>
    <w:rsid w:val="00F51694"/>
    <w:rsid w:val="00F7588C"/>
    <w:rsid w:val="00F84811"/>
    <w:rsid w:val="00F913BF"/>
    <w:rsid w:val="00F94B08"/>
    <w:rsid w:val="00FD3621"/>
    <w:rsid w:val="00FE2B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766BD"/>
  <w15:chartTrackingRefBased/>
  <w15:docId w15:val="{E2737259-6611-4447-AFCF-D3D55422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DBD"/>
    <w:pPr>
      <w:spacing w:line="276" w:lineRule="auto"/>
    </w:pPr>
    <w:rPr>
      <w:rFonts w:ascii="Arial" w:hAnsi="Arial" w:cs="Arial"/>
      <w:kern w:val="0"/>
      <w14:ligatures w14:val="none"/>
    </w:rPr>
  </w:style>
  <w:style w:type="paragraph" w:styleId="Heading1">
    <w:name w:val="heading 1"/>
    <w:basedOn w:val="Normal"/>
    <w:next w:val="Normal"/>
    <w:link w:val="Heading1Char"/>
    <w:uiPriority w:val="9"/>
    <w:qFormat/>
    <w:rsid w:val="007C5E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5E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5E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C5E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E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E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E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E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E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E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5E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5E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C5E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E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E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E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E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E64"/>
    <w:rPr>
      <w:rFonts w:eastAsiaTheme="majorEastAsia" w:cstheme="majorBidi"/>
      <w:color w:val="272727" w:themeColor="text1" w:themeTint="D8"/>
    </w:rPr>
  </w:style>
  <w:style w:type="paragraph" w:styleId="Title">
    <w:name w:val="Title"/>
    <w:basedOn w:val="Normal"/>
    <w:next w:val="Normal"/>
    <w:link w:val="TitleChar"/>
    <w:uiPriority w:val="10"/>
    <w:qFormat/>
    <w:rsid w:val="007C5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E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E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E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E64"/>
    <w:pPr>
      <w:spacing w:before="160"/>
      <w:jc w:val="center"/>
    </w:pPr>
    <w:rPr>
      <w:i/>
      <w:iCs/>
      <w:color w:val="404040" w:themeColor="text1" w:themeTint="BF"/>
    </w:rPr>
  </w:style>
  <w:style w:type="character" w:customStyle="1" w:styleId="QuoteChar">
    <w:name w:val="Quote Char"/>
    <w:basedOn w:val="DefaultParagraphFont"/>
    <w:link w:val="Quote"/>
    <w:uiPriority w:val="29"/>
    <w:rsid w:val="007C5E64"/>
    <w:rPr>
      <w:i/>
      <w:iCs/>
      <w:color w:val="404040" w:themeColor="text1" w:themeTint="BF"/>
    </w:rPr>
  </w:style>
  <w:style w:type="paragraph" w:styleId="ListParagraph">
    <w:name w:val="List Paragraph"/>
    <w:basedOn w:val="Normal"/>
    <w:uiPriority w:val="34"/>
    <w:qFormat/>
    <w:rsid w:val="007C5E64"/>
    <w:pPr>
      <w:ind w:left="720"/>
      <w:contextualSpacing/>
    </w:pPr>
  </w:style>
  <w:style w:type="character" w:styleId="IntenseEmphasis">
    <w:name w:val="Intense Emphasis"/>
    <w:basedOn w:val="DefaultParagraphFont"/>
    <w:uiPriority w:val="21"/>
    <w:qFormat/>
    <w:rsid w:val="007C5E64"/>
    <w:rPr>
      <w:i/>
      <w:iCs/>
      <w:color w:val="0F4761" w:themeColor="accent1" w:themeShade="BF"/>
    </w:rPr>
  </w:style>
  <w:style w:type="paragraph" w:styleId="IntenseQuote">
    <w:name w:val="Intense Quote"/>
    <w:basedOn w:val="Normal"/>
    <w:next w:val="Normal"/>
    <w:link w:val="IntenseQuoteChar"/>
    <w:uiPriority w:val="30"/>
    <w:qFormat/>
    <w:rsid w:val="007C5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E64"/>
    <w:rPr>
      <w:i/>
      <w:iCs/>
      <w:color w:val="0F4761" w:themeColor="accent1" w:themeShade="BF"/>
    </w:rPr>
  </w:style>
  <w:style w:type="character" w:styleId="IntenseReference">
    <w:name w:val="Intense Reference"/>
    <w:basedOn w:val="DefaultParagraphFont"/>
    <w:uiPriority w:val="32"/>
    <w:qFormat/>
    <w:rsid w:val="007C5E64"/>
    <w:rPr>
      <w:b/>
      <w:bCs/>
      <w:smallCaps/>
      <w:color w:val="0F4761" w:themeColor="accent1" w:themeShade="BF"/>
      <w:spacing w:val="5"/>
    </w:rPr>
  </w:style>
  <w:style w:type="paragraph" w:styleId="Header">
    <w:name w:val="header"/>
    <w:basedOn w:val="Normal"/>
    <w:link w:val="HeaderChar"/>
    <w:uiPriority w:val="99"/>
    <w:unhideWhenUsed/>
    <w:rsid w:val="00412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DBD"/>
    <w:rPr>
      <w:rFonts w:ascii="Arial" w:hAnsi="Arial" w:cs="Arial"/>
      <w:kern w:val="0"/>
      <w14:ligatures w14:val="none"/>
    </w:rPr>
  </w:style>
  <w:style w:type="paragraph" w:styleId="Footer">
    <w:name w:val="footer"/>
    <w:basedOn w:val="Normal"/>
    <w:link w:val="FooterChar"/>
    <w:uiPriority w:val="99"/>
    <w:unhideWhenUsed/>
    <w:rsid w:val="00412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DBD"/>
    <w:rPr>
      <w:rFonts w:ascii="Arial" w:hAnsi="Arial" w:cs="Arial"/>
      <w:kern w:val="0"/>
      <w14:ligatures w14:val="none"/>
    </w:rPr>
  </w:style>
  <w:style w:type="character" w:styleId="Hyperlink">
    <w:name w:val="Hyperlink"/>
    <w:basedOn w:val="DefaultParagraphFont"/>
    <w:uiPriority w:val="99"/>
    <w:unhideWhenUsed/>
    <w:rsid w:val="00412DBD"/>
    <w:rPr>
      <w:color w:val="467886" w:themeColor="hyperlink"/>
      <w:u w:val="single"/>
    </w:rPr>
  </w:style>
  <w:style w:type="character" w:styleId="CommentReference">
    <w:name w:val="annotation reference"/>
    <w:basedOn w:val="DefaultParagraphFont"/>
    <w:uiPriority w:val="99"/>
    <w:semiHidden/>
    <w:unhideWhenUsed/>
    <w:rsid w:val="00412DBD"/>
    <w:rPr>
      <w:sz w:val="16"/>
      <w:szCs w:val="16"/>
    </w:rPr>
  </w:style>
  <w:style w:type="paragraph" w:styleId="CommentText">
    <w:name w:val="annotation text"/>
    <w:basedOn w:val="Normal"/>
    <w:link w:val="CommentTextChar"/>
    <w:uiPriority w:val="99"/>
    <w:unhideWhenUsed/>
    <w:rsid w:val="00412DBD"/>
    <w:pPr>
      <w:spacing w:line="240" w:lineRule="auto"/>
    </w:pPr>
    <w:rPr>
      <w:sz w:val="20"/>
      <w:szCs w:val="20"/>
    </w:rPr>
  </w:style>
  <w:style w:type="character" w:customStyle="1" w:styleId="CommentTextChar">
    <w:name w:val="Comment Text Char"/>
    <w:basedOn w:val="DefaultParagraphFont"/>
    <w:link w:val="CommentText"/>
    <w:uiPriority w:val="99"/>
    <w:rsid w:val="00412DBD"/>
    <w:rPr>
      <w:rFonts w:ascii="Arial" w:hAnsi="Arial" w:cs="Arial"/>
      <w:kern w:val="0"/>
      <w:sz w:val="20"/>
      <w:szCs w:val="20"/>
      <w14:ligatures w14:val="none"/>
    </w:rPr>
  </w:style>
  <w:style w:type="paragraph" w:styleId="NoSpacing">
    <w:name w:val="No Spacing"/>
    <w:uiPriority w:val="1"/>
    <w:qFormat/>
    <w:rsid w:val="00412DBD"/>
    <w:pPr>
      <w:spacing w:after="0" w:line="240" w:lineRule="auto"/>
    </w:pPr>
    <w:rPr>
      <w:kern w:val="0"/>
      <w:sz w:val="22"/>
      <w:szCs w:val="22"/>
      <w14:ligatures w14:val="none"/>
    </w:rPr>
  </w:style>
  <w:style w:type="paragraph" w:styleId="TOCHeading">
    <w:name w:val="TOC Heading"/>
    <w:basedOn w:val="Heading1"/>
    <w:next w:val="Normal"/>
    <w:uiPriority w:val="39"/>
    <w:unhideWhenUsed/>
    <w:qFormat/>
    <w:rsid w:val="00412DBD"/>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D1A57"/>
    <w:pPr>
      <w:tabs>
        <w:tab w:val="right" w:leader="dot" w:pos="9016"/>
      </w:tabs>
      <w:spacing w:after="100"/>
    </w:pPr>
    <w:rPr>
      <w:noProof/>
    </w:rPr>
  </w:style>
  <w:style w:type="paragraph" w:styleId="TOC2">
    <w:name w:val="toc 2"/>
    <w:basedOn w:val="Normal"/>
    <w:next w:val="Normal"/>
    <w:autoRedefine/>
    <w:uiPriority w:val="39"/>
    <w:unhideWhenUsed/>
    <w:rsid w:val="002D1A57"/>
    <w:pPr>
      <w:tabs>
        <w:tab w:val="right" w:leader="dot" w:pos="9016"/>
      </w:tabs>
      <w:spacing w:after="100"/>
      <w:ind w:left="240"/>
    </w:pPr>
    <w:rPr>
      <w:rFonts w:eastAsia="Arial"/>
      <w:noProof/>
      <w:shd w:val="clear" w:color="auto" w:fill="FFFFFF"/>
    </w:rPr>
  </w:style>
  <w:style w:type="paragraph" w:styleId="TOC3">
    <w:name w:val="toc 3"/>
    <w:basedOn w:val="Normal"/>
    <w:next w:val="Normal"/>
    <w:autoRedefine/>
    <w:uiPriority w:val="39"/>
    <w:unhideWhenUsed/>
    <w:rsid w:val="00412DBD"/>
    <w:pPr>
      <w:spacing w:after="100"/>
      <w:ind w:left="480"/>
    </w:pPr>
  </w:style>
  <w:style w:type="paragraph" w:styleId="NormalWeb">
    <w:name w:val="Normal (Web)"/>
    <w:basedOn w:val="Normal"/>
    <w:uiPriority w:val="99"/>
    <w:semiHidden/>
    <w:unhideWhenUsed/>
    <w:rsid w:val="00892161"/>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700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rlafoods.co.uk/" TargetMode="External"/><Relationship Id="rId26" Type="http://schemas.openxmlformats.org/officeDocument/2006/relationships/hyperlink" Target="https://www.cipd.co.uk/knowledge/strategy/analytics/evidence-based-practice-factsheet" TargetMode="External"/><Relationship Id="rId39" Type="http://schemas.openxmlformats.org/officeDocument/2006/relationships/hyperlink" Target="https://doi.org/10.1108/JOCM-09-2023-0309" TargetMode="External"/><Relationship Id="rId21" Type="http://schemas.openxmlformats.org/officeDocument/2006/relationships/hyperlink" Target="https://www.cebma.org" TargetMode="External"/><Relationship Id="rId34" Type="http://schemas.openxmlformats.org/officeDocument/2006/relationships/hyperlink" Target="https://doi.org/10.1111/jan.13031"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08/02621711211253231" TargetMode="External"/><Relationship Id="rId29" Type="http://schemas.openxmlformats.org/officeDocument/2006/relationships/hyperlink" Target="https://www.investopedia.com/terms/o/opportunitycost.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11/j.1467-6486.2004.00463.x" TargetMode="External"/><Relationship Id="rId32" Type="http://schemas.openxmlformats.org/officeDocument/2006/relationships/hyperlink" Target="https://www.inspireone.in/what-is-benchmarking-why-is-it-important/" TargetMode="External"/><Relationship Id="rId37" Type="http://schemas.openxmlformats.org/officeDocument/2006/relationships/hyperlink" Target="https://www.researchgate.net/publication/391849280_Purposive_Sampling?utm_source=chatgpt.com" TargetMode="External"/><Relationship Id="rId40" Type="http://schemas.openxmlformats.org/officeDocument/2006/relationships/image" Target="media/image4.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aihr.com/blog/hr-benchmarking/" TargetMode="External"/><Relationship Id="rId23" Type="http://schemas.openxmlformats.org/officeDocument/2006/relationships/hyperlink" Target="https://doi.org/10.1080/14780887.2020.1769238" TargetMode="External"/><Relationship Id="rId28" Type="http://schemas.openxmlformats.org/officeDocument/2006/relationships/hyperlink" Target="https://arxiv.org/abs/2504.13892?utm_source=chatgpt.com" TargetMode="External"/><Relationship Id="rId36" Type="http://schemas.openxmlformats.org/officeDocument/2006/relationships/hyperlink" Target="https://doi.org/10.1111/j.1748-8583.2007.00022.x" TargetMode="External"/><Relationship Id="rId10" Type="http://schemas.openxmlformats.org/officeDocument/2006/relationships/endnotes" Target="endnotes.xml"/><Relationship Id="rId19" Type="http://schemas.openxmlformats.org/officeDocument/2006/relationships/hyperlink" Target="https://cebma.org/wp-content/uploads/Evidence-Based-Practice-The-Basic-Principles-vs-Dec-2015.pdf" TargetMode="External"/><Relationship Id="rId31" Type="http://schemas.openxmlformats.org/officeDocument/2006/relationships/hyperlink" Target="https://doi.org/10.5296/ijhrs.v13i2.21173"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ihr.com/" TargetMode="External"/><Relationship Id="rId22" Type="http://schemas.openxmlformats.org/officeDocument/2006/relationships/hyperlink" Target="https://doi.org/10.1191/1478088706qp063oa" TargetMode="External"/><Relationship Id="rId27" Type="http://schemas.openxmlformats.org/officeDocument/2006/relationships/hyperlink" Target="https://www.managers.org.uk/knowledge-and-insights/resource/decision-making/" TargetMode="External"/><Relationship Id="rId30" Type="http://schemas.openxmlformats.org/officeDocument/2006/relationships/hyperlink" Target="https://link.springer.com/article/10.1007/s11135-025-02199-3?utm_source=chatgpt.com" TargetMode="External"/><Relationship Id="rId35" Type="http://schemas.openxmlformats.org/officeDocument/2006/relationships/hyperlink" Target="https://help.open.ac.uk/critically-processing-what-you-read"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bit.ly/3LcEZx5" TargetMode="External"/><Relationship Id="rId25" Type="http://schemas.openxmlformats.org/officeDocument/2006/relationships/hyperlink" Target="https://www.canva.com/design/DAGyCVarglg/YqnRKKyJv2zWKtq5jeRcIQ/edit?utm_source=chatgpt.com" TargetMode="External"/><Relationship Id="rId33" Type="http://schemas.openxmlformats.org/officeDocument/2006/relationships/hyperlink" Target="https://doi.org/10.9734/BJAST/2015/14975" TargetMode="External"/><Relationship Id="rId38" Type="http://schemas.openxmlformats.org/officeDocument/2006/relationships/hyperlink" Target="https://doi.org/10.1186/1748-5908-4-67" TargetMode="External"/><Relationship Id="rId46" Type="http://schemas.openxmlformats.org/officeDocument/2006/relationships/fontTable" Target="fontTable.xml"/><Relationship Id="rId20" Type="http://schemas.openxmlformats.org/officeDocument/2006/relationships/hyperlink" Target="https://doi.org/10.1037/0033-295X.84.2.191"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c94efa9af1f6a749d03d7f0b73ec647b">
  <xsd:schema xmlns:xsd="http://www.w3.org/2001/XMLSchema" xmlns:xs="http://www.w3.org/2001/XMLSchema" xmlns:p="http://schemas.microsoft.com/office/2006/metadata/properties" xmlns:ns3="bf244c3e-e0b4-4871-bb4e-fd032a14544d" targetNamespace="http://schemas.microsoft.com/office/2006/metadata/properties" ma:root="true" ma:fieldsID="22509b08dd3351df7678f539a229ff6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9BA3BF-F141-46D3-A672-4C8EAE8132D2}">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46DF4F5A-395D-4CB1-8241-D2B629682530}">
  <ds:schemaRefs>
    <ds:schemaRef ds:uri="http://schemas.openxmlformats.org/officeDocument/2006/bibliography"/>
  </ds:schemaRefs>
</ds:datastoreItem>
</file>

<file path=customXml/itemProps3.xml><?xml version="1.0" encoding="utf-8"?>
<ds:datastoreItem xmlns:ds="http://schemas.openxmlformats.org/officeDocument/2006/customXml" ds:itemID="{DEFC0BE1-495F-455C-A6BF-29FF2532A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BBBCC4-05FB-42D3-BAAE-6590FD11A2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8012</Words>
  <Characters>45673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morris</dc:creator>
  <cp:keywords/>
  <dc:description/>
  <cp:lastModifiedBy>joshua morris</cp:lastModifiedBy>
  <cp:revision>27</cp:revision>
  <dcterms:created xsi:type="dcterms:W3CDTF">2025-09-27T19:04:00Z</dcterms:created>
  <dcterms:modified xsi:type="dcterms:W3CDTF">2025-09-29T19:15:00Z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ClassificationContentMarkingHeaderShapeIds">
    <vt:lpwstr>3c5b96d,3c6e32db,733e44a</vt:lpwstr>
  </property>
  <property fmtid="{D5CDD505-2E9C-101B-9397-08002B2CF9AE}" pid="4" name="ClassificationContentMarkingHeaderFontProps">
    <vt:lpwstr>#000000,11,Calibri</vt:lpwstr>
  </property>
  <property fmtid="{D5CDD505-2E9C-101B-9397-08002B2CF9AE}" pid="5" name="ClassificationContentMarkingHeaderText">
    <vt:lpwstr>ARLA INTERNAL </vt:lpwstr>
  </property>
  <property fmtid="{D5CDD505-2E9C-101B-9397-08002B2CF9AE}" pid="6" name="MSIP_Label_6f1dfa39-20e6-46a0-a362-a00ad8b9b419_Enabled">
    <vt:lpwstr>true</vt:lpwstr>
  </property>
  <property fmtid="{D5CDD505-2E9C-101B-9397-08002B2CF9AE}" pid="7" name="MSIP_Label_6f1dfa39-20e6-46a0-a362-a00ad8b9b419_SetDate">
    <vt:lpwstr>2025-09-22T15:26:45Z</vt:lpwstr>
  </property>
  <property fmtid="{D5CDD505-2E9C-101B-9397-08002B2CF9AE}" pid="8" name="MSIP_Label_6f1dfa39-20e6-46a0-a362-a00ad8b9b419_Method">
    <vt:lpwstr>Standard</vt:lpwstr>
  </property>
  <property fmtid="{D5CDD505-2E9C-101B-9397-08002B2CF9AE}" pid="9" name="MSIP_Label_6f1dfa39-20e6-46a0-a362-a00ad8b9b419_Name">
    <vt:lpwstr>Arla Internal</vt:lpwstr>
  </property>
  <property fmtid="{D5CDD505-2E9C-101B-9397-08002B2CF9AE}" pid="10" name="MSIP_Label_6f1dfa39-20e6-46a0-a362-a00ad8b9b419_SiteId">
    <vt:lpwstr>f10e34fe-8994-4b52-a7da-4f7aa9068ca0</vt:lpwstr>
  </property>
  <property fmtid="{D5CDD505-2E9C-101B-9397-08002B2CF9AE}" pid="11" name="MSIP_Label_6f1dfa39-20e6-46a0-a362-a00ad8b9b419_ActionId">
    <vt:lpwstr>51941629-c9a0-47f7-a779-8b5b1c199d52</vt:lpwstr>
  </property>
  <property fmtid="{D5CDD505-2E9C-101B-9397-08002B2CF9AE}" pid="12" name="MSIP_Label_6f1dfa39-20e6-46a0-a362-a00ad8b9b419_ContentBits">
    <vt:lpwstr>1</vt:lpwstr>
  </property>
  <property fmtid="{D5CDD505-2E9C-101B-9397-08002B2CF9AE}" pid="13" name="MSIP_Label_6f1dfa39-20e6-46a0-a362-a00ad8b9b419_Tag">
    <vt:lpwstr>10, 3, 0, 1</vt:lpwstr>
  </property>
</Properties>
</file>