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3"/>
      </w:tblGrid>
      <w:tr w:rsidR="00F927A1" w:rsidRPr="005D3F07" w14:paraId="68CAA39D" w14:textId="77777777" w:rsidTr="004440A1">
        <w:trPr>
          <w:trHeight w:val="4760"/>
        </w:trPr>
        <w:tc>
          <w:tcPr>
            <w:tcW w:w="10943" w:type="dxa"/>
            <w:shd w:val="clear" w:color="auto" w:fill="auto"/>
          </w:tcPr>
          <w:p w14:paraId="02F8EE88" w14:textId="1A3B429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440A1">
              <w:rPr>
                <w:rFonts w:ascii="Times New Roman" w:hAnsi="Times New Roman" w:cs="Times New Roman"/>
                <w:b/>
                <w:color w:val="auto"/>
                <w:sz w:val="48"/>
              </w:rPr>
              <w:t>Hannah Lisney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3206B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440A1">
              <w:rPr>
                <w:rFonts w:ascii="Times New Roman" w:hAnsi="Times New Roman" w:cs="Times New Roman"/>
                <w:b/>
                <w:color w:val="auto"/>
                <w:sz w:val="48"/>
              </w:rPr>
              <w:t xml:space="preserve"> Hannah.lisney@wrexham.gov.uk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EEC2F8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440A1">
              <w:rPr>
                <w:rFonts w:ascii="Times New Roman" w:hAnsi="Times New Roman" w:cs="Times New Roman"/>
                <w:b/>
                <w:color w:val="auto"/>
                <w:sz w:val="48"/>
              </w:rPr>
              <w:t xml:space="preserve"> 2237966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lastRenderedPageBreak/>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46BF9E7" w14:textId="77777777" w:rsidR="004440A1" w:rsidRDefault="004440A1" w:rsidP="004440A1">
            <w:pPr>
              <w:jc w:val="both"/>
              <w:rPr>
                <w:i/>
                <w:sz w:val="24"/>
                <w:szCs w:val="24"/>
              </w:rPr>
            </w:pPr>
          </w:p>
          <w:p w14:paraId="0A519E04" w14:textId="21E189B0" w:rsidR="004440A1" w:rsidRPr="004440A1" w:rsidRDefault="004440A1" w:rsidP="004440A1">
            <w:pPr>
              <w:jc w:val="both"/>
              <w:rPr>
                <w:sz w:val="24"/>
                <w:szCs w:val="24"/>
              </w:rPr>
            </w:pPr>
            <w:r w:rsidRPr="004440A1">
              <w:rPr>
                <w:i/>
                <w:sz w:val="24"/>
                <w:szCs w:val="24"/>
              </w:rPr>
              <w:t>500 words</w:t>
            </w:r>
            <w:r w:rsidRPr="004440A1">
              <w:rPr>
                <w:sz w:val="24"/>
                <w:szCs w:val="24"/>
              </w:rPr>
              <w:t xml:space="preserve"> (+/- 10%: include your actual word count at the end of each section).</w:t>
            </w:r>
          </w:p>
          <w:p w14:paraId="1FBBCFA0" w14:textId="77777777" w:rsidR="006108C9" w:rsidRDefault="006108C9" w:rsidP="00FF7EBB">
            <w:pPr>
              <w:jc w:val="both"/>
              <w:rPr>
                <w:sz w:val="24"/>
                <w:szCs w:val="24"/>
              </w:rPr>
            </w:pPr>
          </w:p>
          <w:p w14:paraId="554CB7B2" w14:textId="77777777"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The Social Services and Well-being (Wales) Act (2014) (SSWBA14) establishes a strengthened, firm, and efficient collaboration strategy when protecting children and adults at risk. Protecting individuals is a shared responsibility and it is important that every organization and professional take all necessary steps to protect children at risk from abuse (Social Care Wales, 2023).</w:t>
            </w:r>
          </w:p>
          <w:p w14:paraId="7B3013A2" w14:textId="7549F56A"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Part 7 of the SSWBA14 forms the framework for the Wal</w:t>
            </w:r>
            <w:r w:rsidR="00BA603B">
              <w:rPr>
                <w:rFonts w:eastAsia="Calibri"/>
                <w:color w:val="auto"/>
                <w:sz w:val="24"/>
                <w:szCs w:val="24"/>
                <w:lang w:eastAsia="en-US"/>
              </w:rPr>
              <w:t>es Safeguarding Procedures (2019</w:t>
            </w:r>
            <w:r w:rsidRPr="003D2403">
              <w:rPr>
                <w:rFonts w:eastAsia="Calibri"/>
                <w:color w:val="auto"/>
                <w:sz w:val="24"/>
                <w:szCs w:val="24"/>
                <w:lang w:eastAsia="en-US"/>
              </w:rPr>
              <w:t>), detailing roles and responsibilities to safeguard children and adults in Wales. These procedures replace the All Wales Child Protection Procedures (2008) and aim to enhance outcomes for individuals by enabling frontline workers and managers to effectively implement the legal standards in the SSWBA14 (Wal</w:t>
            </w:r>
            <w:r w:rsidR="00BA603B">
              <w:rPr>
                <w:rFonts w:eastAsia="Calibri"/>
                <w:color w:val="auto"/>
                <w:sz w:val="24"/>
                <w:szCs w:val="24"/>
                <w:lang w:eastAsia="en-US"/>
              </w:rPr>
              <w:t>es Safeguarding procedures, 2019</w:t>
            </w:r>
            <w:r w:rsidRPr="003D2403">
              <w:rPr>
                <w:rFonts w:eastAsia="Calibri"/>
                <w:color w:val="auto"/>
                <w:sz w:val="24"/>
                <w:szCs w:val="24"/>
                <w:lang w:eastAsia="en-US"/>
              </w:rPr>
              <w:t>).</w:t>
            </w:r>
          </w:p>
          <w:p w14:paraId="7E6E243C" w14:textId="77777777"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Children's rights in the UK are safeguarded by the Human Rights Act (1998), outlining fundamental rights for all individuals (NSPCC, 2022). Notably, Article 3 of the Act protects children from torture, inhuman, or degrading treatment and punishment, ensuring their right to a safe and dignified existence.</w:t>
            </w:r>
          </w:p>
          <w:p w14:paraId="627111B3" w14:textId="77777777"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 xml:space="preserve">Furthermore, Wales has led the way in the UK, with the Welsh Government formally adopting the United Nations Convention on the Rights of the Child (UNCRC) as the </w:t>
            </w:r>
            <w:r w:rsidRPr="003D2403">
              <w:rPr>
                <w:rFonts w:eastAsia="Calibri"/>
                <w:color w:val="auto"/>
                <w:sz w:val="24"/>
                <w:szCs w:val="24"/>
                <w:lang w:eastAsia="en-US"/>
              </w:rPr>
              <w:lastRenderedPageBreak/>
              <w:t xml:space="preserve">foundation for policies concerning children and young people in 2004 (Children's Commissioner for Wales, 2019). This outlines the rights of all children and young people worldwide (Welsh Government, 2023). </w:t>
            </w:r>
          </w:p>
          <w:p w14:paraId="26C0DC44" w14:textId="77777777"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 xml:space="preserve">The National Independent Safeguarding Board, created by the SSWBA14, Part 7, S.132 law, has six members (Legislation.GOV.UK, 2014). Their purpose is to support the Welsh Government and Safeguarding Boards protect children and adults from harm (Safeguarding Board Wales, </w:t>
            </w:r>
            <w:proofErr w:type="spellStart"/>
            <w:r w:rsidRPr="003D2403">
              <w:rPr>
                <w:rFonts w:eastAsia="Calibri"/>
                <w:color w:val="auto"/>
                <w:sz w:val="24"/>
                <w:szCs w:val="24"/>
                <w:lang w:eastAsia="en-US"/>
              </w:rPr>
              <w:t>n.d.</w:t>
            </w:r>
            <w:proofErr w:type="spellEnd"/>
            <w:r w:rsidRPr="003D2403">
              <w:rPr>
                <w:rFonts w:eastAsia="Calibri"/>
                <w:color w:val="auto"/>
                <w:sz w:val="24"/>
                <w:szCs w:val="24"/>
                <w:lang w:eastAsia="en-US"/>
              </w:rPr>
              <w:t>). The Act outlines the statutory objectives of the Safeguarding Boards for children under Part 7, Section 135:</w:t>
            </w:r>
          </w:p>
          <w:p w14:paraId="4FCEE72E" w14:textId="77777777"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 xml:space="preserve"> 1. “To protect children within its area who are experiencing, or are at risk of, abuse, neglect or other kinds of harm, and</w:t>
            </w:r>
          </w:p>
          <w:p w14:paraId="4F87BEAE" w14:textId="77777777"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 xml:space="preserve">2. To prevent children from within its area becoming at risk of abuse, neglect or other kinds of harm” (Legislation.GOV.UK, 2014). </w:t>
            </w:r>
          </w:p>
          <w:p w14:paraId="2A496AC0" w14:textId="68C76D6B"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 xml:space="preserve">Part 7, Section 130 of the SSWBA14 requires relevant partners of a Local Authority (LA) to report if they suspect a child is at risk. (Legislation.GOV.UK, 2014). </w:t>
            </w:r>
          </w:p>
          <w:p w14:paraId="5D910C88" w14:textId="1F2B61ED" w:rsidR="003D2403" w:rsidRPr="003D2403" w:rsidRDefault="003D2403" w:rsidP="003D2403">
            <w:pPr>
              <w:overflowPunct/>
              <w:autoSpaceDE/>
              <w:autoSpaceDN/>
              <w:adjustRightInd/>
              <w:spacing w:after="160" w:line="360" w:lineRule="auto"/>
              <w:textAlignment w:val="auto"/>
              <w:rPr>
                <w:rFonts w:eastAsia="Calibri"/>
                <w:color w:val="auto"/>
                <w:sz w:val="24"/>
                <w:szCs w:val="24"/>
                <w:lang w:eastAsia="en-US"/>
              </w:rPr>
            </w:pPr>
            <w:r w:rsidRPr="003D2403">
              <w:rPr>
                <w:rFonts w:eastAsia="Calibri"/>
                <w:color w:val="auto"/>
                <w:sz w:val="24"/>
                <w:szCs w:val="24"/>
                <w:lang w:eastAsia="en-US"/>
              </w:rPr>
              <w:t>Wales Sa</w:t>
            </w:r>
            <w:r w:rsidR="00BA603B">
              <w:rPr>
                <w:rFonts w:eastAsia="Calibri"/>
                <w:color w:val="auto"/>
                <w:sz w:val="24"/>
                <w:szCs w:val="24"/>
                <w:lang w:eastAsia="en-US"/>
              </w:rPr>
              <w:t>feguarding Procedures (2019</w:t>
            </w:r>
            <w:r w:rsidRPr="003D2403">
              <w:rPr>
                <w:rFonts w:eastAsia="Calibri"/>
                <w:color w:val="auto"/>
                <w:sz w:val="24"/>
                <w:szCs w:val="24"/>
                <w:lang w:eastAsia="en-US"/>
              </w:rPr>
              <w:t>) asserts, “If the initial checks, following a report, conclude that social services have reasonable cause to suspect that a child is at risk of significant harm as described in The Children Act (1989) (CA89) they should convene a strategy discussion/meeting to determine whether s47 enquiries should be initiated, and how these enquiries should be undertaken”. Within these discussions, a medical examination of the child/ren in question, should always be considered</w:t>
            </w:r>
            <w:r w:rsidR="000230CC">
              <w:rPr>
                <w:rFonts w:eastAsia="Calibri"/>
                <w:color w:val="auto"/>
                <w:sz w:val="24"/>
                <w:szCs w:val="24"/>
                <w:lang w:eastAsia="en-US"/>
              </w:rPr>
              <w:t xml:space="preserve"> (Wales Safeguarding Procedures, 2019)</w:t>
            </w:r>
            <w:r w:rsidR="00846E04">
              <w:rPr>
                <w:rFonts w:eastAsia="Calibri"/>
                <w:color w:val="auto"/>
                <w:sz w:val="24"/>
                <w:szCs w:val="24"/>
                <w:lang w:eastAsia="en-US"/>
              </w:rPr>
              <w:t xml:space="preserve">. </w:t>
            </w:r>
            <w:r w:rsidRPr="003D2403">
              <w:rPr>
                <w:rFonts w:eastAsia="Calibri"/>
                <w:color w:val="auto"/>
                <w:sz w:val="24"/>
                <w:szCs w:val="24"/>
                <w:lang w:eastAsia="en-US"/>
              </w:rPr>
              <w:t>The LA, health and police should always attend strategy meetings</w:t>
            </w:r>
            <w:r w:rsidR="00846E04" w:rsidRPr="00846E04">
              <w:t xml:space="preserve"> </w:t>
            </w:r>
            <w:r w:rsidR="007249F8">
              <w:rPr>
                <w:rFonts w:eastAsia="Calibri"/>
                <w:color w:val="auto"/>
                <w:sz w:val="24"/>
                <w:szCs w:val="24"/>
                <w:lang w:eastAsia="en-US"/>
              </w:rPr>
              <w:t>(Carr and Goosey, 2019</w:t>
            </w:r>
            <w:r w:rsidR="00846E04" w:rsidRPr="00846E04">
              <w:rPr>
                <w:rFonts w:eastAsia="Calibri"/>
                <w:color w:val="auto"/>
                <w:sz w:val="24"/>
                <w:szCs w:val="24"/>
                <w:lang w:eastAsia="en-US"/>
              </w:rPr>
              <w:t>)</w:t>
            </w:r>
            <w:r w:rsidR="00846E04">
              <w:rPr>
                <w:rFonts w:eastAsia="Calibri"/>
                <w:color w:val="auto"/>
                <w:sz w:val="24"/>
                <w:szCs w:val="24"/>
                <w:lang w:eastAsia="en-US"/>
              </w:rPr>
              <w:t>,</w:t>
            </w:r>
            <w:r w:rsidRPr="003D2403">
              <w:rPr>
                <w:rFonts w:eastAsia="Calibri"/>
                <w:color w:val="auto"/>
                <w:sz w:val="24"/>
                <w:szCs w:val="24"/>
                <w:lang w:eastAsia="en-US"/>
              </w:rPr>
              <w:t xml:space="preserve"> alongside any other key professionals who the child and family are known to (Welsh Government, 2017). If it’s determined the child requires immediate protection, the LA can apply for an Emergency Protection Order under S.44 of the CA89, but for no more than 72 hours. Other determinations include, no further action, duty to carry out an assessment of care needs under S.21 of SSWBA14 (Welsh Government, 2019</w:t>
            </w:r>
            <w:r w:rsidR="000230CC">
              <w:rPr>
                <w:rFonts w:eastAsia="Calibri"/>
                <w:color w:val="auto"/>
                <w:sz w:val="24"/>
                <w:szCs w:val="24"/>
                <w:lang w:eastAsia="en-US"/>
              </w:rPr>
              <w:t>a</w:t>
            </w:r>
            <w:r w:rsidRPr="003D2403">
              <w:rPr>
                <w:rFonts w:eastAsia="Calibri"/>
                <w:color w:val="auto"/>
                <w:sz w:val="24"/>
                <w:szCs w:val="24"/>
                <w:lang w:eastAsia="en-US"/>
              </w:rPr>
              <w:t>)  and should there be concerns of continuing risk of harm to a child/ren, a child protection conference will be held, as stated in S.3 of Wal</w:t>
            </w:r>
            <w:r w:rsidR="00BA603B">
              <w:rPr>
                <w:rFonts w:eastAsia="Calibri"/>
                <w:color w:val="auto"/>
                <w:sz w:val="24"/>
                <w:szCs w:val="24"/>
                <w:lang w:eastAsia="en-US"/>
              </w:rPr>
              <w:t>es Safeguarding Procedures (2019</w:t>
            </w:r>
            <w:r w:rsidRPr="003D2403">
              <w:rPr>
                <w:rFonts w:eastAsia="Calibri"/>
                <w:color w:val="auto"/>
                <w:sz w:val="24"/>
                <w:szCs w:val="24"/>
                <w:lang w:eastAsia="en-US"/>
              </w:rPr>
              <w:t xml:space="preserve">). Lastly, in all cases the least </w:t>
            </w:r>
            <w:r w:rsidRPr="003D2403">
              <w:rPr>
                <w:rFonts w:eastAsia="Calibri"/>
                <w:color w:val="auto"/>
                <w:sz w:val="24"/>
                <w:szCs w:val="24"/>
                <w:lang w:eastAsia="en-US"/>
              </w:rPr>
              <w:lastRenderedPageBreak/>
              <w:t>restrictive action should be taken when possible, ensuring every assessment is child focused (Wales Sa</w:t>
            </w:r>
            <w:r w:rsidR="00BA603B">
              <w:rPr>
                <w:rFonts w:eastAsia="Calibri"/>
                <w:color w:val="auto"/>
                <w:sz w:val="24"/>
                <w:szCs w:val="24"/>
                <w:lang w:eastAsia="en-US"/>
              </w:rPr>
              <w:t>feguarding Procedures, 2019</w:t>
            </w:r>
            <w:r w:rsidRPr="003D2403">
              <w:rPr>
                <w:rFonts w:eastAsia="Calibri"/>
                <w:color w:val="auto"/>
                <w:sz w:val="24"/>
                <w:szCs w:val="24"/>
                <w:lang w:eastAsia="en-US"/>
              </w:rPr>
              <w:t>).</w:t>
            </w:r>
          </w:p>
          <w:p w14:paraId="209AB3DF" w14:textId="77777777" w:rsidR="003D2403" w:rsidRPr="003D2403" w:rsidRDefault="003D2403" w:rsidP="003D2403">
            <w:pPr>
              <w:overflowPunct/>
              <w:autoSpaceDE/>
              <w:autoSpaceDN/>
              <w:adjustRightInd/>
              <w:spacing w:after="160" w:line="360" w:lineRule="auto"/>
              <w:textAlignment w:val="auto"/>
              <w:rPr>
                <w:rFonts w:eastAsia="Calibri"/>
                <w:b/>
                <w:color w:val="auto"/>
                <w:sz w:val="24"/>
                <w:szCs w:val="24"/>
                <w:lang w:eastAsia="en-US"/>
              </w:rPr>
            </w:pPr>
            <w:r w:rsidRPr="003D2403">
              <w:rPr>
                <w:rFonts w:eastAsia="Calibri"/>
                <w:b/>
                <w:color w:val="auto"/>
                <w:sz w:val="24"/>
                <w:szCs w:val="24"/>
                <w:lang w:eastAsia="en-US"/>
              </w:rPr>
              <w:t>Word Count- 548</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4440A1">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415C5B02"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0F1C3139" w14:textId="77777777" w:rsidR="00517B4F" w:rsidRDefault="00517B4F" w:rsidP="00FC0334">
            <w:pPr>
              <w:jc w:val="both"/>
              <w:rPr>
                <w:sz w:val="24"/>
                <w:szCs w:val="24"/>
              </w:rPr>
            </w:pPr>
          </w:p>
          <w:p w14:paraId="0A9FF7B4" w14:textId="77777777" w:rsidR="00517B4F" w:rsidRPr="00517B4F" w:rsidRDefault="00517B4F" w:rsidP="00517B4F">
            <w:pPr>
              <w:jc w:val="both"/>
              <w:rPr>
                <w:i/>
                <w:sz w:val="24"/>
                <w:szCs w:val="24"/>
              </w:rPr>
            </w:pPr>
            <w:r w:rsidRPr="00517B4F">
              <w:rPr>
                <w:i/>
                <w:sz w:val="24"/>
                <w:szCs w:val="24"/>
              </w:rPr>
              <w:t>400 words</w:t>
            </w:r>
            <w:r w:rsidRPr="00517B4F">
              <w:rPr>
                <w:sz w:val="24"/>
                <w:szCs w:val="24"/>
              </w:rPr>
              <w:t xml:space="preserve"> </w:t>
            </w:r>
            <w:r w:rsidRPr="00517B4F">
              <w:rPr>
                <w:i/>
                <w:sz w:val="24"/>
                <w:szCs w:val="24"/>
              </w:rPr>
              <w:t>(+/- 10%: include your actual word count at the end of each section).</w:t>
            </w:r>
          </w:p>
          <w:p w14:paraId="5DC582F5" w14:textId="77777777" w:rsidR="00517B4F" w:rsidRDefault="00517B4F" w:rsidP="00FC0334">
            <w:pPr>
              <w:jc w:val="both"/>
              <w:rPr>
                <w:sz w:val="24"/>
                <w:szCs w:val="24"/>
              </w:rPr>
            </w:pPr>
          </w:p>
          <w:p w14:paraId="5D60009D" w14:textId="03114130" w:rsidR="00D37C71" w:rsidRDefault="00D37C71" w:rsidP="00FC0334">
            <w:pPr>
              <w:jc w:val="both"/>
              <w:rPr>
                <w:sz w:val="24"/>
                <w:szCs w:val="24"/>
              </w:rPr>
            </w:pPr>
          </w:p>
          <w:p w14:paraId="66367084" w14:textId="77777777" w:rsidR="00D37C71" w:rsidRPr="00D37C71" w:rsidRDefault="00D37C71" w:rsidP="00D37C71">
            <w:pPr>
              <w:overflowPunct/>
              <w:autoSpaceDE/>
              <w:autoSpaceDN/>
              <w:adjustRightInd/>
              <w:spacing w:after="160" w:line="360" w:lineRule="auto"/>
              <w:textAlignment w:val="auto"/>
              <w:rPr>
                <w:rFonts w:eastAsia="Calibri"/>
                <w:color w:val="auto"/>
                <w:sz w:val="24"/>
                <w:szCs w:val="24"/>
                <w:lang w:eastAsia="en-US"/>
              </w:rPr>
            </w:pPr>
            <w:r w:rsidRPr="00D37C71">
              <w:rPr>
                <w:rFonts w:eastAsia="Calibri"/>
                <w:color w:val="auto"/>
                <w:sz w:val="24"/>
                <w:szCs w:val="24"/>
                <w:lang w:eastAsia="en-US"/>
              </w:rPr>
              <w:t>The Children Act (1989) (CA89) established the foundation for the current child protection framework in England and Wales (NSPCC, 2024). It aimed to reform laws concerning children, emphasize their rights, and address several child abuse scandals (Carr and Goosey, 2019a). The Act provides professionals with a legal framework that outlines their responsibilities in safeguarding children (HM Government, 2023).</w:t>
            </w:r>
          </w:p>
          <w:p w14:paraId="5187553D" w14:textId="77777777" w:rsidR="00D37C71" w:rsidRPr="00D37C71" w:rsidRDefault="00D37C71" w:rsidP="00D37C71">
            <w:pPr>
              <w:overflowPunct/>
              <w:autoSpaceDE/>
              <w:autoSpaceDN/>
              <w:adjustRightInd/>
              <w:spacing w:after="160" w:line="360" w:lineRule="auto"/>
              <w:textAlignment w:val="auto"/>
              <w:rPr>
                <w:rFonts w:eastAsia="Calibri"/>
                <w:color w:val="auto"/>
                <w:sz w:val="24"/>
                <w:szCs w:val="24"/>
                <w:lang w:eastAsia="en-US"/>
              </w:rPr>
            </w:pPr>
            <w:r w:rsidRPr="00D37C71">
              <w:rPr>
                <w:rFonts w:eastAsia="Calibri"/>
                <w:color w:val="auto"/>
                <w:sz w:val="24"/>
                <w:szCs w:val="24"/>
                <w:lang w:eastAsia="en-US"/>
              </w:rPr>
              <w:t xml:space="preserve">In Wales, the legislation for safeguarding children and adults has historically been separate, with children's safeguarding guided by the All Wales Child Protection Procedures (2008) and adult safeguarding directed by the Wales Interim Policy and Procedures for the Protection of Vulnerable Adults from Abuse (2010) (Care Inspectorate Wales, 2013). Wales enacted the Social Services and Wellbeing (Wales) Act (2014) (SSWBA14) to strengthen existing safeguarding processes. </w:t>
            </w:r>
            <w:proofErr w:type="spellStart"/>
            <w:r w:rsidRPr="00D37C71">
              <w:rPr>
                <w:rFonts w:eastAsia="Calibri"/>
                <w:color w:val="auto"/>
                <w:sz w:val="24"/>
                <w:szCs w:val="24"/>
                <w:lang w:eastAsia="en-US"/>
              </w:rPr>
              <w:t>Senedd</w:t>
            </w:r>
            <w:proofErr w:type="spellEnd"/>
            <w:r w:rsidRPr="00D37C71">
              <w:rPr>
                <w:rFonts w:eastAsia="Calibri"/>
                <w:color w:val="auto"/>
                <w:sz w:val="24"/>
                <w:szCs w:val="24"/>
                <w:lang w:eastAsia="en-US"/>
              </w:rPr>
              <w:t xml:space="preserve"> Research (2021) describes it as a “ground-breaking legal framework for improving the well-being of adults and children.”</w:t>
            </w:r>
          </w:p>
          <w:p w14:paraId="4FDDE478" w14:textId="156B4AF9" w:rsidR="00D37C71" w:rsidRPr="00D37C71" w:rsidRDefault="00D37C71" w:rsidP="00D37C71">
            <w:pPr>
              <w:overflowPunct/>
              <w:autoSpaceDE/>
              <w:autoSpaceDN/>
              <w:adjustRightInd/>
              <w:spacing w:after="160" w:line="360" w:lineRule="auto"/>
              <w:textAlignment w:val="auto"/>
              <w:rPr>
                <w:rFonts w:eastAsia="Calibri"/>
                <w:color w:val="auto"/>
                <w:sz w:val="24"/>
                <w:szCs w:val="24"/>
                <w:lang w:eastAsia="en-US"/>
              </w:rPr>
            </w:pPr>
            <w:r w:rsidRPr="00D37C71">
              <w:rPr>
                <w:rFonts w:eastAsia="Calibri"/>
                <w:color w:val="auto"/>
                <w:sz w:val="24"/>
                <w:szCs w:val="24"/>
                <w:lang w:eastAsia="en-US"/>
              </w:rPr>
              <w:t xml:space="preserve">The safeguarding legislation has been bought together, though differences remain in criteria, definitions, and processes. Part 7 section 130 of the SSWBA14 concerns safeguarding </w:t>
            </w:r>
            <w:r w:rsidRPr="00D37C71">
              <w:rPr>
                <w:rFonts w:eastAsia="Calibri"/>
                <w:color w:val="auto"/>
                <w:sz w:val="24"/>
                <w:szCs w:val="24"/>
                <w:lang w:eastAsia="en-US"/>
              </w:rPr>
              <w:lastRenderedPageBreak/>
              <w:t>children, while section 126 addresses safeguarding adults. Notably, local authorities are required to investigate children at risk under section 47 of the CA89. For adults, section 126 of the SSWBA14 requires local authorities</w:t>
            </w:r>
            <w:r w:rsidR="00517B4F">
              <w:rPr>
                <w:rFonts w:eastAsia="Calibri"/>
                <w:color w:val="auto"/>
                <w:sz w:val="24"/>
                <w:szCs w:val="24"/>
                <w:lang w:eastAsia="en-US"/>
              </w:rPr>
              <w:t xml:space="preserve"> (LA)</w:t>
            </w:r>
            <w:r w:rsidRPr="00D37C71">
              <w:rPr>
                <w:rFonts w:eastAsia="Calibri"/>
                <w:color w:val="auto"/>
                <w:sz w:val="24"/>
                <w:szCs w:val="24"/>
                <w:lang w:eastAsia="en-US"/>
              </w:rPr>
              <w:t xml:space="preserve"> to conduct necessary enquiries to decide if action is needed. In contrast, safeguarding children involves more structured processes, such as multi-agency strategy meetings and tighter time constraints. </w:t>
            </w:r>
          </w:p>
          <w:p w14:paraId="0E92AB3C" w14:textId="6FB8A15C" w:rsidR="00D37C71" w:rsidRPr="00D37C71" w:rsidRDefault="00D37C71" w:rsidP="00D37C71">
            <w:pPr>
              <w:overflowPunct/>
              <w:autoSpaceDE/>
              <w:autoSpaceDN/>
              <w:adjustRightInd/>
              <w:spacing w:after="160" w:line="360" w:lineRule="auto"/>
              <w:textAlignment w:val="auto"/>
              <w:rPr>
                <w:rFonts w:eastAsia="Calibri"/>
                <w:color w:val="auto"/>
                <w:sz w:val="24"/>
                <w:szCs w:val="24"/>
                <w:lang w:eastAsia="en-US"/>
              </w:rPr>
            </w:pPr>
            <w:r w:rsidRPr="00D37C71">
              <w:rPr>
                <w:rFonts w:eastAsia="Calibri"/>
                <w:color w:val="auto"/>
                <w:sz w:val="24"/>
                <w:szCs w:val="24"/>
                <w:lang w:eastAsia="en-US"/>
              </w:rPr>
              <w:t>Section 3, Part 1 of the Wales Safeguarding Procedures (2019) states that if a child is at significant risk of harm, a lawful order can be issued to remove them from the dangerous situation.</w:t>
            </w:r>
            <w:r w:rsidR="00517B4F">
              <w:rPr>
                <w:rFonts w:eastAsia="Calibri"/>
                <w:color w:val="auto"/>
                <w:sz w:val="24"/>
                <w:szCs w:val="24"/>
                <w:lang w:eastAsia="en-US"/>
              </w:rPr>
              <w:t xml:space="preserve"> This allows the LA</w:t>
            </w:r>
            <w:r w:rsidRPr="00D37C71">
              <w:rPr>
                <w:rFonts w:eastAsia="Calibri"/>
                <w:color w:val="auto"/>
                <w:sz w:val="24"/>
                <w:szCs w:val="24"/>
                <w:lang w:eastAsia="en-US"/>
              </w:rPr>
              <w:t xml:space="preserve"> to assume parental responsibility. Whereas, whilst safeg</w:t>
            </w:r>
            <w:r w:rsidR="00517B4F">
              <w:rPr>
                <w:rFonts w:eastAsia="Calibri"/>
                <w:color w:val="auto"/>
                <w:sz w:val="24"/>
                <w:szCs w:val="24"/>
                <w:lang w:eastAsia="en-US"/>
              </w:rPr>
              <w:t>uarding adults, LA’s</w:t>
            </w:r>
            <w:r w:rsidRPr="00D37C71">
              <w:rPr>
                <w:rFonts w:eastAsia="Calibri"/>
                <w:color w:val="auto"/>
                <w:sz w:val="24"/>
                <w:szCs w:val="24"/>
                <w:lang w:eastAsia="en-US"/>
              </w:rPr>
              <w:t xml:space="preserve"> must obtain consent from the individual when conducting enquiries. Throughout all stages of this process, it is essential to consider mental capacity under the Mental Capacity Act (2005). </w:t>
            </w:r>
            <w:r w:rsidRPr="000230CC">
              <w:rPr>
                <w:rFonts w:eastAsia="Calibri"/>
                <w:color w:val="auto"/>
                <w:sz w:val="24"/>
                <w:szCs w:val="24"/>
                <w:highlight w:val="yellow"/>
                <w:lang w:eastAsia="en-US"/>
              </w:rPr>
              <w:t xml:space="preserve">When an adult is assessed as lacking capacity, actions and decisions should be made in the individual's best interests. Only if the adult lacks capacity or is subject to a criminal investigation can a magistrates' court give permission to the police, upon the request of an approved mental health professional, to enter premises using reasonable force, which may involve removing the adult to a place of safety (Wales Safeguarding Procedures, </w:t>
            </w:r>
            <w:bookmarkStart w:id="0" w:name="_GoBack"/>
            <w:r w:rsidRPr="000230CC">
              <w:rPr>
                <w:rFonts w:eastAsia="Calibri"/>
                <w:color w:val="auto"/>
                <w:sz w:val="24"/>
                <w:szCs w:val="24"/>
                <w:highlight w:val="yellow"/>
                <w:lang w:eastAsia="en-US"/>
              </w:rPr>
              <w:t>2019</w:t>
            </w:r>
            <w:bookmarkEnd w:id="0"/>
            <w:r w:rsidRPr="000230CC">
              <w:rPr>
                <w:rFonts w:eastAsia="Calibri"/>
                <w:color w:val="auto"/>
                <w:sz w:val="24"/>
                <w:szCs w:val="24"/>
                <w:highlight w:val="yellow"/>
                <w:lang w:eastAsia="en-US"/>
              </w:rPr>
              <w:t>). On the other hand, should an adult have capacity, they have the right to make unwise decisions, recognizing that many adults are entitled to take risks. Capacity should not be perceived as a barrier to safeguarding; however, it is imperative to respect the individual's wishes, feelings, and rights (Community Care, 2017).</w:t>
            </w:r>
          </w:p>
          <w:p w14:paraId="2BBFD5E5" w14:textId="00A88868" w:rsidR="00D37C71" w:rsidRPr="00D37C71" w:rsidRDefault="000230CC" w:rsidP="00D37C71">
            <w:pPr>
              <w:overflowPunct/>
              <w:autoSpaceDE/>
              <w:autoSpaceDN/>
              <w:adjustRightInd/>
              <w:spacing w:after="160" w:line="360" w:lineRule="auto"/>
              <w:textAlignment w:val="auto"/>
              <w:rPr>
                <w:rFonts w:eastAsia="Calibri"/>
                <w:b/>
                <w:color w:val="auto"/>
                <w:sz w:val="24"/>
                <w:szCs w:val="24"/>
                <w:lang w:eastAsia="en-US"/>
              </w:rPr>
            </w:pPr>
            <w:r>
              <w:rPr>
                <w:rFonts w:eastAsia="Calibri"/>
                <w:b/>
                <w:color w:val="auto"/>
                <w:sz w:val="24"/>
                <w:szCs w:val="24"/>
                <w:lang w:eastAsia="en-US"/>
              </w:rPr>
              <w:t>Word Count- 424 Words</w:t>
            </w:r>
          </w:p>
          <w:p w14:paraId="47FE7254" w14:textId="77777777" w:rsidR="00D37C71" w:rsidRDefault="00D37C71" w:rsidP="00FC0334">
            <w:pPr>
              <w:jc w:val="both"/>
              <w:rPr>
                <w:sz w:val="24"/>
                <w:szCs w:val="24"/>
              </w:rPr>
            </w:pP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517B4F">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8E4A411" w:rsidR="00A5656A" w:rsidRDefault="00A5656A">
    <w:pPr>
      <w:pStyle w:val="Footer"/>
      <w:jc w:val="right"/>
    </w:pPr>
    <w:r>
      <w:fldChar w:fldCharType="begin"/>
    </w:r>
    <w:r>
      <w:instrText xml:space="preserve"> PAGE   \* MERGEFORMAT </w:instrText>
    </w:r>
    <w:r>
      <w:fldChar w:fldCharType="separate"/>
    </w:r>
    <w:r w:rsidR="000230CC">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30C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2403"/>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40A1"/>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B7835"/>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7B4F"/>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656F"/>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49F8"/>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4BD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6E0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603B"/>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37C71"/>
    <w:rsid w:val="00D44B67"/>
    <w:rsid w:val="00D44F8E"/>
    <w:rsid w:val="00D51FD5"/>
    <w:rsid w:val="00D55DE0"/>
    <w:rsid w:val="00D607EF"/>
    <w:rsid w:val="00D60F88"/>
    <w:rsid w:val="00D646BD"/>
    <w:rsid w:val="00D65558"/>
    <w:rsid w:val="00D71201"/>
    <w:rsid w:val="00D720C7"/>
    <w:rsid w:val="00D84841"/>
    <w:rsid w:val="00D876E6"/>
    <w:rsid w:val="00D90958"/>
    <w:rsid w:val="00D939B5"/>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D6F01E8-702E-4606-80DA-AFF5E064D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6</Pages>
  <Words>1186</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Lisney</cp:lastModifiedBy>
  <cp:revision>13</cp:revision>
  <cp:lastPrinted>2020-02-11T19:20:00Z</cp:lastPrinted>
  <dcterms:created xsi:type="dcterms:W3CDTF">2024-10-04T10:45:00Z</dcterms:created>
  <dcterms:modified xsi:type="dcterms:W3CDTF">2024-10-07T18:13:00Z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