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83082" w14:textId="77777777" w:rsidR="00A24462" w:rsidRPr="00486CE3" w:rsidRDefault="00A24462" w:rsidP="00A24462">
      <w:pPr>
        <w:spacing w:after="0"/>
        <w:jc w:val="center"/>
        <w:rPr>
          <w:rFonts w:cs="Times New Roman"/>
          <w:b/>
          <w:bCs/>
          <w:sz w:val="28"/>
          <w:szCs w:val="24"/>
        </w:rPr>
      </w:pPr>
    </w:p>
    <w:p w14:paraId="6614D2BE" w14:textId="77777777" w:rsidR="00A24462" w:rsidRPr="00486CE3" w:rsidRDefault="00A24462" w:rsidP="00A24462">
      <w:pPr>
        <w:spacing w:after="0"/>
        <w:jc w:val="center"/>
        <w:rPr>
          <w:rFonts w:cs="Times New Roman"/>
          <w:b/>
          <w:bCs/>
          <w:sz w:val="28"/>
          <w:szCs w:val="24"/>
        </w:rPr>
      </w:pPr>
    </w:p>
    <w:p w14:paraId="50F5E27B" w14:textId="77777777" w:rsidR="00A24462" w:rsidRPr="00486CE3" w:rsidRDefault="00A24462" w:rsidP="00A24462">
      <w:pPr>
        <w:spacing w:after="0"/>
        <w:jc w:val="center"/>
        <w:rPr>
          <w:rFonts w:cs="Times New Roman"/>
          <w:b/>
          <w:bCs/>
          <w:sz w:val="28"/>
          <w:szCs w:val="24"/>
        </w:rPr>
      </w:pPr>
    </w:p>
    <w:p w14:paraId="5016ABDC" w14:textId="77777777" w:rsidR="00A24462" w:rsidRPr="00486CE3" w:rsidRDefault="00A24462" w:rsidP="00A24462">
      <w:pPr>
        <w:spacing w:after="0"/>
        <w:jc w:val="center"/>
        <w:rPr>
          <w:rFonts w:cs="Times New Roman"/>
          <w:b/>
          <w:bCs/>
          <w:sz w:val="28"/>
          <w:szCs w:val="24"/>
        </w:rPr>
      </w:pPr>
    </w:p>
    <w:p w14:paraId="7E07F62B" w14:textId="77777777" w:rsidR="00A24462" w:rsidRPr="00486CE3" w:rsidRDefault="00A24462" w:rsidP="00A24462">
      <w:pPr>
        <w:spacing w:after="0"/>
        <w:jc w:val="center"/>
        <w:rPr>
          <w:rFonts w:cs="Times New Roman"/>
          <w:b/>
          <w:bCs/>
          <w:sz w:val="28"/>
          <w:szCs w:val="24"/>
        </w:rPr>
      </w:pPr>
    </w:p>
    <w:p w14:paraId="31BE508A" w14:textId="77777777" w:rsidR="00A24462" w:rsidRPr="00486CE3" w:rsidRDefault="00A24462" w:rsidP="00A24462">
      <w:pPr>
        <w:spacing w:after="0"/>
        <w:jc w:val="center"/>
        <w:rPr>
          <w:rFonts w:cs="Times New Roman"/>
          <w:b/>
          <w:bCs/>
          <w:sz w:val="28"/>
          <w:szCs w:val="24"/>
        </w:rPr>
      </w:pPr>
    </w:p>
    <w:p w14:paraId="2B4F5206" w14:textId="77777777" w:rsidR="00A24462" w:rsidRPr="00486CE3" w:rsidRDefault="00A24462" w:rsidP="00A24462">
      <w:pPr>
        <w:spacing w:after="0"/>
        <w:jc w:val="center"/>
        <w:rPr>
          <w:rFonts w:cs="Times New Roman"/>
          <w:b/>
          <w:bCs/>
          <w:sz w:val="28"/>
          <w:szCs w:val="24"/>
        </w:rPr>
      </w:pPr>
    </w:p>
    <w:p w14:paraId="28E454A1" w14:textId="6D247953" w:rsidR="00A24462" w:rsidRPr="00486CE3" w:rsidRDefault="00000000" w:rsidP="00A24462">
      <w:pPr>
        <w:spacing w:after="0"/>
        <w:jc w:val="center"/>
        <w:rPr>
          <w:rFonts w:cs="Times New Roman"/>
          <w:b/>
          <w:bCs/>
          <w:sz w:val="28"/>
          <w:szCs w:val="24"/>
        </w:rPr>
      </w:pPr>
      <w:r w:rsidRPr="00486CE3">
        <w:rPr>
          <w:rFonts w:cs="Times New Roman"/>
          <w:b/>
          <w:bCs/>
          <w:sz w:val="28"/>
          <w:szCs w:val="24"/>
        </w:rPr>
        <w:t>BA (Hons) Business Management</w:t>
      </w:r>
    </w:p>
    <w:p w14:paraId="759CF0AE" w14:textId="77777777" w:rsidR="00A24462" w:rsidRPr="00486CE3" w:rsidRDefault="00000000" w:rsidP="00A24462">
      <w:pPr>
        <w:spacing w:after="0"/>
        <w:jc w:val="center"/>
        <w:rPr>
          <w:rFonts w:cs="Times New Roman"/>
          <w:b/>
          <w:bCs/>
          <w:sz w:val="28"/>
          <w:szCs w:val="24"/>
        </w:rPr>
      </w:pPr>
      <w:r w:rsidRPr="00486CE3">
        <w:rPr>
          <w:rFonts w:cs="Times New Roman"/>
          <w:b/>
          <w:bCs/>
          <w:sz w:val="28"/>
          <w:szCs w:val="24"/>
        </w:rPr>
        <w:t>LCBB6002 International Financial Management</w:t>
      </w:r>
    </w:p>
    <w:p w14:paraId="2400EDFF" w14:textId="77777777" w:rsidR="00A24462" w:rsidRPr="00486CE3" w:rsidRDefault="00A24462" w:rsidP="00A24462">
      <w:pPr>
        <w:spacing w:after="0"/>
        <w:jc w:val="center"/>
        <w:rPr>
          <w:rFonts w:cs="Times New Roman"/>
          <w:b/>
          <w:bCs/>
          <w:sz w:val="28"/>
          <w:szCs w:val="24"/>
        </w:rPr>
      </w:pPr>
    </w:p>
    <w:p w14:paraId="676B1864" w14:textId="3473F2A0" w:rsidR="00A24462" w:rsidRPr="00486CE3" w:rsidRDefault="00000000" w:rsidP="00A24462">
      <w:pPr>
        <w:spacing w:after="0"/>
        <w:jc w:val="center"/>
        <w:rPr>
          <w:rFonts w:cs="Times New Roman"/>
          <w:b/>
          <w:bCs/>
          <w:sz w:val="28"/>
          <w:szCs w:val="24"/>
        </w:rPr>
      </w:pPr>
      <w:r w:rsidRPr="00486CE3">
        <w:rPr>
          <w:rFonts w:cs="Times New Roman"/>
          <w:b/>
          <w:bCs/>
          <w:sz w:val="28"/>
          <w:szCs w:val="24"/>
        </w:rPr>
        <w:t xml:space="preserve">Student </w:t>
      </w:r>
      <w:r w:rsidR="00DF621D" w:rsidRPr="00486CE3">
        <w:rPr>
          <w:rFonts w:cs="Times New Roman"/>
          <w:b/>
          <w:bCs/>
          <w:sz w:val="28"/>
          <w:szCs w:val="24"/>
        </w:rPr>
        <w:t>Name:</w:t>
      </w:r>
      <w:r w:rsidR="00DF621D">
        <w:rPr>
          <w:rFonts w:cs="Times New Roman"/>
          <w:b/>
          <w:bCs/>
          <w:sz w:val="28"/>
          <w:szCs w:val="24"/>
        </w:rPr>
        <w:t xml:space="preserve"> Florina Madalina </w:t>
      </w:r>
      <w:proofErr w:type="spellStart"/>
      <w:r w:rsidR="00DF621D">
        <w:rPr>
          <w:rFonts w:cs="Times New Roman"/>
          <w:b/>
          <w:bCs/>
          <w:sz w:val="28"/>
          <w:szCs w:val="24"/>
        </w:rPr>
        <w:t>Gugoi</w:t>
      </w:r>
      <w:proofErr w:type="spellEnd"/>
    </w:p>
    <w:p w14:paraId="75C7EB06" w14:textId="2215B722" w:rsidR="00A24462" w:rsidRPr="00486CE3" w:rsidRDefault="00000000" w:rsidP="00A24462">
      <w:pPr>
        <w:spacing w:after="0"/>
        <w:jc w:val="center"/>
        <w:rPr>
          <w:rFonts w:cs="Times New Roman"/>
          <w:b/>
          <w:bCs/>
          <w:sz w:val="28"/>
          <w:szCs w:val="24"/>
        </w:rPr>
      </w:pPr>
      <w:r w:rsidRPr="00486CE3">
        <w:rPr>
          <w:rFonts w:cs="Times New Roman"/>
          <w:b/>
          <w:bCs/>
          <w:sz w:val="28"/>
          <w:szCs w:val="24"/>
        </w:rPr>
        <w:t>Student ID:</w:t>
      </w:r>
      <w:r w:rsidR="00DF621D">
        <w:rPr>
          <w:rFonts w:cs="Times New Roman"/>
          <w:b/>
          <w:bCs/>
          <w:sz w:val="28"/>
          <w:szCs w:val="24"/>
        </w:rPr>
        <w:t>2111163</w:t>
      </w:r>
    </w:p>
    <w:p w14:paraId="37F07867" w14:textId="77777777" w:rsidR="00A24462" w:rsidRPr="00486CE3" w:rsidRDefault="00A24462" w:rsidP="00A24462">
      <w:pPr>
        <w:spacing w:after="0"/>
        <w:jc w:val="center"/>
        <w:rPr>
          <w:rFonts w:cs="Times New Roman"/>
          <w:b/>
          <w:bCs/>
          <w:sz w:val="28"/>
          <w:szCs w:val="24"/>
        </w:rPr>
      </w:pPr>
    </w:p>
    <w:p w14:paraId="1E59567B" w14:textId="2891724B" w:rsidR="00A24462" w:rsidRPr="00486CE3" w:rsidRDefault="00000000" w:rsidP="00A24462">
      <w:pPr>
        <w:spacing w:after="0"/>
        <w:jc w:val="center"/>
        <w:rPr>
          <w:rFonts w:cs="Times New Roman"/>
          <w:b/>
          <w:bCs/>
          <w:sz w:val="28"/>
          <w:szCs w:val="24"/>
        </w:rPr>
      </w:pPr>
      <w:r w:rsidRPr="00486CE3">
        <w:rPr>
          <w:rFonts w:cs="Times New Roman"/>
          <w:b/>
          <w:bCs/>
          <w:sz w:val="28"/>
          <w:szCs w:val="24"/>
        </w:rPr>
        <w:t xml:space="preserve">Module </w:t>
      </w:r>
      <w:r w:rsidR="00DF621D" w:rsidRPr="00486CE3">
        <w:rPr>
          <w:rFonts w:cs="Times New Roman"/>
          <w:b/>
          <w:bCs/>
          <w:sz w:val="28"/>
          <w:szCs w:val="24"/>
        </w:rPr>
        <w:t>Leader:</w:t>
      </w:r>
      <w:r w:rsidR="00DF621D">
        <w:rPr>
          <w:rFonts w:cs="Times New Roman"/>
          <w:b/>
          <w:bCs/>
          <w:sz w:val="28"/>
          <w:szCs w:val="24"/>
        </w:rPr>
        <w:t xml:space="preserve"> Mudassar Hasan</w:t>
      </w:r>
    </w:p>
    <w:p w14:paraId="28F1DC97" w14:textId="7F9303C3" w:rsidR="00FA0A64" w:rsidRPr="00486CE3" w:rsidRDefault="00000000" w:rsidP="00A24462">
      <w:pPr>
        <w:spacing w:after="0"/>
        <w:jc w:val="center"/>
        <w:rPr>
          <w:rFonts w:cs="Times New Roman"/>
        </w:rPr>
      </w:pPr>
      <w:r w:rsidRPr="00486CE3">
        <w:rPr>
          <w:rFonts w:cs="Times New Roman"/>
        </w:rPr>
        <w:br w:type="page"/>
      </w:r>
    </w:p>
    <w:sdt>
      <w:sdtPr>
        <w:rPr>
          <w:rFonts w:ascii="Times New Roman" w:eastAsiaTheme="minorHAnsi" w:hAnsi="Times New Roman" w:cs="Times New Roman"/>
          <w:color w:val="auto"/>
          <w:sz w:val="24"/>
          <w:szCs w:val="22"/>
          <w:lang w:val="en-GB"/>
        </w:rPr>
        <w:id w:val="883747153"/>
        <w:docPartObj>
          <w:docPartGallery w:val="Table of Contents"/>
          <w:docPartUnique/>
        </w:docPartObj>
      </w:sdtPr>
      <w:sdtEndPr>
        <w:rPr>
          <w:b/>
          <w:bCs/>
          <w:noProof/>
        </w:rPr>
      </w:sdtEndPr>
      <w:sdtContent>
        <w:p w14:paraId="6111A934" w14:textId="6E569BCF" w:rsidR="00FA0A64" w:rsidRPr="00486CE3" w:rsidRDefault="00000000" w:rsidP="00FA0A64">
          <w:pPr>
            <w:pStyle w:val="TOCHeading"/>
            <w:spacing w:line="360" w:lineRule="auto"/>
            <w:rPr>
              <w:rFonts w:ascii="Times New Roman" w:hAnsi="Times New Roman" w:cs="Times New Roman"/>
              <w:b/>
              <w:bCs/>
              <w:color w:val="auto"/>
              <w:sz w:val="28"/>
              <w:szCs w:val="28"/>
              <w:lang w:val="en-GB"/>
            </w:rPr>
          </w:pPr>
          <w:r w:rsidRPr="00486CE3">
            <w:rPr>
              <w:rFonts w:ascii="Times New Roman" w:hAnsi="Times New Roman" w:cs="Times New Roman"/>
              <w:b/>
              <w:bCs/>
              <w:color w:val="auto"/>
              <w:sz w:val="28"/>
              <w:szCs w:val="28"/>
              <w:lang w:val="en-GB"/>
            </w:rPr>
            <w:t>Table of Contents</w:t>
          </w:r>
        </w:p>
        <w:p w14:paraId="047ACAEA" w14:textId="104CDD21" w:rsidR="00486CE3" w:rsidRDefault="00000000"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r w:rsidRPr="00486CE3">
            <w:rPr>
              <w:rFonts w:cs="Times New Roman"/>
            </w:rPr>
            <w:fldChar w:fldCharType="begin"/>
          </w:r>
          <w:r w:rsidRPr="00486CE3">
            <w:rPr>
              <w:rFonts w:cs="Times New Roman"/>
            </w:rPr>
            <w:instrText xml:space="preserve"> TOC \o "1-3" \h \z \u </w:instrText>
          </w:r>
          <w:r w:rsidRPr="00486CE3">
            <w:rPr>
              <w:rFonts w:cs="Times New Roman"/>
            </w:rPr>
            <w:fldChar w:fldCharType="separate"/>
          </w:r>
          <w:hyperlink w:anchor="_Toc190255805" w:history="1">
            <w:r w:rsidR="00486CE3" w:rsidRPr="00EC053B">
              <w:rPr>
                <w:rStyle w:val="Hyperlink"/>
                <w:rFonts w:cs="Times New Roman"/>
                <w:noProof/>
              </w:rPr>
              <w:t>Executive summary:</w:t>
            </w:r>
            <w:r w:rsidR="00486CE3">
              <w:rPr>
                <w:noProof/>
                <w:webHidden/>
              </w:rPr>
              <w:tab/>
            </w:r>
            <w:r w:rsidR="00486CE3">
              <w:rPr>
                <w:noProof/>
                <w:webHidden/>
              </w:rPr>
              <w:fldChar w:fldCharType="begin"/>
            </w:r>
            <w:r w:rsidR="00486CE3">
              <w:rPr>
                <w:noProof/>
                <w:webHidden/>
              </w:rPr>
              <w:instrText xml:space="preserve"> PAGEREF _Toc190255805 \h </w:instrText>
            </w:r>
            <w:r w:rsidR="00486CE3">
              <w:rPr>
                <w:noProof/>
                <w:webHidden/>
              </w:rPr>
            </w:r>
            <w:r w:rsidR="00486CE3">
              <w:rPr>
                <w:noProof/>
                <w:webHidden/>
              </w:rPr>
              <w:fldChar w:fldCharType="separate"/>
            </w:r>
            <w:r w:rsidR="00486CE3">
              <w:rPr>
                <w:noProof/>
                <w:webHidden/>
              </w:rPr>
              <w:t>3</w:t>
            </w:r>
            <w:r w:rsidR="00486CE3">
              <w:rPr>
                <w:noProof/>
                <w:webHidden/>
              </w:rPr>
              <w:fldChar w:fldCharType="end"/>
            </w:r>
          </w:hyperlink>
        </w:p>
        <w:p w14:paraId="75C72069" w14:textId="637965A8" w:rsidR="00486CE3" w:rsidRDefault="00486CE3"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06" w:history="1">
            <w:r w:rsidRPr="00EC053B">
              <w:rPr>
                <w:rStyle w:val="Hyperlink"/>
                <w:rFonts w:cs="Times New Roman"/>
                <w:noProof/>
              </w:rPr>
              <w:t>Introduction:</w:t>
            </w:r>
            <w:r>
              <w:rPr>
                <w:noProof/>
                <w:webHidden/>
              </w:rPr>
              <w:tab/>
            </w:r>
            <w:r>
              <w:rPr>
                <w:noProof/>
                <w:webHidden/>
              </w:rPr>
              <w:fldChar w:fldCharType="begin"/>
            </w:r>
            <w:r>
              <w:rPr>
                <w:noProof/>
                <w:webHidden/>
              </w:rPr>
              <w:instrText xml:space="preserve"> PAGEREF _Toc190255806 \h </w:instrText>
            </w:r>
            <w:r>
              <w:rPr>
                <w:noProof/>
                <w:webHidden/>
              </w:rPr>
            </w:r>
            <w:r>
              <w:rPr>
                <w:noProof/>
                <w:webHidden/>
              </w:rPr>
              <w:fldChar w:fldCharType="separate"/>
            </w:r>
            <w:r>
              <w:rPr>
                <w:noProof/>
                <w:webHidden/>
              </w:rPr>
              <w:t>4</w:t>
            </w:r>
            <w:r>
              <w:rPr>
                <w:noProof/>
                <w:webHidden/>
              </w:rPr>
              <w:fldChar w:fldCharType="end"/>
            </w:r>
          </w:hyperlink>
        </w:p>
        <w:p w14:paraId="73335F31" w14:textId="3C6A8DF7" w:rsidR="00486CE3" w:rsidRDefault="00486CE3"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07" w:history="1">
            <w:r w:rsidRPr="00EC053B">
              <w:rPr>
                <w:rStyle w:val="Hyperlink"/>
                <w:rFonts w:cs="Times New Roman"/>
                <w:noProof/>
              </w:rPr>
              <w:t>Discussion of the findings:</w:t>
            </w:r>
            <w:r>
              <w:rPr>
                <w:noProof/>
                <w:webHidden/>
              </w:rPr>
              <w:tab/>
            </w:r>
            <w:r>
              <w:rPr>
                <w:noProof/>
                <w:webHidden/>
              </w:rPr>
              <w:fldChar w:fldCharType="begin"/>
            </w:r>
            <w:r>
              <w:rPr>
                <w:noProof/>
                <w:webHidden/>
              </w:rPr>
              <w:instrText xml:space="preserve"> PAGEREF _Toc190255807 \h </w:instrText>
            </w:r>
            <w:r>
              <w:rPr>
                <w:noProof/>
                <w:webHidden/>
              </w:rPr>
            </w:r>
            <w:r>
              <w:rPr>
                <w:noProof/>
                <w:webHidden/>
              </w:rPr>
              <w:fldChar w:fldCharType="separate"/>
            </w:r>
            <w:r>
              <w:rPr>
                <w:noProof/>
                <w:webHidden/>
              </w:rPr>
              <w:t>4</w:t>
            </w:r>
            <w:r>
              <w:rPr>
                <w:noProof/>
                <w:webHidden/>
              </w:rPr>
              <w:fldChar w:fldCharType="end"/>
            </w:r>
          </w:hyperlink>
        </w:p>
        <w:p w14:paraId="14D7CF2B" w14:textId="0918F275" w:rsidR="00486CE3" w:rsidRDefault="00486CE3" w:rsidP="00486CE3">
          <w:pPr>
            <w:pStyle w:val="TOC2"/>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08" w:history="1">
            <w:r w:rsidRPr="00EC053B">
              <w:rPr>
                <w:rStyle w:val="Hyperlink"/>
                <w:rFonts w:cs="Times New Roman"/>
                <w:noProof/>
              </w:rPr>
              <w:t>Corporate governance and agency theory:</w:t>
            </w:r>
            <w:r>
              <w:rPr>
                <w:noProof/>
                <w:webHidden/>
              </w:rPr>
              <w:tab/>
            </w:r>
            <w:r>
              <w:rPr>
                <w:noProof/>
                <w:webHidden/>
              </w:rPr>
              <w:fldChar w:fldCharType="begin"/>
            </w:r>
            <w:r>
              <w:rPr>
                <w:noProof/>
                <w:webHidden/>
              </w:rPr>
              <w:instrText xml:space="preserve"> PAGEREF _Toc190255808 \h </w:instrText>
            </w:r>
            <w:r>
              <w:rPr>
                <w:noProof/>
                <w:webHidden/>
              </w:rPr>
            </w:r>
            <w:r>
              <w:rPr>
                <w:noProof/>
                <w:webHidden/>
              </w:rPr>
              <w:fldChar w:fldCharType="separate"/>
            </w:r>
            <w:r>
              <w:rPr>
                <w:noProof/>
                <w:webHidden/>
              </w:rPr>
              <w:t>4</w:t>
            </w:r>
            <w:r>
              <w:rPr>
                <w:noProof/>
                <w:webHidden/>
              </w:rPr>
              <w:fldChar w:fldCharType="end"/>
            </w:r>
          </w:hyperlink>
        </w:p>
        <w:p w14:paraId="36335B8B" w14:textId="38868FAC" w:rsidR="00486CE3" w:rsidRDefault="00486CE3" w:rsidP="00486CE3">
          <w:pPr>
            <w:pStyle w:val="TOC3"/>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09" w:history="1">
            <w:r w:rsidRPr="00EC053B">
              <w:rPr>
                <w:rStyle w:val="Hyperlink"/>
                <w:rFonts w:cs="Times New Roman"/>
                <w:noProof/>
              </w:rPr>
              <w:t>Corporate governance framework:</w:t>
            </w:r>
            <w:r>
              <w:rPr>
                <w:noProof/>
                <w:webHidden/>
              </w:rPr>
              <w:tab/>
            </w:r>
            <w:r>
              <w:rPr>
                <w:noProof/>
                <w:webHidden/>
              </w:rPr>
              <w:fldChar w:fldCharType="begin"/>
            </w:r>
            <w:r>
              <w:rPr>
                <w:noProof/>
                <w:webHidden/>
              </w:rPr>
              <w:instrText xml:space="preserve"> PAGEREF _Toc190255809 \h </w:instrText>
            </w:r>
            <w:r>
              <w:rPr>
                <w:noProof/>
                <w:webHidden/>
              </w:rPr>
            </w:r>
            <w:r>
              <w:rPr>
                <w:noProof/>
                <w:webHidden/>
              </w:rPr>
              <w:fldChar w:fldCharType="separate"/>
            </w:r>
            <w:r>
              <w:rPr>
                <w:noProof/>
                <w:webHidden/>
              </w:rPr>
              <w:t>4</w:t>
            </w:r>
            <w:r>
              <w:rPr>
                <w:noProof/>
                <w:webHidden/>
              </w:rPr>
              <w:fldChar w:fldCharType="end"/>
            </w:r>
          </w:hyperlink>
        </w:p>
        <w:p w14:paraId="6B4BC2CD" w14:textId="239C0395" w:rsidR="00486CE3" w:rsidRDefault="00486CE3" w:rsidP="00486CE3">
          <w:pPr>
            <w:pStyle w:val="TOC3"/>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0" w:history="1">
            <w:r w:rsidRPr="00EC053B">
              <w:rPr>
                <w:rStyle w:val="Hyperlink"/>
                <w:rFonts w:cs="Times New Roman"/>
                <w:noProof/>
              </w:rPr>
              <w:t>Agency theory implications:</w:t>
            </w:r>
            <w:r>
              <w:rPr>
                <w:noProof/>
                <w:webHidden/>
              </w:rPr>
              <w:tab/>
            </w:r>
            <w:r>
              <w:rPr>
                <w:noProof/>
                <w:webHidden/>
              </w:rPr>
              <w:fldChar w:fldCharType="begin"/>
            </w:r>
            <w:r>
              <w:rPr>
                <w:noProof/>
                <w:webHidden/>
              </w:rPr>
              <w:instrText xml:space="preserve"> PAGEREF _Toc190255810 \h </w:instrText>
            </w:r>
            <w:r>
              <w:rPr>
                <w:noProof/>
                <w:webHidden/>
              </w:rPr>
            </w:r>
            <w:r>
              <w:rPr>
                <w:noProof/>
                <w:webHidden/>
              </w:rPr>
              <w:fldChar w:fldCharType="separate"/>
            </w:r>
            <w:r>
              <w:rPr>
                <w:noProof/>
                <w:webHidden/>
              </w:rPr>
              <w:t>4</w:t>
            </w:r>
            <w:r>
              <w:rPr>
                <w:noProof/>
                <w:webHidden/>
              </w:rPr>
              <w:fldChar w:fldCharType="end"/>
            </w:r>
          </w:hyperlink>
        </w:p>
        <w:p w14:paraId="547D3479" w14:textId="56E7D046" w:rsidR="00486CE3" w:rsidRDefault="00486CE3" w:rsidP="00486CE3">
          <w:pPr>
            <w:pStyle w:val="TOC2"/>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1" w:history="1">
            <w:r w:rsidRPr="00EC053B">
              <w:rPr>
                <w:rStyle w:val="Hyperlink"/>
                <w:rFonts w:cs="Times New Roman"/>
                <w:noProof/>
              </w:rPr>
              <w:t>Strategic Control Mechanism:</w:t>
            </w:r>
            <w:r>
              <w:rPr>
                <w:noProof/>
                <w:webHidden/>
              </w:rPr>
              <w:tab/>
            </w:r>
            <w:r>
              <w:rPr>
                <w:noProof/>
                <w:webHidden/>
              </w:rPr>
              <w:fldChar w:fldCharType="begin"/>
            </w:r>
            <w:r>
              <w:rPr>
                <w:noProof/>
                <w:webHidden/>
              </w:rPr>
              <w:instrText xml:space="preserve"> PAGEREF _Toc190255811 \h </w:instrText>
            </w:r>
            <w:r>
              <w:rPr>
                <w:noProof/>
                <w:webHidden/>
              </w:rPr>
            </w:r>
            <w:r>
              <w:rPr>
                <w:noProof/>
                <w:webHidden/>
              </w:rPr>
              <w:fldChar w:fldCharType="separate"/>
            </w:r>
            <w:r>
              <w:rPr>
                <w:noProof/>
                <w:webHidden/>
              </w:rPr>
              <w:t>5</w:t>
            </w:r>
            <w:r>
              <w:rPr>
                <w:noProof/>
                <w:webHidden/>
              </w:rPr>
              <w:fldChar w:fldCharType="end"/>
            </w:r>
          </w:hyperlink>
        </w:p>
        <w:p w14:paraId="6252E57D" w14:textId="06959D75" w:rsidR="00486CE3" w:rsidRDefault="00486CE3" w:rsidP="00486CE3">
          <w:pPr>
            <w:pStyle w:val="TOC2"/>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2" w:history="1">
            <w:r w:rsidRPr="00EC053B">
              <w:rPr>
                <w:rStyle w:val="Hyperlink"/>
                <w:rFonts w:cs="Times New Roman"/>
                <w:noProof/>
              </w:rPr>
              <w:t>Director Compensation:</w:t>
            </w:r>
            <w:r>
              <w:rPr>
                <w:noProof/>
                <w:webHidden/>
              </w:rPr>
              <w:tab/>
            </w:r>
            <w:r>
              <w:rPr>
                <w:noProof/>
                <w:webHidden/>
              </w:rPr>
              <w:fldChar w:fldCharType="begin"/>
            </w:r>
            <w:r>
              <w:rPr>
                <w:noProof/>
                <w:webHidden/>
              </w:rPr>
              <w:instrText xml:space="preserve"> PAGEREF _Toc190255812 \h </w:instrText>
            </w:r>
            <w:r>
              <w:rPr>
                <w:noProof/>
                <w:webHidden/>
              </w:rPr>
            </w:r>
            <w:r>
              <w:rPr>
                <w:noProof/>
                <w:webHidden/>
              </w:rPr>
              <w:fldChar w:fldCharType="separate"/>
            </w:r>
            <w:r>
              <w:rPr>
                <w:noProof/>
                <w:webHidden/>
              </w:rPr>
              <w:t>6</w:t>
            </w:r>
            <w:r>
              <w:rPr>
                <w:noProof/>
                <w:webHidden/>
              </w:rPr>
              <w:fldChar w:fldCharType="end"/>
            </w:r>
          </w:hyperlink>
        </w:p>
        <w:p w14:paraId="213ADCF4" w14:textId="699617A0" w:rsidR="00486CE3" w:rsidRDefault="00486CE3" w:rsidP="00486CE3">
          <w:pPr>
            <w:pStyle w:val="TOC2"/>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3" w:history="1">
            <w:r w:rsidRPr="00EC053B">
              <w:rPr>
                <w:rStyle w:val="Hyperlink"/>
                <w:rFonts w:cs="Times New Roman"/>
                <w:noProof/>
              </w:rPr>
              <w:t>International Market expansion:</w:t>
            </w:r>
            <w:r>
              <w:rPr>
                <w:noProof/>
                <w:webHidden/>
              </w:rPr>
              <w:tab/>
            </w:r>
            <w:r>
              <w:rPr>
                <w:noProof/>
                <w:webHidden/>
              </w:rPr>
              <w:fldChar w:fldCharType="begin"/>
            </w:r>
            <w:r>
              <w:rPr>
                <w:noProof/>
                <w:webHidden/>
              </w:rPr>
              <w:instrText xml:space="preserve"> PAGEREF _Toc190255813 \h </w:instrText>
            </w:r>
            <w:r>
              <w:rPr>
                <w:noProof/>
                <w:webHidden/>
              </w:rPr>
            </w:r>
            <w:r>
              <w:rPr>
                <w:noProof/>
                <w:webHidden/>
              </w:rPr>
              <w:fldChar w:fldCharType="separate"/>
            </w:r>
            <w:r>
              <w:rPr>
                <w:noProof/>
                <w:webHidden/>
              </w:rPr>
              <w:t>6</w:t>
            </w:r>
            <w:r>
              <w:rPr>
                <w:noProof/>
                <w:webHidden/>
              </w:rPr>
              <w:fldChar w:fldCharType="end"/>
            </w:r>
          </w:hyperlink>
        </w:p>
        <w:p w14:paraId="6A3B4FBC" w14:textId="6FB46034" w:rsidR="00486CE3" w:rsidRDefault="00486CE3"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4" w:history="1">
            <w:r w:rsidRPr="00EC053B">
              <w:rPr>
                <w:rStyle w:val="Hyperlink"/>
                <w:rFonts w:cs="Times New Roman"/>
                <w:noProof/>
              </w:rPr>
              <w:t>Recommendations:</w:t>
            </w:r>
            <w:r>
              <w:rPr>
                <w:noProof/>
                <w:webHidden/>
              </w:rPr>
              <w:tab/>
            </w:r>
            <w:r>
              <w:rPr>
                <w:noProof/>
                <w:webHidden/>
              </w:rPr>
              <w:fldChar w:fldCharType="begin"/>
            </w:r>
            <w:r>
              <w:rPr>
                <w:noProof/>
                <w:webHidden/>
              </w:rPr>
              <w:instrText xml:space="preserve"> PAGEREF _Toc190255814 \h </w:instrText>
            </w:r>
            <w:r>
              <w:rPr>
                <w:noProof/>
                <w:webHidden/>
              </w:rPr>
            </w:r>
            <w:r>
              <w:rPr>
                <w:noProof/>
                <w:webHidden/>
              </w:rPr>
              <w:fldChar w:fldCharType="separate"/>
            </w:r>
            <w:r>
              <w:rPr>
                <w:noProof/>
                <w:webHidden/>
              </w:rPr>
              <w:t>7</w:t>
            </w:r>
            <w:r>
              <w:rPr>
                <w:noProof/>
                <w:webHidden/>
              </w:rPr>
              <w:fldChar w:fldCharType="end"/>
            </w:r>
          </w:hyperlink>
        </w:p>
        <w:p w14:paraId="006ECA00" w14:textId="10AAC78F" w:rsidR="00486CE3" w:rsidRDefault="00486CE3"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5" w:history="1">
            <w:r w:rsidRPr="00EC053B">
              <w:rPr>
                <w:rStyle w:val="Hyperlink"/>
                <w:rFonts w:cs="Times New Roman"/>
                <w:noProof/>
              </w:rPr>
              <w:t>Conclusion:</w:t>
            </w:r>
            <w:r>
              <w:rPr>
                <w:noProof/>
                <w:webHidden/>
              </w:rPr>
              <w:tab/>
            </w:r>
            <w:r>
              <w:rPr>
                <w:noProof/>
                <w:webHidden/>
              </w:rPr>
              <w:fldChar w:fldCharType="begin"/>
            </w:r>
            <w:r>
              <w:rPr>
                <w:noProof/>
                <w:webHidden/>
              </w:rPr>
              <w:instrText xml:space="preserve"> PAGEREF _Toc190255815 \h </w:instrText>
            </w:r>
            <w:r>
              <w:rPr>
                <w:noProof/>
                <w:webHidden/>
              </w:rPr>
            </w:r>
            <w:r>
              <w:rPr>
                <w:noProof/>
                <w:webHidden/>
              </w:rPr>
              <w:fldChar w:fldCharType="separate"/>
            </w:r>
            <w:r>
              <w:rPr>
                <w:noProof/>
                <w:webHidden/>
              </w:rPr>
              <w:t>7</w:t>
            </w:r>
            <w:r>
              <w:rPr>
                <w:noProof/>
                <w:webHidden/>
              </w:rPr>
              <w:fldChar w:fldCharType="end"/>
            </w:r>
          </w:hyperlink>
        </w:p>
        <w:p w14:paraId="3548084A" w14:textId="75A8DB15" w:rsidR="00486CE3" w:rsidRDefault="00486CE3" w:rsidP="00486CE3">
          <w:pPr>
            <w:pStyle w:val="TOC1"/>
            <w:tabs>
              <w:tab w:val="right" w:leader="dot" w:pos="9016"/>
            </w:tabs>
            <w:spacing w:after="0"/>
            <w:rPr>
              <w:rFonts w:asciiTheme="minorHAnsi" w:eastAsiaTheme="minorEastAsia" w:hAnsiTheme="minorHAnsi"/>
              <w:noProof/>
              <w:kern w:val="2"/>
              <w:szCs w:val="30"/>
              <w:lang w:eastAsia="zh-CN" w:bidi="bn-IN"/>
              <w14:ligatures w14:val="standardContextual"/>
            </w:rPr>
          </w:pPr>
          <w:hyperlink w:anchor="_Toc190255816" w:history="1">
            <w:r w:rsidRPr="00EC053B">
              <w:rPr>
                <w:rStyle w:val="Hyperlink"/>
                <w:rFonts w:cs="Times New Roman"/>
                <w:noProof/>
              </w:rPr>
              <w:t>References</w:t>
            </w:r>
            <w:r>
              <w:rPr>
                <w:noProof/>
                <w:webHidden/>
              </w:rPr>
              <w:tab/>
            </w:r>
            <w:r>
              <w:rPr>
                <w:noProof/>
                <w:webHidden/>
              </w:rPr>
              <w:fldChar w:fldCharType="begin"/>
            </w:r>
            <w:r>
              <w:rPr>
                <w:noProof/>
                <w:webHidden/>
              </w:rPr>
              <w:instrText xml:space="preserve"> PAGEREF _Toc190255816 \h </w:instrText>
            </w:r>
            <w:r>
              <w:rPr>
                <w:noProof/>
                <w:webHidden/>
              </w:rPr>
            </w:r>
            <w:r>
              <w:rPr>
                <w:noProof/>
                <w:webHidden/>
              </w:rPr>
              <w:fldChar w:fldCharType="separate"/>
            </w:r>
            <w:r>
              <w:rPr>
                <w:noProof/>
                <w:webHidden/>
              </w:rPr>
              <w:t>9</w:t>
            </w:r>
            <w:r>
              <w:rPr>
                <w:noProof/>
                <w:webHidden/>
              </w:rPr>
              <w:fldChar w:fldCharType="end"/>
            </w:r>
          </w:hyperlink>
        </w:p>
        <w:p w14:paraId="7D9517E4" w14:textId="2772D1C2" w:rsidR="00FA0A64" w:rsidRPr="00486CE3" w:rsidRDefault="00000000" w:rsidP="00486CE3">
          <w:pPr>
            <w:spacing w:after="0"/>
            <w:rPr>
              <w:rFonts w:cs="Times New Roman"/>
            </w:rPr>
          </w:pPr>
          <w:r w:rsidRPr="00486CE3">
            <w:rPr>
              <w:rFonts w:cs="Times New Roman"/>
              <w:b/>
              <w:bCs/>
              <w:noProof/>
            </w:rPr>
            <w:fldChar w:fldCharType="end"/>
          </w:r>
        </w:p>
      </w:sdtContent>
    </w:sdt>
    <w:p w14:paraId="0F6546CB" w14:textId="77777777" w:rsidR="00FA0A64" w:rsidRPr="00486CE3" w:rsidRDefault="00000000">
      <w:pPr>
        <w:spacing w:line="259" w:lineRule="auto"/>
        <w:jc w:val="left"/>
        <w:rPr>
          <w:rFonts w:cs="Times New Roman"/>
        </w:rPr>
      </w:pPr>
      <w:r w:rsidRPr="00486CE3">
        <w:rPr>
          <w:rFonts w:cs="Times New Roman"/>
        </w:rPr>
        <w:br w:type="page"/>
      </w:r>
    </w:p>
    <w:p w14:paraId="1EF66C01" w14:textId="77777777" w:rsidR="00FA0A64" w:rsidRPr="00486CE3" w:rsidRDefault="00000000" w:rsidP="00FA0A64">
      <w:pPr>
        <w:pStyle w:val="Heading1"/>
        <w:rPr>
          <w:rFonts w:cs="Times New Roman"/>
        </w:rPr>
      </w:pPr>
      <w:bookmarkStart w:id="0" w:name="_Toc190255805"/>
      <w:r w:rsidRPr="00486CE3">
        <w:rPr>
          <w:rFonts w:cs="Times New Roman"/>
        </w:rPr>
        <w:lastRenderedPageBreak/>
        <w:t>Executive summary:</w:t>
      </w:r>
      <w:bookmarkEnd w:id="0"/>
    </w:p>
    <w:p w14:paraId="3897772E" w14:textId="36AB68AF" w:rsidR="00FA0A64" w:rsidRPr="00486CE3" w:rsidRDefault="00000000" w:rsidP="00FA0A64">
      <w:pPr>
        <w:rPr>
          <w:rFonts w:cs="Times New Roman"/>
        </w:rPr>
      </w:pPr>
      <w:r w:rsidRPr="00486CE3">
        <w:rPr>
          <w:rFonts w:cs="Times New Roman"/>
        </w:rPr>
        <w:t>This report evaluates the strategic reasons behind the choice</w:t>
      </w:r>
      <w:r w:rsidRPr="00486CE3">
        <w:rPr>
          <w:rFonts w:cs="Times New Roman"/>
        </w:rPr>
        <w:t> </w:t>
      </w:r>
      <w:r w:rsidRPr="00486CE3">
        <w:rPr>
          <w:rFonts w:cs="Times New Roman"/>
        </w:rPr>
        <w:t xml:space="preserve"> of family-owned service company AIM listing, specifically market selection, control retention tactics and corporate governance practices. The main results indicate that dual-class shares and specific configurations of board composition can maintai</w:t>
      </w:r>
      <w:r w:rsidRPr="00486CE3">
        <w:rPr>
          <w:rFonts w:cs="Times New Roman"/>
        </w:rPr>
        <w:t> </w:t>
      </w:r>
      <w:r w:rsidRPr="00486CE3">
        <w:rPr>
          <w:rFonts w:cs="Times New Roman"/>
        </w:rPr>
        <w:t>n effective control when ownership is reduced to 30%. The aim is to go for</w:t>
      </w:r>
      <w:r w:rsidRPr="00486CE3">
        <w:rPr>
          <w:rFonts w:cs="Times New Roman"/>
        </w:rPr>
        <w:t> </w:t>
      </w:r>
      <w:r w:rsidRPr="00486CE3">
        <w:rPr>
          <w:rFonts w:cs="Times New Roman"/>
        </w:rPr>
        <w:t xml:space="preserve"> an AIM listing rather than Shanghai or Netherlands, have a seven-member board and create independent committees on audit and compensation. The proposed pay structure aligns</w:t>
      </w:r>
      <w:r w:rsidRPr="00486CE3">
        <w:rPr>
          <w:rFonts w:cs="Times New Roman"/>
        </w:rPr>
        <w:t> </w:t>
      </w:r>
      <w:r w:rsidRPr="00486CE3">
        <w:rPr>
          <w:rFonts w:cs="Times New Roman"/>
        </w:rPr>
        <w:t xml:space="preserve"> management interests with all shareholders through fixed and incentive compensation, while the proposed governance structure represents a compromise between prevailing market demands and family control.</w:t>
      </w:r>
    </w:p>
    <w:p w14:paraId="5C6E4352" w14:textId="54D232DF" w:rsidR="00FA0A64" w:rsidRPr="00486CE3" w:rsidRDefault="00000000">
      <w:pPr>
        <w:spacing w:line="259" w:lineRule="auto"/>
        <w:jc w:val="left"/>
        <w:rPr>
          <w:rFonts w:eastAsiaTheme="majorEastAsia" w:cs="Times New Roman"/>
          <w:b/>
          <w:sz w:val="28"/>
          <w:szCs w:val="40"/>
          <w:lang w:eastAsia="zh-CN"/>
        </w:rPr>
      </w:pPr>
      <w:r w:rsidRPr="00486CE3">
        <w:rPr>
          <w:rFonts w:cs="Times New Roman"/>
        </w:rPr>
        <w:br w:type="page"/>
      </w:r>
    </w:p>
    <w:p w14:paraId="3A47AB0D" w14:textId="4161B51F" w:rsidR="007924E8" w:rsidRPr="00486CE3" w:rsidRDefault="00000000" w:rsidP="007D1AEA">
      <w:pPr>
        <w:pStyle w:val="Heading1"/>
        <w:rPr>
          <w:rFonts w:cs="Times New Roman"/>
        </w:rPr>
      </w:pPr>
      <w:bookmarkStart w:id="1" w:name="_Toc190255806"/>
      <w:r w:rsidRPr="00486CE3">
        <w:rPr>
          <w:rFonts w:cs="Times New Roman"/>
        </w:rPr>
        <w:lastRenderedPageBreak/>
        <w:t>Introduction:</w:t>
      </w:r>
      <w:bookmarkEnd w:id="1"/>
    </w:p>
    <w:p w14:paraId="507B6D67" w14:textId="384298BC" w:rsidR="007D1AEA" w:rsidRPr="00486CE3" w:rsidRDefault="00000000" w:rsidP="007D1AEA">
      <w:pPr>
        <w:spacing w:after="0"/>
        <w:rPr>
          <w:rFonts w:cs="Times New Roman"/>
          <w:szCs w:val="20"/>
        </w:rPr>
      </w:pPr>
      <w:r w:rsidRPr="00486CE3">
        <w:rPr>
          <w:rFonts w:cs="Times New Roman"/>
          <w:szCs w:val="20"/>
        </w:rPr>
        <w:t>This report identifies a move to the Alternative Investment Market (AIM) by a</w:t>
      </w:r>
      <w:r w:rsidRPr="00486CE3">
        <w:rPr>
          <w:rFonts w:cs="Times New Roman"/>
          <w:szCs w:val="20"/>
        </w:rPr>
        <w:t> </w:t>
      </w:r>
      <w:r w:rsidRPr="00486CE3">
        <w:rPr>
          <w:rFonts w:cs="Times New Roman"/>
          <w:szCs w:val="20"/>
        </w:rPr>
        <w:t xml:space="preserve"> family-controlled service business. Four siblings now equally share ownership of the company, each owning 25% and serving as a</w:t>
      </w:r>
      <w:r w:rsidRPr="00486CE3">
        <w:rPr>
          <w:rFonts w:cs="Times New Roman"/>
          <w:szCs w:val="20"/>
        </w:rPr>
        <w:t> </w:t>
      </w:r>
      <w:r w:rsidRPr="00486CE3">
        <w:rPr>
          <w:rFonts w:cs="Times New Roman"/>
          <w:szCs w:val="20"/>
        </w:rPr>
        <w:t xml:space="preserve"> director. The AIM offering would bring family ownership down to 30%, and the other 70% share will be bought by</w:t>
      </w:r>
      <w:r w:rsidRPr="00486CE3">
        <w:rPr>
          <w:rFonts w:cs="Times New Roman"/>
          <w:szCs w:val="20"/>
        </w:rPr>
        <w:t> </w:t>
      </w:r>
      <w:r w:rsidRPr="00486CE3">
        <w:rPr>
          <w:rFonts w:cs="Times New Roman"/>
          <w:szCs w:val="20"/>
        </w:rPr>
        <w:t xml:space="preserve"> external shareholders</w:t>
      </w:r>
      <w:r w:rsidR="00A33C3A" w:rsidRPr="00486CE3">
        <w:rPr>
          <w:rFonts w:cs="Times New Roman"/>
        </w:rPr>
        <w:t xml:space="preserve"> </w:t>
      </w:r>
      <w:r w:rsidR="00A33C3A" w:rsidRPr="00486CE3">
        <w:rPr>
          <w:rFonts w:cs="Times New Roman"/>
          <w:szCs w:val="20"/>
        </w:rPr>
        <w:t>(Hornok, 2024)</w:t>
      </w:r>
      <w:r w:rsidRPr="00486CE3">
        <w:rPr>
          <w:rFonts w:cs="Times New Roman"/>
          <w:szCs w:val="20"/>
        </w:rPr>
        <w:t>. This transition needs to be deliberate and give due consideration to corporate governance, agency relationships, and</w:t>
      </w:r>
      <w:r w:rsidRPr="00486CE3">
        <w:rPr>
          <w:rFonts w:cs="Times New Roman"/>
          <w:szCs w:val="20"/>
        </w:rPr>
        <w:t> </w:t>
      </w:r>
      <w:r w:rsidRPr="00486CE3">
        <w:rPr>
          <w:rFonts w:cs="Times New Roman"/>
          <w:szCs w:val="20"/>
        </w:rPr>
        <w:t xml:space="preserve"> control systems. To help companies navigate through relevant regulatory requirements, the report seeks to provide extensive insights on maintaining strategic control post-list, establishing appropriate director</w:t>
      </w:r>
      <w:r w:rsidRPr="00486CE3">
        <w:rPr>
          <w:rFonts w:cs="Times New Roman"/>
          <w:szCs w:val="20"/>
        </w:rPr>
        <w:t> </w:t>
      </w:r>
      <w:r w:rsidRPr="00486CE3">
        <w:rPr>
          <w:rFonts w:cs="Times New Roman"/>
          <w:szCs w:val="20"/>
        </w:rPr>
        <w:t xml:space="preserve"> remuneration structures, and exploring other potential listing locations in Shanghai or the Netherlands.</w:t>
      </w:r>
    </w:p>
    <w:p w14:paraId="519C103A" w14:textId="35FA8E2D" w:rsidR="007D1AEA" w:rsidRPr="00486CE3" w:rsidRDefault="00000000" w:rsidP="007D1AEA">
      <w:pPr>
        <w:pStyle w:val="Heading1"/>
        <w:rPr>
          <w:rFonts w:cs="Times New Roman"/>
        </w:rPr>
      </w:pPr>
      <w:bookmarkStart w:id="2" w:name="_Toc190255807"/>
      <w:r w:rsidRPr="00486CE3">
        <w:rPr>
          <w:rFonts w:cs="Times New Roman"/>
        </w:rPr>
        <w:t>Discussion of the findings:</w:t>
      </w:r>
      <w:bookmarkEnd w:id="2"/>
    </w:p>
    <w:p w14:paraId="286B97F2" w14:textId="798F0DE3" w:rsidR="007D1AEA" w:rsidRPr="00486CE3" w:rsidRDefault="00000000" w:rsidP="007D1AEA">
      <w:pPr>
        <w:pStyle w:val="Heading2"/>
        <w:rPr>
          <w:rFonts w:cs="Times New Roman"/>
        </w:rPr>
      </w:pPr>
      <w:bookmarkStart w:id="3" w:name="_Toc190255808"/>
      <w:r w:rsidRPr="00486CE3">
        <w:rPr>
          <w:rFonts w:cs="Times New Roman"/>
        </w:rPr>
        <w:t>Corporate governance and agency theory:</w:t>
      </w:r>
      <w:bookmarkEnd w:id="3"/>
    </w:p>
    <w:p w14:paraId="78F950AA" w14:textId="5A8BE3DA" w:rsidR="007D1AEA" w:rsidRPr="00486CE3" w:rsidRDefault="00000000" w:rsidP="007D1AEA">
      <w:pPr>
        <w:pStyle w:val="Heading3"/>
        <w:spacing w:before="0"/>
        <w:rPr>
          <w:rFonts w:cs="Times New Roman"/>
        </w:rPr>
      </w:pPr>
      <w:bookmarkStart w:id="4" w:name="_Toc190255809"/>
      <w:r w:rsidRPr="00486CE3">
        <w:rPr>
          <w:rFonts w:cs="Times New Roman"/>
        </w:rPr>
        <w:t>Corporate governance framework:</w:t>
      </w:r>
      <w:bookmarkEnd w:id="4"/>
    </w:p>
    <w:p w14:paraId="3C960F93" w14:textId="75ACB646" w:rsidR="00465730" w:rsidRPr="00486CE3" w:rsidRDefault="00000000" w:rsidP="00392E5E">
      <w:pPr>
        <w:spacing w:after="0"/>
        <w:rPr>
          <w:rFonts w:cs="Times New Roman"/>
          <w:lang w:eastAsia="zh-CN"/>
        </w:rPr>
      </w:pPr>
      <w:r w:rsidRPr="00486CE3">
        <w:rPr>
          <w:rFonts w:cs="Times New Roman"/>
          <w:b/>
          <w:bCs/>
          <w:lang w:eastAsia="zh-CN"/>
        </w:rPr>
        <w:t>Corporate governance</w:t>
      </w:r>
      <w:r w:rsidRPr="00486CE3">
        <w:rPr>
          <w:rFonts w:cs="Times New Roman"/>
          <w:lang w:eastAsia="zh-CN"/>
        </w:rPr>
        <w:t xml:space="preserve"> is a </w:t>
      </w:r>
      <w:r w:rsidRPr="00486CE3">
        <w:rPr>
          <w:rFonts w:cs="Times New Roman"/>
          <w:lang w:eastAsia="zh-CN"/>
        </w:rPr>
        <w:t> </w:t>
      </w:r>
      <w:r w:rsidRPr="00486CE3">
        <w:rPr>
          <w:rFonts w:cs="Times New Roman"/>
          <w:lang w:eastAsia="zh-CN"/>
        </w:rPr>
        <w:t>system of policies, procedures, and guidelines for running a business</w:t>
      </w:r>
      <w:r w:rsidR="00594CA1" w:rsidRPr="00486CE3">
        <w:rPr>
          <w:rFonts w:cs="Times New Roman"/>
        </w:rPr>
        <w:t xml:space="preserve"> </w:t>
      </w:r>
      <w:r w:rsidR="00594CA1" w:rsidRPr="00486CE3">
        <w:rPr>
          <w:rFonts w:cs="Times New Roman"/>
          <w:lang w:eastAsia="zh-CN"/>
        </w:rPr>
        <w:t>(Mallin, 2022)</w:t>
      </w:r>
      <w:r w:rsidRPr="00486CE3">
        <w:rPr>
          <w:rFonts w:cs="Times New Roman"/>
          <w:lang w:eastAsia="zh-CN"/>
        </w:rPr>
        <w:t>. For AIM-listed companies, effective governance</w:t>
      </w:r>
      <w:r w:rsidRPr="00486CE3">
        <w:rPr>
          <w:rFonts w:cs="Times New Roman"/>
          <w:lang w:eastAsia="zh-CN"/>
        </w:rPr>
        <w:t> </w:t>
      </w:r>
      <w:r w:rsidRPr="00486CE3">
        <w:rPr>
          <w:rFonts w:cs="Times New Roman"/>
          <w:lang w:eastAsia="zh-CN"/>
        </w:rPr>
        <w:t xml:space="preserve"> ensures that board/shareholder/management/other-stakeholder interactions are open, fair, and accountable. </w:t>
      </w:r>
    </w:p>
    <w:p w14:paraId="65EAA022" w14:textId="493620D3" w:rsidR="00392E5E" w:rsidRPr="00486CE3" w:rsidRDefault="00000000" w:rsidP="00392E5E">
      <w:pPr>
        <w:spacing w:after="0"/>
        <w:rPr>
          <w:rFonts w:cs="Times New Roman"/>
          <w:lang w:eastAsia="zh-CN"/>
        </w:rPr>
      </w:pPr>
      <w:r w:rsidRPr="00486CE3">
        <w:rPr>
          <w:rFonts w:cs="Times New Roman"/>
          <w:lang w:eastAsia="zh-CN"/>
        </w:rPr>
        <w:t>As the public markets operate differently, businesses need to adjust their governance structure to meet their relevant public market needs without impeding business functionality.</w:t>
      </w:r>
    </w:p>
    <w:p w14:paraId="750E188E" w14:textId="3FB1A420" w:rsidR="00392E5E" w:rsidRPr="00486CE3" w:rsidRDefault="00000000" w:rsidP="00392E5E">
      <w:pPr>
        <w:spacing w:after="0"/>
        <w:rPr>
          <w:rFonts w:cs="Times New Roman"/>
          <w:lang w:eastAsia="zh-CN"/>
        </w:rPr>
      </w:pPr>
      <w:r w:rsidRPr="00486CE3">
        <w:rPr>
          <w:rFonts w:cs="Times New Roman"/>
          <w:lang w:eastAsia="zh-CN"/>
        </w:rPr>
        <w:t>AIM firms must</w:t>
      </w:r>
      <w:r w:rsidRPr="00486CE3">
        <w:rPr>
          <w:rFonts w:cs="Times New Roman"/>
          <w:lang w:eastAsia="zh-CN"/>
        </w:rPr>
        <w:t> </w:t>
      </w:r>
      <w:r w:rsidRPr="00486CE3">
        <w:rPr>
          <w:rFonts w:cs="Times New Roman"/>
          <w:lang w:eastAsia="zh-CN"/>
        </w:rPr>
        <w:t xml:space="preserve"> comply with the QCA Corporate Governance Code or explain any deviations</w:t>
      </w:r>
      <w:r w:rsidR="00594CA1" w:rsidRPr="00486CE3">
        <w:rPr>
          <w:rFonts w:cs="Times New Roman"/>
        </w:rPr>
        <w:t xml:space="preserve"> </w:t>
      </w:r>
      <w:r w:rsidR="00594CA1" w:rsidRPr="00486CE3">
        <w:rPr>
          <w:rFonts w:cs="Times New Roman"/>
          <w:lang w:eastAsia="zh-CN"/>
        </w:rPr>
        <w:t>(Cromme, 2024)</w:t>
      </w:r>
      <w:r w:rsidRPr="00486CE3">
        <w:rPr>
          <w:rFonts w:cs="Times New Roman"/>
          <w:lang w:eastAsia="zh-CN"/>
        </w:rPr>
        <w:t>. However, at least two independent non-executive</w:t>
      </w:r>
      <w:r w:rsidRPr="00486CE3">
        <w:rPr>
          <w:rFonts w:cs="Times New Roman"/>
          <w:lang w:eastAsia="zh-CN"/>
        </w:rPr>
        <w:t> </w:t>
      </w:r>
      <w:r w:rsidRPr="00486CE3">
        <w:rPr>
          <w:rFonts w:cs="Times New Roman"/>
          <w:lang w:eastAsia="zh-CN"/>
        </w:rPr>
        <w:t xml:space="preserve"> directors need to be appointed, audits and compensation committees must be formed, and efficient internal controls should be maintained. </w:t>
      </w:r>
    </w:p>
    <w:p w14:paraId="77C0AA6F" w14:textId="0F39768B" w:rsidR="007D1AEA" w:rsidRPr="00486CE3" w:rsidRDefault="00000000" w:rsidP="00392E5E">
      <w:pPr>
        <w:spacing w:after="0"/>
        <w:rPr>
          <w:rFonts w:cs="Times New Roman"/>
          <w:lang w:eastAsia="zh-CN"/>
        </w:rPr>
      </w:pPr>
      <w:r w:rsidRPr="00486CE3">
        <w:rPr>
          <w:rFonts w:cs="Times New Roman"/>
          <w:lang w:eastAsia="zh-CN"/>
        </w:rPr>
        <w:t>Among them is a balanced board comprising both independent/non-executive and executive directors,</w:t>
      </w:r>
      <w:r w:rsidRPr="00486CE3">
        <w:rPr>
          <w:rFonts w:cs="Times New Roman"/>
          <w:lang w:eastAsia="zh-CN"/>
        </w:rPr>
        <w:t> </w:t>
      </w:r>
      <w:r w:rsidRPr="00486CE3">
        <w:rPr>
          <w:rFonts w:cs="Times New Roman"/>
          <w:lang w:eastAsia="zh-CN"/>
        </w:rPr>
        <w:t xml:space="preserve"> supported by audit, compensation, and nominating committees. The governance framework for a company's transition is critical. The company must establish clear</w:t>
      </w:r>
      <w:r w:rsidRPr="00486CE3">
        <w:rPr>
          <w:rFonts w:cs="Times New Roman"/>
          <w:lang w:eastAsia="zh-CN"/>
        </w:rPr>
        <w:t> </w:t>
      </w:r>
      <w:r w:rsidRPr="00486CE3">
        <w:rPr>
          <w:rFonts w:cs="Times New Roman"/>
          <w:lang w:eastAsia="zh-CN"/>
        </w:rPr>
        <w:t xml:space="preserve"> reporting lines, decision-making procedures, risk management systems and channels for communicating with shareholders. Codification of ethics and compliance</w:t>
      </w:r>
      <w:r w:rsidRPr="00486CE3">
        <w:rPr>
          <w:rFonts w:cs="Times New Roman"/>
          <w:lang w:eastAsia="zh-CN"/>
        </w:rPr>
        <w:t> </w:t>
      </w:r>
      <w:r w:rsidRPr="00486CE3">
        <w:rPr>
          <w:rFonts w:cs="Times New Roman"/>
          <w:lang w:eastAsia="zh-CN"/>
        </w:rPr>
        <w:t xml:space="preserve"> policies Such arrangements ensure that the business meets the regulatory and investor expectations of</w:t>
      </w:r>
      <w:r w:rsidRPr="00486CE3">
        <w:rPr>
          <w:rFonts w:cs="Times New Roman"/>
          <w:lang w:eastAsia="zh-CN"/>
        </w:rPr>
        <w:t> </w:t>
      </w:r>
      <w:r w:rsidRPr="00486CE3">
        <w:rPr>
          <w:rFonts w:cs="Times New Roman"/>
          <w:lang w:eastAsia="zh-CN"/>
        </w:rPr>
        <w:t xml:space="preserve"> AIM but represent a significant change from the current family-based management structure</w:t>
      </w:r>
      <w:r w:rsidR="009C5DD1" w:rsidRPr="00486CE3">
        <w:rPr>
          <w:rFonts w:cs="Times New Roman"/>
        </w:rPr>
        <w:t xml:space="preserve"> </w:t>
      </w:r>
      <w:r w:rsidR="009C5DD1" w:rsidRPr="00486CE3">
        <w:rPr>
          <w:rFonts w:cs="Times New Roman"/>
          <w:lang w:eastAsia="zh-CN"/>
        </w:rPr>
        <w:t>(Kernaghan, 2023)</w:t>
      </w:r>
      <w:r w:rsidRPr="00486CE3">
        <w:rPr>
          <w:rFonts w:cs="Times New Roman"/>
          <w:lang w:eastAsia="zh-CN"/>
        </w:rPr>
        <w:t xml:space="preserve">. </w:t>
      </w:r>
    </w:p>
    <w:p w14:paraId="118279D6" w14:textId="2B824B97" w:rsidR="007D1AEA" w:rsidRPr="00486CE3" w:rsidRDefault="00000000" w:rsidP="007D1AEA">
      <w:pPr>
        <w:pStyle w:val="Heading3"/>
        <w:spacing w:before="0"/>
        <w:rPr>
          <w:rFonts w:cs="Times New Roman"/>
        </w:rPr>
      </w:pPr>
      <w:bookmarkStart w:id="5" w:name="_Toc190255810"/>
      <w:r w:rsidRPr="00486CE3">
        <w:rPr>
          <w:rFonts w:cs="Times New Roman"/>
        </w:rPr>
        <w:t>Agency theory implications:</w:t>
      </w:r>
      <w:bookmarkEnd w:id="5"/>
    </w:p>
    <w:p w14:paraId="5011F864" w14:textId="4AE97A19" w:rsidR="00465730" w:rsidRPr="00486CE3" w:rsidRDefault="00000000" w:rsidP="00465730">
      <w:pPr>
        <w:spacing w:after="0"/>
        <w:rPr>
          <w:rFonts w:cs="Times New Roman"/>
          <w:lang w:eastAsia="zh-CN"/>
        </w:rPr>
      </w:pPr>
      <w:r w:rsidRPr="00486CE3">
        <w:rPr>
          <w:rFonts w:cs="Times New Roman"/>
          <w:lang w:eastAsia="zh-CN"/>
        </w:rPr>
        <w:t>Agency theory analyses the</w:t>
      </w:r>
      <w:r w:rsidRPr="00486CE3">
        <w:rPr>
          <w:rFonts w:cs="Times New Roman"/>
          <w:lang w:eastAsia="zh-CN"/>
        </w:rPr>
        <w:t> </w:t>
      </w:r>
      <w:r w:rsidRPr="00486CE3">
        <w:rPr>
          <w:rFonts w:cs="Times New Roman"/>
          <w:lang w:eastAsia="zh-CN"/>
        </w:rPr>
        <w:t xml:space="preserve"> relationship between principles (shareholders) and agents (management) and highlights the potential conflicts that may arise when an ownership–control divide exists</w:t>
      </w:r>
      <w:r w:rsidR="009C5DD1" w:rsidRPr="00486CE3">
        <w:rPr>
          <w:rFonts w:cs="Times New Roman"/>
        </w:rPr>
        <w:t xml:space="preserve"> </w:t>
      </w:r>
      <w:r w:rsidR="009C5DD1" w:rsidRPr="00486CE3">
        <w:rPr>
          <w:rFonts w:cs="Times New Roman"/>
          <w:lang w:eastAsia="zh-CN"/>
        </w:rPr>
        <w:t>(French, 2022)</w:t>
      </w:r>
      <w:r w:rsidRPr="00486CE3">
        <w:rPr>
          <w:rFonts w:cs="Times New Roman"/>
          <w:lang w:eastAsia="zh-CN"/>
        </w:rPr>
        <w:t>. While</w:t>
      </w:r>
      <w:r w:rsidRPr="00486CE3">
        <w:rPr>
          <w:rFonts w:cs="Times New Roman"/>
          <w:lang w:eastAsia="zh-CN"/>
        </w:rPr>
        <w:t> </w:t>
      </w:r>
      <w:r w:rsidRPr="00486CE3">
        <w:rPr>
          <w:rFonts w:cs="Times New Roman"/>
          <w:lang w:eastAsia="zh-CN"/>
        </w:rPr>
        <w:t xml:space="preserve"> publicly traded corporations have managers (agents) who </w:t>
      </w:r>
      <w:r w:rsidRPr="00486CE3">
        <w:rPr>
          <w:rFonts w:cs="Times New Roman"/>
          <w:lang w:eastAsia="zh-CN"/>
        </w:rPr>
        <w:lastRenderedPageBreak/>
        <w:t>act on behalf of the owners/shareholders (principals), these groups do not always share interests, so agency costs are possible. Because this family firm is</w:t>
      </w:r>
      <w:r w:rsidRPr="00486CE3">
        <w:rPr>
          <w:rFonts w:cs="Times New Roman"/>
          <w:lang w:eastAsia="zh-CN"/>
        </w:rPr>
        <w:t> </w:t>
      </w:r>
      <w:r w:rsidRPr="00486CE3">
        <w:rPr>
          <w:rFonts w:cs="Times New Roman"/>
          <w:lang w:eastAsia="zh-CN"/>
        </w:rPr>
        <w:t xml:space="preserve"> going public, it is not very easy even further because the family directors will need to balance their interests with those of the new external investors.</w:t>
      </w:r>
    </w:p>
    <w:p w14:paraId="5C72E938" w14:textId="20E3EABC" w:rsidR="00465730" w:rsidRPr="00486CE3" w:rsidRDefault="00000000" w:rsidP="00465730">
      <w:pPr>
        <w:spacing w:after="0"/>
        <w:rPr>
          <w:rFonts w:cs="Times New Roman"/>
          <w:lang w:eastAsia="zh-CN"/>
        </w:rPr>
      </w:pPr>
      <w:r w:rsidRPr="00486CE3">
        <w:rPr>
          <w:rFonts w:cs="Times New Roman"/>
          <w:lang w:eastAsia="zh-CN"/>
        </w:rPr>
        <w:t xml:space="preserve">In family businesses, </w:t>
      </w:r>
      <w:r w:rsidRPr="00486CE3">
        <w:rPr>
          <w:rFonts w:cs="Times New Roman"/>
          <w:lang w:eastAsia="zh-CN"/>
        </w:rPr>
        <w:t> </w:t>
      </w:r>
      <w:r w:rsidRPr="00486CE3">
        <w:rPr>
          <w:rFonts w:cs="Times New Roman"/>
          <w:lang w:eastAsia="zh-CN"/>
        </w:rPr>
        <w:t>the principal-agent relationship presents specific hardships. The four brothers, as owner-managers, now thoroughly align ownership and control, thus minimizing agency conflicts between owners and</w:t>
      </w:r>
      <w:r w:rsidRPr="00486CE3">
        <w:rPr>
          <w:rFonts w:cs="Times New Roman"/>
          <w:lang w:eastAsia="zh-CN"/>
        </w:rPr>
        <w:t> </w:t>
      </w:r>
      <w:r w:rsidRPr="00486CE3">
        <w:rPr>
          <w:rFonts w:cs="Times New Roman"/>
          <w:lang w:eastAsia="zh-CN"/>
        </w:rPr>
        <w:t xml:space="preserve"> managers. This change to public ownership does not necessarily reduce family</w:t>
      </w:r>
      <w:r w:rsidRPr="00486CE3">
        <w:rPr>
          <w:rFonts w:cs="Times New Roman"/>
          <w:lang w:eastAsia="zh-CN"/>
        </w:rPr>
        <w:t> </w:t>
      </w:r>
      <w:r w:rsidRPr="00486CE3">
        <w:rPr>
          <w:rFonts w:cs="Times New Roman"/>
          <w:lang w:eastAsia="zh-CN"/>
        </w:rPr>
        <w:t xml:space="preserve"> shareholding to 30%, which, in turn, may produce diverging interests between external shareholders and family directors.</w:t>
      </w:r>
    </w:p>
    <w:p w14:paraId="3F6A01D4" w14:textId="0172B211" w:rsidR="00465730" w:rsidRPr="00486CE3" w:rsidRDefault="00000000" w:rsidP="00465730">
      <w:pPr>
        <w:spacing w:after="0"/>
        <w:rPr>
          <w:rFonts w:cs="Times New Roman"/>
          <w:lang w:eastAsia="zh-CN"/>
        </w:rPr>
      </w:pPr>
      <w:r w:rsidRPr="00486CE3">
        <w:rPr>
          <w:rFonts w:cs="Times New Roman"/>
          <w:lang w:eastAsia="zh-CN"/>
        </w:rPr>
        <w:t>The process of decision-making</w:t>
      </w:r>
      <w:r w:rsidRPr="00486CE3">
        <w:rPr>
          <w:rFonts w:cs="Times New Roman"/>
          <w:lang w:eastAsia="zh-CN"/>
        </w:rPr>
        <w:t> </w:t>
      </w:r>
      <w:r w:rsidRPr="00486CE3">
        <w:rPr>
          <w:rFonts w:cs="Times New Roman"/>
          <w:lang w:eastAsia="zh-CN"/>
        </w:rPr>
        <w:t xml:space="preserve"> should be transparent; non-executive directors should exercise strong and independent oversight; a clear dividend policy should reduce retained earnings conflicts; and suitable anti-takeover measures should protect shareholders, amongst other measures, to lessen this conflict. Management-engagement efforts and performance-based remuneration schemes are consistent with the best interests of all</w:t>
      </w:r>
      <w:r w:rsidRPr="00486CE3">
        <w:rPr>
          <w:rFonts w:cs="Times New Roman"/>
          <w:lang w:eastAsia="zh-CN"/>
        </w:rPr>
        <w:t> </w:t>
      </w:r>
      <w:r w:rsidRPr="00486CE3">
        <w:rPr>
          <w:rFonts w:cs="Times New Roman"/>
          <w:lang w:eastAsia="zh-CN"/>
        </w:rPr>
        <w:t xml:space="preserve"> shareholders and will also contribute to trust building and lower agency costs</w:t>
      </w:r>
      <w:r w:rsidR="009C5DD1" w:rsidRPr="00486CE3">
        <w:rPr>
          <w:rFonts w:cs="Times New Roman"/>
        </w:rPr>
        <w:t xml:space="preserve"> </w:t>
      </w:r>
      <w:r w:rsidR="009C5DD1" w:rsidRPr="00486CE3">
        <w:rPr>
          <w:rFonts w:cs="Times New Roman"/>
          <w:lang w:eastAsia="zh-CN"/>
        </w:rPr>
        <w:t>(Gruman, 2022)</w:t>
      </w:r>
      <w:r w:rsidRPr="00486CE3">
        <w:rPr>
          <w:rFonts w:cs="Times New Roman"/>
          <w:lang w:eastAsia="zh-CN"/>
        </w:rPr>
        <w:t>.</w:t>
      </w:r>
    </w:p>
    <w:p w14:paraId="18C34B20" w14:textId="74DB744E" w:rsidR="00465730" w:rsidRPr="00486CE3" w:rsidRDefault="00000000" w:rsidP="00465730">
      <w:pPr>
        <w:pStyle w:val="Heading2"/>
        <w:rPr>
          <w:rFonts w:cs="Times New Roman"/>
        </w:rPr>
      </w:pPr>
      <w:bookmarkStart w:id="6" w:name="_Toc190255811"/>
      <w:r w:rsidRPr="00486CE3">
        <w:rPr>
          <w:rFonts w:cs="Times New Roman"/>
        </w:rPr>
        <w:t>Strategic Control Mechanism:</w:t>
      </w:r>
      <w:bookmarkEnd w:id="6"/>
      <w:r w:rsidRPr="00486CE3">
        <w:rPr>
          <w:rFonts w:cs="Times New Roman"/>
        </w:rPr>
        <w:t xml:space="preserve"> </w:t>
      </w:r>
    </w:p>
    <w:p w14:paraId="0F90DBD8" w14:textId="16487211" w:rsidR="007019E2" w:rsidRPr="00486CE3" w:rsidRDefault="00000000" w:rsidP="007019E2">
      <w:pPr>
        <w:spacing w:after="0"/>
        <w:rPr>
          <w:rFonts w:cs="Times New Roman"/>
          <w:lang w:eastAsia="zh-CN"/>
        </w:rPr>
      </w:pPr>
      <w:r w:rsidRPr="00486CE3">
        <w:rPr>
          <w:rFonts w:cs="Times New Roman"/>
          <w:lang w:eastAsia="zh-CN"/>
        </w:rPr>
        <w:t>Several preparatory measures</w:t>
      </w:r>
      <w:r w:rsidRPr="00486CE3">
        <w:rPr>
          <w:rFonts w:cs="Times New Roman"/>
          <w:lang w:eastAsia="zh-CN"/>
        </w:rPr>
        <w:t> </w:t>
      </w:r>
      <w:r w:rsidRPr="00486CE3">
        <w:rPr>
          <w:rFonts w:cs="Times New Roman"/>
          <w:lang w:eastAsia="zh-CN"/>
        </w:rPr>
        <w:t xml:space="preserve"> may be implemented to maintain adequate control of the company's operating and strategic direction even when the ownership is decreased to 30%. The primary way this gets accomplished is through the creation of a dual-class share structure whereby the family is granted far greater voting rights with their shares than those given to</w:t>
      </w:r>
      <w:r w:rsidRPr="00486CE3">
        <w:rPr>
          <w:rFonts w:cs="Times New Roman"/>
          <w:lang w:eastAsia="zh-CN"/>
        </w:rPr>
        <w:t> </w:t>
      </w:r>
      <w:r w:rsidRPr="00486CE3">
        <w:rPr>
          <w:rFonts w:cs="Times New Roman"/>
          <w:lang w:eastAsia="zh-CN"/>
        </w:rPr>
        <w:t xml:space="preserve"> the general investing public</w:t>
      </w:r>
      <w:r w:rsidR="009C5DD1" w:rsidRPr="00486CE3">
        <w:rPr>
          <w:rFonts w:cs="Times New Roman"/>
        </w:rPr>
        <w:t xml:space="preserve"> </w:t>
      </w:r>
      <w:r w:rsidR="009C5DD1" w:rsidRPr="00486CE3">
        <w:rPr>
          <w:rFonts w:cs="Times New Roman"/>
          <w:lang w:eastAsia="zh-CN"/>
        </w:rPr>
        <w:t>(Baran, 2022)</w:t>
      </w:r>
      <w:r w:rsidRPr="00486CE3">
        <w:rPr>
          <w:rFonts w:cs="Times New Roman"/>
          <w:lang w:eastAsia="zh-CN"/>
        </w:rPr>
        <w:t>. They will effectively retain market cap and economic rights in line with actual shareholding</w:t>
      </w:r>
      <w:r w:rsidRPr="00486CE3">
        <w:rPr>
          <w:rFonts w:cs="Times New Roman"/>
          <w:lang w:eastAsia="zh-CN"/>
        </w:rPr>
        <w:t> </w:t>
      </w:r>
      <w:r w:rsidRPr="00486CE3">
        <w:rPr>
          <w:rFonts w:cs="Times New Roman"/>
          <w:lang w:eastAsia="zh-CN"/>
        </w:rPr>
        <w:t>. However, under this arrangement, the family can still maintain majority voting power over all but the most strategic decisions.</w:t>
      </w:r>
    </w:p>
    <w:p w14:paraId="434E97F4" w14:textId="201AB5FC" w:rsidR="007019E2" w:rsidRPr="00486CE3" w:rsidRDefault="00000000" w:rsidP="007019E2">
      <w:pPr>
        <w:spacing w:after="0"/>
        <w:rPr>
          <w:rFonts w:cs="Times New Roman"/>
          <w:lang w:eastAsia="zh-CN"/>
        </w:rPr>
      </w:pPr>
      <w:r w:rsidRPr="00486CE3">
        <w:rPr>
          <w:rFonts w:cs="Times New Roman"/>
          <w:lang w:eastAsia="zh-CN"/>
        </w:rPr>
        <w:t xml:space="preserve">The firm must set up a well-balanced board while keeping family directors in firm control </w:t>
      </w:r>
      <w:r w:rsidRPr="00486CE3">
        <w:rPr>
          <w:rFonts w:cs="Times New Roman"/>
          <w:lang w:eastAsia="zh-CN"/>
        </w:rPr>
        <w:t> </w:t>
      </w:r>
      <w:r w:rsidRPr="00486CE3">
        <w:rPr>
          <w:rFonts w:cs="Times New Roman"/>
          <w:lang w:eastAsia="zh-CN"/>
        </w:rPr>
        <w:t>as needed to meet AIM governance benchmarks. A seven-member board can be made up of three family executive directors, two independent non-executive directors (as required by</w:t>
      </w:r>
      <w:r w:rsidRPr="00486CE3">
        <w:rPr>
          <w:rFonts w:cs="Times New Roman"/>
          <w:lang w:eastAsia="zh-CN"/>
        </w:rPr>
        <w:t> </w:t>
      </w:r>
      <w:r w:rsidRPr="00486CE3">
        <w:rPr>
          <w:rFonts w:cs="Times New Roman"/>
          <w:lang w:eastAsia="zh-CN"/>
        </w:rPr>
        <w:t xml:space="preserve"> ANIM) and two further non-executive directors appointed by the family</w:t>
      </w:r>
      <w:r w:rsidR="009C5DD1" w:rsidRPr="00486CE3">
        <w:rPr>
          <w:rFonts w:cs="Times New Roman"/>
        </w:rPr>
        <w:t xml:space="preserve"> </w:t>
      </w:r>
      <w:r w:rsidR="009C5DD1" w:rsidRPr="00486CE3">
        <w:rPr>
          <w:rFonts w:cs="Times New Roman"/>
          <w:lang w:eastAsia="zh-CN"/>
        </w:rPr>
        <w:t>(Dufour, 2023)</w:t>
      </w:r>
      <w:r w:rsidRPr="00486CE3">
        <w:rPr>
          <w:rFonts w:cs="Times New Roman"/>
          <w:lang w:eastAsia="zh-CN"/>
        </w:rPr>
        <w:t xml:space="preserve">. This structure ensures compliance with governance standards and allows families to </w:t>
      </w:r>
      <w:r w:rsidRPr="00486CE3">
        <w:rPr>
          <w:rFonts w:cs="Times New Roman"/>
          <w:lang w:eastAsia="zh-CN"/>
        </w:rPr>
        <w:t> </w:t>
      </w:r>
      <w:r w:rsidRPr="00486CE3">
        <w:rPr>
          <w:rFonts w:cs="Times New Roman"/>
          <w:lang w:eastAsia="zh-CN"/>
        </w:rPr>
        <w:t>influence board decisions. Secondly, the board chair should ideally be a family</w:t>
      </w:r>
      <w:r w:rsidRPr="00486CE3">
        <w:rPr>
          <w:rFonts w:cs="Times New Roman"/>
          <w:lang w:eastAsia="zh-CN"/>
        </w:rPr>
        <w:t> </w:t>
      </w:r>
      <w:r w:rsidRPr="00486CE3">
        <w:rPr>
          <w:rFonts w:cs="Times New Roman"/>
          <w:lang w:eastAsia="zh-CN"/>
        </w:rPr>
        <w:t xml:space="preserve"> member to maintain control over direction and agenda.</w:t>
      </w:r>
    </w:p>
    <w:p w14:paraId="3928451B" w14:textId="3B69315E" w:rsidR="007019E2" w:rsidRPr="00486CE3" w:rsidRDefault="00000000" w:rsidP="007019E2">
      <w:pPr>
        <w:spacing w:after="0"/>
        <w:rPr>
          <w:rFonts w:cs="Times New Roman"/>
          <w:lang w:eastAsia="zh-CN"/>
        </w:rPr>
      </w:pPr>
      <w:r w:rsidRPr="00486CE3">
        <w:rPr>
          <w:rFonts w:cs="Times New Roman"/>
          <w:lang w:eastAsia="zh-CN"/>
        </w:rPr>
        <w:t>Protective measures</w:t>
      </w:r>
      <w:r w:rsidRPr="00486CE3">
        <w:rPr>
          <w:rFonts w:cs="Times New Roman"/>
          <w:lang w:eastAsia="zh-CN"/>
        </w:rPr>
        <w:t> </w:t>
      </w:r>
      <w:r w:rsidRPr="00486CE3">
        <w:rPr>
          <w:rFonts w:cs="Times New Roman"/>
          <w:lang w:eastAsia="zh-CN"/>
        </w:rPr>
        <w:t xml:space="preserve"> can be backed up with shareholder agreements and the company´s articles of association</w:t>
      </w:r>
      <w:r w:rsidR="009C5DD1" w:rsidRPr="00486CE3">
        <w:rPr>
          <w:rFonts w:cs="Times New Roman"/>
        </w:rPr>
        <w:t xml:space="preserve"> </w:t>
      </w:r>
      <w:r w:rsidR="009C5DD1" w:rsidRPr="00486CE3">
        <w:rPr>
          <w:rFonts w:cs="Times New Roman"/>
          <w:lang w:eastAsia="zh-CN"/>
        </w:rPr>
        <w:t>(Rodgers, 2024)</w:t>
      </w:r>
      <w:r w:rsidRPr="00486CE3">
        <w:rPr>
          <w:rFonts w:cs="Times New Roman"/>
          <w:lang w:eastAsia="zh-CN"/>
        </w:rPr>
        <w:t>. These should include preemptive rights on new share issuance,</w:t>
      </w:r>
      <w:r w:rsidRPr="00486CE3">
        <w:rPr>
          <w:rFonts w:cs="Times New Roman"/>
          <w:lang w:eastAsia="zh-CN"/>
        </w:rPr>
        <w:t> </w:t>
      </w:r>
      <w:r w:rsidRPr="00486CE3">
        <w:rPr>
          <w:rFonts w:cs="Times New Roman"/>
          <w:lang w:eastAsia="zh-CN"/>
        </w:rPr>
        <w:t xml:space="preserve"> reserved matters requiring family shareholder approval, and supermajority voting </w:t>
      </w:r>
      <w:r w:rsidRPr="00486CE3">
        <w:rPr>
          <w:rFonts w:cs="Times New Roman"/>
          <w:lang w:eastAsia="zh-CN"/>
        </w:rPr>
        <w:lastRenderedPageBreak/>
        <w:t>requirements for significant, pre-established decisions. Staggered board terms are another effective mechanism for defence against</w:t>
      </w:r>
      <w:r w:rsidRPr="00486CE3">
        <w:rPr>
          <w:rFonts w:cs="Times New Roman"/>
          <w:lang w:eastAsia="zh-CN"/>
        </w:rPr>
        <w:t> </w:t>
      </w:r>
      <w:r w:rsidRPr="00486CE3">
        <w:rPr>
          <w:rFonts w:cs="Times New Roman"/>
          <w:lang w:eastAsia="zh-CN"/>
        </w:rPr>
        <w:t xml:space="preserve"> hostile takeovers and prevent sudden turnover in members. </w:t>
      </w:r>
    </w:p>
    <w:p w14:paraId="58EFF200" w14:textId="77777777" w:rsidR="007019E2" w:rsidRPr="00486CE3" w:rsidRDefault="00000000" w:rsidP="007019E2">
      <w:pPr>
        <w:spacing w:after="0"/>
        <w:rPr>
          <w:rFonts w:cs="Times New Roman"/>
          <w:lang w:eastAsia="zh-CN"/>
        </w:rPr>
      </w:pPr>
      <w:r w:rsidRPr="00486CE3">
        <w:rPr>
          <w:rFonts w:cs="Times New Roman"/>
          <w:lang w:eastAsia="zh-CN"/>
        </w:rPr>
        <w:t>These approaches to control</w:t>
      </w:r>
      <w:r w:rsidRPr="00486CE3">
        <w:rPr>
          <w:rFonts w:cs="Times New Roman"/>
          <w:lang w:eastAsia="zh-CN"/>
        </w:rPr>
        <w:t> </w:t>
      </w:r>
      <w:r w:rsidRPr="00486CE3">
        <w:rPr>
          <w:rFonts w:cs="Times New Roman"/>
          <w:lang w:eastAsia="zh-CN"/>
        </w:rPr>
        <w:t xml:space="preserve"> need to be balanced with the rights and interests of minority owners to meet regulatory requirements and maintain confidence in the market. Balancing this can be achieved by providing formal channels for minority shareholder voices, robust independent</w:t>
      </w:r>
      <w:r w:rsidRPr="00486CE3">
        <w:rPr>
          <w:rFonts w:cs="Times New Roman"/>
          <w:lang w:eastAsia="zh-CN"/>
        </w:rPr>
        <w:t> </w:t>
      </w:r>
      <w:r w:rsidRPr="00486CE3">
        <w:rPr>
          <w:rFonts w:cs="Times New Roman"/>
          <w:lang w:eastAsia="zh-CN"/>
        </w:rPr>
        <w:t xml:space="preserve"> board oversight, and transparent disclosure of control-related arrangements. Providing quarterly updates on business performance and strategic decisions</w:t>
      </w:r>
      <w:r w:rsidRPr="00486CE3">
        <w:rPr>
          <w:rFonts w:cs="Times New Roman"/>
          <w:lang w:eastAsia="zh-CN"/>
        </w:rPr>
        <w:t> </w:t>
      </w:r>
      <w:r w:rsidRPr="00486CE3">
        <w:rPr>
          <w:rFonts w:cs="Times New Roman"/>
          <w:lang w:eastAsia="zh-CN"/>
        </w:rPr>
        <w:t xml:space="preserve"> to all shareholders will maintain confidence and strength in support of the family staying in control.</w:t>
      </w:r>
    </w:p>
    <w:p w14:paraId="0ACCF399" w14:textId="66B8FAD3" w:rsidR="007D1AEA" w:rsidRPr="00486CE3" w:rsidRDefault="00000000" w:rsidP="007019E2">
      <w:pPr>
        <w:pStyle w:val="Heading2"/>
        <w:rPr>
          <w:rFonts w:cs="Times New Roman"/>
        </w:rPr>
      </w:pPr>
      <w:bookmarkStart w:id="7" w:name="_Toc190255812"/>
      <w:r w:rsidRPr="00486CE3">
        <w:rPr>
          <w:rFonts w:cs="Times New Roman"/>
        </w:rPr>
        <w:t xml:space="preserve">Director </w:t>
      </w:r>
      <w:r w:rsidR="00DD27E6" w:rsidRPr="00486CE3">
        <w:rPr>
          <w:rFonts w:cs="Times New Roman"/>
        </w:rPr>
        <w:t>Compensation</w:t>
      </w:r>
      <w:r w:rsidRPr="00486CE3">
        <w:rPr>
          <w:rFonts w:cs="Times New Roman"/>
        </w:rPr>
        <w:t>:</w:t>
      </w:r>
      <w:bookmarkEnd w:id="7"/>
    </w:p>
    <w:p w14:paraId="5E42AE04" w14:textId="6CA7FEF4" w:rsidR="00DD27E6" w:rsidRPr="00486CE3" w:rsidRDefault="00000000" w:rsidP="00DD27E6">
      <w:pPr>
        <w:spacing w:after="0"/>
        <w:rPr>
          <w:rFonts w:cs="Times New Roman"/>
          <w:lang w:eastAsia="zh-CN"/>
        </w:rPr>
      </w:pPr>
      <w:r w:rsidRPr="00486CE3">
        <w:rPr>
          <w:rFonts w:cs="Times New Roman"/>
          <w:lang w:eastAsia="zh-CN"/>
        </w:rPr>
        <w:t>To</w:t>
      </w:r>
      <w:r w:rsidRPr="00486CE3">
        <w:rPr>
          <w:rFonts w:cs="Times New Roman"/>
          <w:lang w:eastAsia="zh-CN"/>
        </w:rPr>
        <w:t> </w:t>
      </w:r>
      <w:r w:rsidRPr="00486CE3">
        <w:rPr>
          <w:rFonts w:cs="Times New Roman"/>
          <w:lang w:eastAsia="zh-CN"/>
        </w:rPr>
        <w:t xml:space="preserve"> ensure fairness and transparency in director compensation, directors need to be compensated by a structured compensation committee</w:t>
      </w:r>
      <w:r w:rsidR="00F545AE" w:rsidRPr="00486CE3">
        <w:rPr>
          <w:rFonts w:cs="Times New Roman"/>
        </w:rPr>
        <w:t xml:space="preserve"> </w:t>
      </w:r>
      <w:r w:rsidR="00F545AE" w:rsidRPr="00486CE3">
        <w:rPr>
          <w:rFonts w:cs="Times New Roman"/>
          <w:lang w:eastAsia="zh-CN"/>
        </w:rPr>
        <w:t>(Reda, 2023)</w:t>
      </w:r>
      <w:r w:rsidRPr="00486CE3">
        <w:rPr>
          <w:rFonts w:cs="Times New Roman"/>
          <w:lang w:eastAsia="zh-CN"/>
        </w:rPr>
        <w:t>. This committee must be made up</w:t>
      </w:r>
      <w:r w:rsidRPr="00486CE3">
        <w:rPr>
          <w:rFonts w:cs="Times New Roman"/>
          <w:lang w:eastAsia="zh-CN"/>
        </w:rPr>
        <w:t> </w:t>
      </w:r>
      <w:r w:rsidRPr="00486CE3">
        <w:rPr>
          <w:rFonts w:cs="Times New Roman"/>
          <w:lang w:eastAsia="zh-CN"/>
        </w:rPr>
        <w:t xml:space="preserve"> of at least three non-executive directors, the majority independent so that compensation decisions are free from bias. Family</w:t>
      </w:r>
      <w:r w:rsidRPr="00486CE3">
        <w:rPr>
          <w:rFonts w:cs="Times New Roman"/>
          <w:lang w:eastAsia="zh-CN"/>
        </w:rPr>
        <w:t> </w:t>
      </w:r>
      <w:r w:rsidRPr="00486CE3">
        <w:rPr>
          <w:rFonts w:cs="Times New Roman"/>
          <w:lang w:eastAsia="zh-CN"/>
        </w:rPr>
        <w:t xml:space="preserve"> directors may be asked to weigh in on some issues—except those that pertain to their pay; they should not serve on this committee. </w:t>
      </w:r>
    </w:p>
    <w:p w14:paraId="3F1AAD1D" w14:textId="7A802D77" w:rsidR="00DD27E6" w:rsidRPr="00486CE3" w:rsidRDefault="00000000" w:rsidP="00DD27E6">
      <w:pPr>
        <w:spacing w:after="0"/>
        <w:rPr>
          <w:rFonts w:cs="Times New Roman"/>
          <w:lang w:eastAsia="zh-CN"/>
        </w:rPr>
      </w:pPr>
      <w:r w:rsidRPr="00486CE3">
        <w:rPr>
          <w:rFonts w:cs="Times New Roman"/>
          <w:lang w:eastAsia="zh-CN"/>
        </w:rPr>
        <w:t>The compensation</w:t>
      </w:r>
      <w:r w:rsidRPr="00486CE3">
        <w:rPr>
          <w:rFonts w:cs="Times New Roman"/>
          <w:lang w:eastAsia="zh-CN"/>
        </w:rPr>
        <w:t> </w:t>
      </w:r>
      <w:r w:rsidRPr="00486CE3">
        <w:rPr>
          <w:rFonts w:cs="Times New Roman"/>
          <w:lang w:eastAsia="zh-CN"/>
        </w:rPr>
        <w:t xml:space="preserve"> structure should reflect the goals of both the executive's family and external shareholders. It should include a mix of LTIPs (long-term incentive plans), an</w:t>
      </w:r>
      <w:r w:rsidRPr="00486CE3">
        <w:rPr>
          <w:rFonts w:cs="Times New Roman"/>
          <w:lang w:eastAsia="zh-CN"/>
        </w:rPr>
        <w:t> </w:t>
      </w:r>
      <w:r w:rsidRPr="00486CE3">
        <w:rPr>
          <w:rFonts w:cs="Times New Roman"/>
          <w:lang w:eastAsia="zh-CN"/>
        </w:rPr>
        <w:t xml:space="preserve"> annual bonus, and a fixed salary. Variable remuneration should always be associated with specific performance conditions, while fixed salaries should</w:t>
      </w:r>
      <w:r w:rsidRPr="00486CE3">
        <w:rPr>
          <w:rFonts w:cs="Times New Roman"/>
          <w:lang w:eastAsia="zh-CN"/>
        </w:rPr>
        <w:t> </w:t>
      </w:r>
      <w:r w:rsidRPr="00486CE3">
        <w:rPr>
          <w:rFonts w:cs="Times New Roman"/>
          <w:lang w:eastAsia="zh-CN"/>
        </w:rPr>
        <w:t xml:space="preserve"> be measured against peer AIM-listed companies. </w:t>
      </w:r>
    </w:p>
    <w:p w14:paraId="7D700D52" w14:textId="49467563" w:rsidR="00DD27E6" w:rsidRPr="00486CE3" w:rsidRDefault="00000000" w:rsidP="00DD27E6">
      <w:pPr>
        <w:spacing w:after="0"/>
        <w:rPr>
          <w:rFonts w:cs="Times New Roman"/>
          <w:lang w:eastAsia="zh-CN"/>
        </w:rPr>
      </w:pPr>
      <w:r w:rsidRPr="00486CE3">
        <w:rPr>
          <w:rFonts w:cs="Times New Roman"/>
          <w:lang w:eastAsia="zh-CN"/>
        </w:rPr>
        <w:t>Performance Indicators need to be appropriately selected</w:t>
      </w:r>
      <w:r w:rsidRPr="00486CE3">
        <w:rPr>
          <w:rFonts w:cs="Times New Roman"/>
          <w:lang w:eastAsia="zh-CN"/>
        </w:rPr>
        <w:t> </w:t>
      </w:r>
      <w:r w:rsidRPr="00486CE3">
        <w:rPr>
          <w:rFonts w:cs="Times New Roman"/>
          <w:lang w:eastAsia="zh-CN"/>
        </w:rPr>
        <w:t xml:space="preserve"> to represent financial and non-financial goals. Financial</w:t>
      </w:r>
      <w:r w:rsidRPr="00486CE3">
        <w:rPr>
          <w:rFonts w:cs="Times New Roman"/>
          <w:lang w:eastAsia="zh-CN"/>
        </w:rPr>
        <w:t> </w:t>
      </w:r>
      <w:r w:rsidRPr="00486CE3">
        <w:rPr>
          <w:rFonts w:cs="Times New Roman"/>
          <w:lang w:eastAsia="zh-CN"/>
        </w:rPr>
        <w:t xml:space="preserve"> metrics like earnings per share, return on capital employed, and total shareholder return non-financial indicators should comprise customer satisfaction, environmental targets,</w:t>
      </w:r>
      <w:r w:rsidRPr="00486CE3">
        <w:rPr>
          <w:rFonts w:cs="Times New Roman"/>
          <w:lang w:eastAsia="zh-CN"/>
        </w:rPr>
        <w:t> </w:t>
      </w:r>
      <w:r w:rsidRPr="00486CE3">
        <w:rPr>
          <w:rFonts w:cs="Times New Roman"/>
          <w:lang w:eastAsia="zh-CN"/>
        </w:rPr>
        <w:t xml:space="preserve"> and strategic goals</w:t>
      </w:r>
      <w:r w:rsidR="00F545AE" w:rsidRPr="00486CE3">
        <w:rPr>
          <w:rFonts w:cs="Times New Roman"/>
        </w:rPr>
        <w:t xml:space="preserve"> </w:t>
      </w:r>
      <w:r w:rsidR="00F545AE" w:rsidRPr="00486CE3">
        <w:rPr>
          <w:rFonts w:cs="Times New Roman"/>
          <w:lang w:eastAsia="zh-CN"/>
        </w:rPr>
        <w:t>(Zeithaml, 2023)</w:t>
      </w:r>
      <w:r w:rsidRPr="00486CE3">
        <w:rPr>
          <w:rFonts w:cs="Times New Roman"/>
          <w:lang w:eastAsia="zh-CN"/>
        </w:rPr>
        <w:t>. They should</w:t>
      </w:r>
      <w:r w:rsidRPr="00486CE3">
        <w:rPr>
          <w:rFonts w:cs="Times New Roman"/>
          <w:lang w:eastAsia="zh-CN"/>
        </w:rPr>
        <w:t> </w:t>
      </w:r>
      <w:r w:rsidRPr="00486CE3">
        <w:rPr>
          <w:rFonts w:cs="Times New Roman"/>
          <w:lang w:eastAsia="zh-CN"/>
        </w:rPr>
        <w:t xml:space="preserve"> be measurable, transparent, and directly tied to the long-term strategy of the company. Consistent performance assessments against these metrics will ensure accountability</w:t>
      </w:r>
      <w:r w:rsidRPr="00486CE3">
        <w:rPr>
          <w:rFonts w:cs="Times New Roman"/>
          <w:lang w:eastAsia="zh-CN"/>
        </w:rPr>
        <w:t> </w:t>
      </w:r>
      <w:r w:rsidRPr="00486CE3">
        <w:rPr>
          <w:rFonts w:cs="Times New Roman"/>
          <w:lang w:eastAsia="zh-CN"/>
        </w:rPr>
        <w:t xml:space="preserve"> and support pay decisions.</w:t>
      </w:r>
    </w:p>
    <w:p w14:paraId="67993FC8" w14:textId="12BA3AE6" w:rsidR="007019E2" w:rsidRPr="00486CE3" w:rsidRDefault="00000000" w:rsidP="00DD27E6">
      <w:pPr>
        <w:pStyle w:val="Heading2"/>
        <w:rPr>
          <w:rFonts w:cs="Times New Roman"/>
        </w:rPr>
      </w:pPr>
      <w:bookmarkStart w:id="8" w:name="_Toc190255813"/>
      <w:r w:rsidRPr="00486CE3">
        <w:rPr>
          <w:rFonts w:cs="Times New Roman"/>
        </w:rPr>
        <w:t>International Market Expansion:</w:t>
      </w:r>
      <w:bookmarkEnd w:id="8"/>
    </w:p>
    <w:p w14:paraId="044B57B8" w14:textId="20CC7F85" w:rsidR="00DD27E6" w:rsidRPr="00486CE3" w:rsidRDefault="00000000" w:rsidP="00970508">
      <w:pPr>
        <w:spacing w:after="0"/>
        <w:rPr>
          <w:rFonts w:cs="Times New Roman"/>
          <w:lang w:eastAsia="zh-CN"/>
        </w:rPr>
      </w:pPr>
      <w:r w:rsidRPr="00486CE3">
        <w:rPr>
          <w:rFonts w:cs="Times New Roman"/>
          <w:lang w:eastAsia="zh-CN"/>
        </w:rPr>
        <w:t>The UK's AIM market differs significantly and materially from the Shanghai Stock Exchange (SSE) under China's regulatory</w:t>
      </w:r>
      <w:r w:rsidRPr="00486CE3">
        <w:rPr>
          <w:rFonts w:cs="Times New Roman"/>
          <w:lang w:eastAsia="zh-CN"/>
        </w:rPr>
        <w:t> </w:t>
      </w:r>
      <w:r w:rsidRPr="00486CE3">
        <w:rPr>
          <w:rFonts w:cs="Times New Roman"/>
          <w:lang w:eastAsia="zh-CN"/>
        </w:rPr>
        <w:t xml:space="preserve"> system. </w:t>
      </w:r>
      <w:r w:rsidRPr="00486CE3">
        <w:rPr>
          <w:rFonts w:cs="Times New Roman"/>
          <w:lang w:eastAsia="zh-CN"/>
        </w:rPr>
        <w:t> </w:t>
      </w:r>
      <w:r w:rsidRPr="00486CE3">
        <w:rPr>
          <w:rFonts w:cs="Times New Roman"/>
          <w:lang w:eastAsia="zh-CN"/>
        </w:rPr>
        <w:t>Shanghai's corporate governance follows the China Securities Regulatory Commission (CSRC), which stipulates a two-level board system composed of a supervisory board and a board of directors</w:t>
      </w:r>
      <w:r w:rsidR="00F545AE" w:rsidRPr="00486CE3">
        <w:rPr>
          <w:rFonts w:cs="Times New Roman"/>
        </w:rPr>
        <w:t xml:space="preserve"> </w:t>
      </w:r>
      <w:r w:rsidR="00F545AE" w:rsidRPr="00486CE3">
        <w:rPr>
          <w:rFonts w:cs="Times New Roman"/>
          <w:lang w:eastAsia="zh-CN"/>
        </w:rPr>
        <w:t>(Trachtman, 2021)</w:t>
      </w:r>
      <w:r w:rsidRPr="00486CE3">
        <w:rPr>
          <w:rFonts w:cs="Times New Roman"/>
          <w:lang w:eastAsia="zh-CN"/>
        </w:rPr>
        <w:t>. This is basically the opposite of the</w:t>
      </w:r>
      <w:r w:rsidRPr="00486CE3">
        <w:rPr>
          <w:rFonts w:cs="Times New Roman"/>
          <w:lang w:eastAsia="zh-CN"/>
        </w:rPr>
        <w:t> </w:t>
      </w:r>
      <w:r w:rsidRPr="00486CE3">
        <w:rPr>
          <w:rFonts w:cs="Times New Roman"/>
          <w:lang w:eastAsia="zh-CN"/>
        </w:rPr>
        <w:t xml:space="preserve"> unitary board in the UK. The supervisory board, composed of employee and shareholders representatives, supervises the board and senior management to ensure</w:t>
      </w:r>
      <w:r w:rsidRPr="00486CE3">
        <w:rPr>
          <w:rFonts w:cs="Times New Roman"/>
          <w:lang w:eastAsia="zh-CN"/>
        </w:rPr>
        <w:t> </w:t>
      </w:r>
      <w:r w:rsidRPr="00486CE3">
        <w:rPr>
          <w:rFonts w:cs="Times New Roman"/>
          <w:lang w:eastAsia="zh-CN"/>
        </w:rPr>
        <w:t xml:space="preserve"> that, </w:t>
      </w:r>
      <w:r w:rsidRPr="00486CE3">
        <w:rPr>
          <w:rFonts w:cs="Times New Roman"/>
          <w:lang w:eastAsia="zh-CN"/>
        </w:rPr>
        <w:lastRenderedPageBreak/>
        <w:t>at a minimum, one-third of the directors of Chinese listed businesses are independent. The CSRC requires more frequent reporting, such as quarterly financial reports, and stricter disclosure</w:t>
      </w:r>
      <w:r w:rsidRPr="00486CE3">
        <w:rPr>
          <w:rFonts w:cs="Times New Roman"/>
          <w:lang w:eastAsia="zh-CN"/>
        </w:rPr>
        <w:t> </w:t>
      </w:r>
      <w:r w:rsidRPr="00486CE3">
        <w:rPr>
          <w:rFonts w:cs="Times New Roman"/>
          <w:lang w:eastAsia="zh-CN"/>
        </w:rPr>
        <w:t xml:space="preserve"> requirements than AIM. </w:t>
      </w:r>
    </w:p>
    <w:p w14:paraId="5970F33A" w14:textId="23AD2590" w:rsidR="00DD27E6" w:rsidRPr="00486CE3" w:rsidRDefault="00000000" w:rsidP="00970508">
      <w:pPr>
        <w:spacing w:after="0"/>
        <w:rPr>
          <w:rFonts w:cs="Times New Roman"/>
          <w:lang w:eastAsia="zh-CN"/>
        </w:rPr>
      </w:pPr>
      <w:r w:rsidRPr="00486CE3">
        <w:rPr>
          <w:rFonts w:cs="Times New Roman"/>
          <w:lang w:eastAsia="zh-CN"/>
        </w:rPr>
        <w:t>For Euronext Amsterdam, adhering to the Dutch Corporate Governance</w:t>
      </w:r>
      <w:r w:rsidRPr="00486CE3">
        <w:rPr>
          <w:rFonts w:cs="Times New Roman"/>
          <w:lang w:eastAsia="zh-CN"/>
        </w:rPr>
        <w:t> </w:t>
      </w:r>
      <w:r w:rsidRPr="00486CE3">
        <w:rPr>
          <w:rFonts w:cs="Times New Roman"/>
          <w:lang w:eastAsia="zh-CN"/>
        </w:rPr>
        <w:t xml:space="preserve"> Code, the Netherlands offers a familiar European regulatory milieu. After the Netherlands, the model of a</w:t>
      </w:r>
      <w:r w:rsidRPr="00486CE3">
        <w:rPr>
          <w:rFonts w:cs="Times New Roman"/>
          <w:lang w:eastAsia="zh-CN"/>
        </w:rPr>
        <w:t> </w:t>
      </w:r>
      <w:r w:rsidRPr="00486CE3">
        <w:rPr>
          <w:rFonts w:cs="Times New Roman"/>
          <w:lang w:eastAsia="zh-CN"/>
        </w:rPr>
        <w:t xml:space="preserve"> two-tier board (where there is a management board (executives) and a supervisory board (non-executives)) is again slightly different, even though businesses can opt for a one-tier board like in the UK. The Dutch Code highlights risk management, long-term sustainable wealth accumulation, and the</w:t>
      </w:r>
      <w:r w:rsidRPr="00486CE3">
        <w:rPr>
          <w:rFonts w:cs="Times New Roman"/>
          <w:lang w:eastAsia="zh-CN"/>
        </w:rPr>
        <w:t> </w:t>
      </w:r>
      <w:r w:rsidRPr="00486CE3">
        <w:rPr>
          <w:rFonts w:cs="Times New Roman"/>
          <w:lang w:eastAsia="zh-CN"/>
        </w:rPr>
        <w:t xml:space="preserve"> interests of stakeholders</w:t>
      </w:r>
      <w:r w:rsidR="00F545AE" w:rsidRPr="00486CE3">
        <w:rPr>
          <w:rFonts w:cs="Times New Roman"/>
        </w:rPr>
        <w:t xml:space="preserve"> </w:t>
      </w:r>
      <w:r w:rsidR="00F545AE" w:rsidRPr="00486CE3">
        <w:rPr>
          <w:rFonts w:cs="Times New Roman"/>
          <w:lang w:eastAsia="zh-CN"/>
        </w:rPr>
        <w:t>(Woller, 2022)</w:t>
      </w:r>
      <w:r w:rsidRPr="00486CE3">
        <w:rPr>
          <w:rFonts w:cs="Times New Roman"/>
          <w:lang w:eastAsia="zh-CN"/>
        </w:rPr>
        <w:t>. Two critical differences relative to the UK are</w:t>
      </w:r>
      <w:r w:rsidRPr="00486CE3">
        <w:rPr>
          <w:rFonts w:cs="Times New Roman"/>
          <w:lang w:eastAsia="zh-CN"/>
        </w:rPr>
        <w:t> </w:t>
      </w:r>
      <w:r w:rsidRPr="00486CE3">
        <w:rPr>
          <w:rFonts w:cs="Times New Roman"/>
          <w:lang w:eastAsia="zh-CN"/>
        </w:rPr>
        <w:t xml:space="preserve"> the so-called design of the 'big business regime</w:t>
      </w:r>
      <w:r w:rsidR="00970508" w:rsidRPr="00486CE3">
        <w:rPr>
          <w:rFonts w:cs="Times New Roman"/>
          <w:lang w:eastAsia="zh-CN"/>
        </w:rPr>
        <w:t>', which</w:t>
      </w:r>
      <w:r w:rsidRPr="00486CE3">
        <w:rPr>
          <w:rFonts w:cs="Times New Roman"/>
          <w:lang w:eastAsia="zh-CN"/>
        </w:rPr>
        <w:t xml:space="preserve"> provides the supervisory board in more prominent companies with considerable power, and the existence of works </w:t>
      </w:r>
      <w:r w:rsidR="00FA0A64" w:rsidRPr="00486CE3">
        <w:rPr>
          <w:rFonts w:cs="Times New Roman"/>
          <w:lang w:eastAsia="zh-CN"/>
        </w:rPr>
        <w:t>councils being</w:t>
      </w:r>
      <w:r w:rsidRPr="00486CE3">
        <w:rPr>
          <w:rFonts w:cs="Times New Roman"/>
          <w:lang w:eastAsia="zh-CN"/>
        </w:rPr>
        <w:t xml:space="preserve"> a strongly economically driven employee interest representation body. While the family may desire to retain control, the Dutch</w:t>
      </w:r>
      <w:r w:rsidRPr="00486CE3">
        <w:rPr>
          <w:rFonts w:cs="Times New Roman"/>
          <w:lang w:eastAsia="zh-CN"/>
        </w:rPr>
        <w:t> </w:t>
      </w:r>
      <w:r w:rsidRPr="00486CE3">
        <w:rPr>
          <w:rFonts w:cs="Times New Roman"/>
          <w:lang w:eastAsia="zh-CN"/>
        </w:rPr>
        <w:t xml:space="preserve"> market offers a wide array of control-enhancing tools, including loyalty shares and priority shares, that could support the family's aspirations</w:t>
      </w:r>
      <w:r w:rsidR="00F545AE" w:rsidRPr="00486CE3">
        <w:rPr>
          <w:rFonts w:cs="Times New Roman"/>
        </w:rPr>
        <w:t xml:space="preserve"> </w:t>
      </w:r>
      <w:r w:rsidR="00F545AE" w:rsidRPr="00486CE3">
        <w:rPr>
          <w:rFonts w:cs="Times New Roman"/>
          <w:lang w:eastAsia="zh-CN"/>
        </w:rPr>
        <w:t>(Veld, 2023)</w:t>
      </w:r>
      <w:r w:rsidRPr="00486CE3">
        <w:rPr>
          <w:rFonts w:cs="Times New Roman"/>
          <w:lang w:eastAsia="zh-CN"/>
        </w:rPr>
        <w:t>. Dutch law includes what is called the 'Rule of 10%', which allows shareholders with 10% or more of the company to call extraordinary general meetings</w:t>
      </w:r>
      <w:r w:rsidRPr="00486CE3">
        <w:rPr>
          <w:rFonts w:cs="Times New Roman"/>
          <w:lang w:eastAsia="zh-CN"/>
        </w:rPr>
        <w:t> </w:t>
      </w:r>
      <w:r w:rsidRPr="00486CE3">
        <w:rPr>
          <w:rFonts w:cs="Times New Roman"/>
          <w:lang w:eastAsia="zh-CN"/>
        </w:rPr>
        <w:t xml:space="preserve"> and that might be quite capable of giving the family (which owns 30%) a fair bit of power</w:t>
      </w:r>
      <w:r w:rsidR="00F545AE" w:rsidRPr="00486CE3">
        <w:rPr>
          <w:rFonts w:cs="Times New Roman"/>
        </w:rPr>
        <w:t xml:space="preserve"> </w:t>
      </w:r>
      <w:r w:rsidR="00F545AE" w:rsidRPr="00486CE3">
        <w:rPr>
          <w:rFonts w:cs="Times New Roman"/>
          <w:lang w:eastAsia="zh-CN"/>
        </w:rPr>
        <w:t>(Klabbers, 2024)</w:t>
      </w:r>
      <w:r w:rsidR="00F545AE" w:rsidRPr="00486CE3">
        <w:rPr>
          <w:rFonts w:cs="Times New Roman"/>
          <w:szCs w:val="24"/>
          <w:rtl/>
          <w:lang w:eastAsia="zh-CN"/>
        </w:rPr>
        <w:t xml:space="preserve"> </w:t>
      </w:r>
      <w:r w:rsidRPr="00486CE3">
        <w:rPr>
          <w:rFonts w:cs="Times New Roman"/>
          <w:rtl/>
          <w:lang w:eastAsia="zh-CN"/>
        </w:rPr>
        <w:t>۔</w:t>
      </w:r>
      <w:r w:rsidRPr="00486CE3">
        <w:rPr>
          <w:rFonts w:cs="Times New Roman"/>
          <w:lang w:eastAsia="zh-CN"/>
        </w:rPr>
        <w:t xml:space="preserve"> Dutch institutional architecture is characterized by significant</w:t>
      </w:r>
      <w:r w:rsidRPr="00486CE3">
        <w:rPr>
          <w:rFonts w:cs="Times New Roman"/>
          <w:lang w:eastAsia="zh-CN"/>
        </w:rPr>
        <w:t> </w:t>
      </w:r>
      <w:r w:rsidRPr="00486CE3">
        <w:rPr>
          <w:rFonts w:cs="Times New Roman"/>
          <w:lang w:eastAsia="zh-CN"/>
        </w:rPr>
        <w:t xml:space="preserve"> shareholder rights, consensus-seeking (the "polder model") and high minority owner protection. </w:t>
      </w:r>
    </w:p>
    <w:p w14:paraId="74B89543" w14:textId="64BC5EBA" w:rsidR="00DD27E6" w:rsidRPr="00486CE3" w:rsidRDefault="00000000" w:rsidP="00970508">
      <w:pPr>
        <w:pStyle w:val="Heading1"/>
        <w:rPr>
          <w:rFonts w:cs="Times New Roman"/>
        </w:rPr>
      </w:pPr>
      <w:bookmarkStart w:id="9" w:name="_Toc190255814"/>
      <w:r w:rsidRPr="00486CE3">
        <w:rPr>
          <w:rFonts w:cs="Times New Roman"/>
        </w:rPr>
        <w:t>Recommendations:</w:t>
      </w:r>
      <w:bookmarkEnd w:id="9"/>
    </w:p>
    <w:p w14:paraId="2EB02785" w14:textId="62B0E7FD" w:rsidR="00FA0A64" w:rsidRPr="00486CE3" w:rsidRDefault="00000000" w:rsidP="00FA0A64">
      <w:pPr>
        <w:spacing w:after="0"/>
        <w:rPr>
          <w:rFonts w:cs="Times New Roman"/>
          <w:lang w:eastAsia="zh-CN"/>
        </w:rPr>
      </w:pPr>
      <w:r w:rsidRPr="00486CE3">
        <w:rPr>
          <w:rFonts w:cs="Times New Roman"/>
          <w:lang w:eastAsia="zh-CN"/>
        </w:rPr>
        <w:t>The report recommends a balanced board of seven members, comprising three family executive</w:t>
      </w:r>
      <w:r w:rsidRPr="00486CE3">
        <w:rPr>
          <w:rFonts w:cs="Times New Roman"/>
          <w:lang w:eastAsia="zh-CN"/>
        </w:rPr>
        <w:t> </w:t>
      </w:r>
      <w:r w:rsidRPr="00486CE3">
        <w:rPr>
          <w:rFonts w:cs="Times New Roman"/>
          <w:lang w:eastAsia="zh-CN"/>
        </w:rPr>
        <w:t xml:space="preserve"> directors and four non-executive directors, of which two should be independent. The 30% rule may be evaded by two means: creating a dual-class</w:t>
      </w:r>
      <w:r w:rsidRPr="00486CE3">
        <w:rPr>
          <w:rFonts w:cs="Times New Roman"/>
          <w:lang w:eastAsia="zh-CN"/>
        </w:rPr>
        <w:t> </w:t>
      </w:r>
      <w:r w:rsidRPr="00486CE3">
        <w:rPr>
          <w:rFonts w:cs="Times New Roman"/>
          <w:lang w:eastAsia="zh-CN"/>
        </w:rPr>
        <w:t xml:space="preserve"> share structure with family shares carrying higher voting rights, supported by protection clauses incorporated into the articles of association. Create a three-component compensation system, guided by an independent compensation committee,</w:t>
      </w:r>
      <w:r w:rsidRPr="00486CE3">
        <w:rPr>
          <w:rFonts w:cs="Times New Roman"/>
          <w:lang w:eastAsia="zh-CN"/>
        </w:rPr>
        <w:t> </w:t>
      </w:r>
      <w:r w:rsidRPr="00486CE3">
        <w:rPr>
          <w:rFonts w:cs="Times New Roman"/>
          <w:lang w:eastAsia="zh-CN"/>
        </w:rPr>
        <w:t xml:space="preserve"> that includes base salary, short-term incentives, and long-term equity-based incentives. </w:t>
      </w:r>
    </w:p>
    <w:p w14:paraId="42C4DE52" w14:textId="3D6934E6" w:rsidR="00970508" w:rsidRPr="00486CE3" w:rsidRDefault="00000000" w:rsidP="00970508">
      <w:pPr>
        <w:pStyle w:val="Heading1"/>
        <w:rPr>
          <w:rFonts w:cs="Times New Roman"/>
        </w:rPr>
      </w:pPr>
      <w:bookmarkStart w:id="10" w:name="_Toc190255815"/>
      <w:r w:rsidRPr="00486CE3">
        <w:rPr>
          <w:rFonts w:cs="Times New Roman"/>
        </w:rPr>
        <w:t>Conclusion:</w:t>
      </w:r>
      <w:bookmarkEnd w:id="10"/>
    </w:p>
    <w:p w14:paraId="6973F2D2" w14:textId="77777777" w:rsidR="00970508" w:rsidRPr="00486CE3" w:rsidRDefault="00000000" w:rsidP="00970508">
      <w:pPr>
        <w:spacing w:after="0"/>
        <w:rPr>
          <w:rFonts w:cs="Times New Roman"/>
          <w:lang w:eastAsia="zh-CN"/>
        </w:rPr>
      </w:pPr>
      <w:r w:rsidRPr="00486CE3">
        <w:rPr>
          <w:rFonts w:cs="Times New Roman"/>
          <w:lang w:eastAsia="zh-CN"/>
        </w:rPr>
        <w:t>While being an AIM-listed family-owned firm has both pros</w:t>
      </w:r>
      <w:r w:rsidRPr="00486CE3">
        <w:rPr>
          <w:rFonts w:cs="Times New Roman"/>
          <w:lang w:eastAsia="zh-CN"/>
        </w:rPr>
        <w:t> </w:t>
      </w:r>
      <w:r w:rsidRPr="00486CE3">
        <w:rPr>
          <w:rFonts w:cs="Times New Roman"/>
          <w:lang w:eastAsia="zh-CN"/>
        </w:rPr>
        <w:t xml:space="preserve"> and cons, its parent firm must be cautious regarding the control, governance framework, and the choice of the market. Actual listing</w:t>
      </w:r>
      <w:r w:rsidRPr="00486CE3">
        <w:rPr>
          <w:rFonts w:cs="Times New Roman"/>
          <w:lang w:eastAsia="zh-CN"/>
        </w:rPr>
        <w:t> </w:t>
      </w:r>
      <w:r w:rsidRPr="00486CE3">
        <w:rPr>
          <w:rFonts w:cs="Times New Roman"/>
          <w:lang w:eastAsia="zh-CN"/>
        </w:rPr>
        <w:t xml:space="preserve"> within the market will be contingent on the establishment of strong corporate governance frameworks (board and relevant committees). While there are various mechanisms to retain control with 30%</w:t>
      </w:r>
      <w:r w:rsidRPr="00486CE3">
        <w:rPr>
          <w:rFonts w:cs="Times New Roman"/>
          <w:lang w:eastAsia="zh-CN"/>
        </w:rPr>
        <w:t> </w:t>
      </w:r>
      <w:r w:rsidRPr="00486CE3">
        <w:rPr>
          <w:rFonts w:cs="Times New Roman"/>
          <w:lang w:eastAsia="zh-CN"/>
        </w:rPr>
        <w:t xml:space="preserve"> ownership (like dual-class shares or aligning board composition as </w:t>
      </w:r>
      <w:r w:rsidRPr="00486CE3">
        <w:rPr>
          <w:rFonts w:cs="Times New Roman"/>
          <w:lang w:eastAsia="zh-CN"/>
        </w:rPr>
        <w:lastRenderedPageBreak/>
        <w:t>per political rights), they should be balanced with the market expectations and the interests of minority shareholders.</w:t>
      </w:r>
    </w:p>
    <w:p w14:paraId="20374127" w14:textId="53AF2056" w:rsidR="00F545AE" w:rsidRPr="00486CE3" w:rsidRDefault="00000000" w:rsidP="00970508">
      <w:pPr>
        <w:spacing w:after="0"/>
        <w:rPr>
          <w:rFonts w:cs="Times New Roman"/>
          <w:lang w:eastAsia="zh-CN"/>
        </w:rPr>
      </w:pPr>
      <w:r w:rsidRPr="00486CE3">
        <w:rPr>
          <w:rFonts w:cs="Times New Roman"/>
          <w:lang w:eastAsia="zh-CN"/>
        </w:rPr>
        <w:t>When contemplating the UK, Shanghai,</w:t>
      </w:r>
      <w:r w:rsidRPr="00486CE3">
        <w:rPr>
          <w:rFonts w:cs="Times New Roman"/>
          <w:lang w:eastAsia="zh-CN"/>
        </w:rPr>
        <w:t> </w:t>
      </w:r>
      <w:r w:rsidRPr="00486CE3">
        <w:rPr>
          <w:rFonts w:cs="Times New Roman"/>
          <w:lang w:eastAsia="zh-CN"/>
        </w:rPr>
        <w:t xml:space="preserve"> and Netherlands markets, the family must first consider its control aspirations and strategic aims. The</w:t>
      </w:r>
      <w:r w:rsidRPr="00486CE3">
        <w:rPr>
          <w:rFonts w:cs="Times New Roman"/>
          <w:lang w:eastAsia="zh-CN"/>
        </w:rPr>
        <w:t> </w:t>
      </w:r>
      <w:r w:rsidRPr="00486CE3">
        <w:rPr>
          <w:rFonts w:cs="Times New Roman"/>
          <w:lang w:eastAsia="zh-CN"/>
        </w:rPr>
        <w:t xml:space="preserve"> Netherlands provides a balanced European option with favourable governance, while Shanghai connects a large capital market but has challenging regulatory barriers.</w:t>
      </w:r>
    </w:p>
    <w:p w14:paraId="00787716" w14:textId="77777777" w:rsidR="00F545AE" w:rsidRPr="00486CE3" w:rsidRDefault="00000000">
      <w:pPr>
        <w:spacing w:line="259" w:lineRule="auto"/>
        <w:jc w:val="left"/>
        <w:rPr>
          <w:rFonts w:cs="Times New Roman"/>
          <w:lang w:eastAsia="zh-CN"/>
        </w:rPr>
      </w:pPr>
      <w:r w:rsidRPr="00486CE3">
        <w:rPr>
          <w:rFonts w:cs="Times New Roman"/>
          <w:lang w:eastAsia="zh-CN"/>
        </w:rPr>
        <w:br w:type="page"/>
      </w:r>
    </w:p>
    <w:p w14:paraId="0F7D443A" w14:textId="37DE9C5B" w:rsidR="00970508" w:rsidRPr="00486CE3" w:rsidRDefault="00000000" w:rsidP="00F545AE">
      <w:pPr>
        <w:pStyle w:val="Heading1"/>
        <w:rPr>
          <w:rFonts w:cs="Times New Roman"/>
        </w:rPr>
      </w:pPr>
      <w:bookmarkStart w:id="11" w:name="_Toc190255816"/>
      <w:r w:rsidRPr="00486CE3">
        <w:rPr>
          <w:rFonts w:cs="Times New Roman"/>
        </w:rPr>
        <w:lastRenderedPageBreak/>
        <w:t>References</w:t>
      </w:r>
      <w:bookmarkEnd w:id="11"/>
    </w:p>
    <w:p w14:paraId="67738B47" w14:textId="02C3F943" w:rsidR="00F545AE" w:rsidRPr="00486CE3" w:rsidRDefault="00000000" w:rsidP="00486CE3">
      <w:pPr>
        <w:spacing w:after="0"/>
        <w:rPr>
          <w:rFonts w:cs="Times New Roman"/>
          <w:lang w:eastAsia="zh-CN"/>
        </w:rPr>
      </w:pPr>
      <w:r w:rsidRPr="00486CE3">
        <w:rPr>
          <w:rFonts w:cs="Times New Roman"/>
          <w:lang w:eastAsia="zh-CN"/>
        </w:rPr>
        <w:t>Baran, L. (2022). Dual Class Share Structure and Innovation. </w:t>
      </w:r>
      <w:r w:rsidRPr="00486CE3">
        <w:rPr>
          <w:rFonts w:cs="Times New Roman"/>
          <w:i/>
          <w:iCs/>
          <w:lang w:eastAsia="zh-CN"/>
        </w:rPr>
        <w:t>SSRN Electronic Journal</w:t>
      </w:r>
      <w:r w:rsidRPr="00486CE3">
        <w:rPr>
          <w:rFonts w:cs="Times New Roman"/>
          <w:lang w:eastAsia="zh-CN"/>
        </w:rPr>
        <w:t xml:space="preserve">, 1(3). </w:t>
      </w:r>
    </w:p>
    <w:p w14:paraId="56B31249" w14:textId="333E240E" w:rsidR="00F545AE" w:rsidRPr="00486CE3" w:rsidRDefault="00000000" w:rsidP="00486CE3">
      <w:pPr>
        <w:spacing w:after="0"/>
        <w:rPr>
          <w:rFonts w:cs="Times New Roman"/>
          <w:lang w:eastAsia="zh-CN"/>
        </w:rPr>
      </w:pPr>
      <w:r w:rsidRPr="00486CE3">
        <w:rPr>
          <w:rFonts w:cs="Times New Roman"/>
          <w:lang w:eastAsia="zh-CN"/>
        </w:rPr>
        <w:t>Cromme, G. (2024). Corporate Governance and Corporate Governance Code. </w:t>
      </w:r>
      <w:r w:rsidRPr="00486CE3">
        <w:rPr>
          <w:rFonts w:cs="Times New Roman"/>
          <w:i/>
          <w:iCs/>
          <w:lang w:eastAsia="zh-CN"/>
        </w:rPr>
        <w:t>Corporate Governance: An International Review</w:t>
      </w:r>
      <w:r w:rsidRPr="00486CE3">
        <w:rPr>
          <w:rFonts w:cs="Times New Roman"/>
          <w:lang w:eastAsia="zh-CN"/>
        </w:rPr>
        <w:t xml:space="preserve">, 13(3), pp.362–367. </w:t>
      </w:r>
    </w:p>
    <w:p w14:paraId="2ED15F26" w14:textId="77777777" w:rsidR="00F545AE" w:rsidRPr="00486CE3" w:rsidRDefault="00000000" w:rsidP="00486CE3">
      <w:pPr>
        <w:spacing w:after="0"/>
        <w:rPr>
          <w:rFonts w:cs="Times New Roman"/>
          <w:lang w:eastAsia="zh-CN"/>
        </w:rPr>
      </w:pPr>
      <w:r w:rsidRPr="00486CE3">
        <w:rPr>
          <w:rFonts w:cs="Times New Roman"/>
          <w:lang w:eastAsia="zh-CN"/>
        </w:rPr>
        <w:t>Dufour, A. (2023). </w:t>
      </w:r>
      <w:r w:rsidRPr="00486CE3">
        <w:rPr>
          <w:rFonts w:cs="Times New Roman"/>
          <w:i/>
          <w:iCs/>
          <w:lang w:eastAsia="zh-CN"/>
        </w:rPr>
        <w:t>Risk and Trading on Alternative Investment Market</w:t>
      </w:r>
      <w:r w:rsidRPr="00486CE3">
        <w:rPr>
          <w:rFonts w:cs="Times New Roman"/>
          <w:lang w:eastAsia="zh-CN"/>
        </w:rPr>
        <w:t>. Springer.</w:t>
      </w:r>
    </w:p>
    <w:p w14:paraId="313C0C79" w14:textId="71FA0713" w:rsidR="00F545AE" w:rsidRPr="00486CE3" w:rsidRDefault="00000000" w:rsidP="00486CE3">
      <w:pPr>
        <w:spacing w:after="0"/>
        <w:rPr>
          <w:rFonts w:cs="Times New Roman"/>
          <w:lang w:eastAsia="zh-CN"/>
        </w:rPr>
      </w:pPr>
      <w:r w:rsidRPr="00486CE3">
        <w:rPr>
          <w:rFonts w:cs="Times New Roman"/>
          <w:lang w:eastAsia="zh-CN"/>
        </w:rPr>
        <w:t>French, P. (2022). Agency Theory, Rational-Choice Theory, and Ethics. </w:t>
      </w:r>
      <w:r w:rsidRPr="00486CE3">
        <w:rPr>
          <w:rFonts w:cs="Times New Roman"/>
          <w:i/>
          <w:iCs/>
          <w:lang w:eastAsia="zh-CN"/>
        </w:rPr>
        <w:t>Business Ethics Quarterly</w:t>
      </w:r>
      <w:r w:rsidRPr="00486CE3">
        <w:rPr>
          <w:rFonts w:cs="Times New Roman"/>
          <w:lang w:eastAsia="zh-CN"/>
        </w:rPr>
        <w:t xml:space="preserve">, 5(3), p.621. </w:t>
      </w:r>
    </w:p>
    <w:p w14:paraId="67B7455D" w14:textId="1FEE5A84" w:rsidR="00F545AE" w:rsidRPr="00486CE3" w:rsidRDefault="00000000" w:rsidP="00486CE3">
      <w:pPr>
        <w:spacing w:after="0"/>
        <w:rPr>
          <w:rFonts w:cs="Times New Roman"/>
          <w:lang w:eastAsia="zh-CN"/>
        </w:rPr>
      </w:pPr>
      <w:r w:rsidRPr="00486CE3">
        <w:rPr>
          <w:rFonts w:cs="Times New Roman"/>
          <w:lang w:eastAsia="zh-CN"/>
        </w:rPr>
        <w:t>Gruman, J.A. (2022). Management-engagement Effort and Employee Engagement. </w:t>
      </w:r>
      <w:r w:rsidRPr="00486CE3">
        <w:rPr>
          <w:rFonts w:cs="Times New Roman"/>
          <w:i/>
          <w:iCs/>
          <w:lang w:eastAsia="zh-CN"/>
        </w:rPr>
        <w:t>Human Resource Management Review</w:t>
      </w:r>
      <w:r w:rsidRPr="00486CE3">
        <w:rPr>
          <w:rFonts w:cs="Times New Roman"/>
          <w:lang w:eastAsia="zh-CN"/>
        </w:rPr>
        <w:t xml:space="preserve">, 21(2), pp.123–136. </w:t>
      </w:r>
    </w:p>
    <w:p w14:paraId="7CECDE98" w14:textId="7BDC02EF" w:rsidR="00F545AE" w:rsidRPr="00486CE3" w:rsidRDefault="00000000" w:rsidP="00486CE3">
      <w:pPr>
        <w:spacing w:after="0"/>
        <w:rPr>
          <w:rFonts w:cs="Times New Roman"/>
          <w:lang w:eastAsia="zh-CN"/>
        </w:rPr>
      </w:pPr>
      <w:r w:rsidRPr="00486CE3">
        <w:rPr>
          <w:rFonts w:cs="Times New Roman"/>
          <w:lang w:eastAsia="zh-CN"/>
        </w:rPr>
        <w:t>Hornok, J. (2024). The Alternative Investment Market: Helping Small Enterprises Grow Public. </w:t>
      </w:r>
      <w:r w:rsidRPr="00486CE3">
        <w:rPr>
          <w:rFonts w:cs="Times New Roman"/>
          <w:i/>
          <w:iCs/>
          <w:lang w:eastAsia="zh-CN"/>
        </w:rPr>
        <w:t>SSRN Electronic Journal</w:t>
      </w:r>
      <w:r w:rsidRPr="00486CE3">
        <w:rPr>
          <w:rFonts w:cs="Times New Roman"/>
          <w:lang w:eastAsia="zh-CN"/>
        </w:rPr>
        <w:t xml:space="preserve">, 1(2). </w:t>
      </w:r>
    </w:p>
    <w:p w14:paraId="262456F2" w14:textId="1613421D" w:rsidR="00F545AE" w:rsidRPr="00486CE3" w:rsidRDefault="00000000" w:rsidP="00486CE3">
      <w:pPr>
        <w:spacing w:after="0"/>
        <w:rPr>
          <w:rFonts w:cs="Times New Roman"/>
          <w:lang w:eastAsia="zh-CN"/>
        </w:rPr>
      </w:pPr>
      <w:r w:rsidRPr="00486CE3">
        <w:rPr>
          <w:rFonts w:cs="Times New Roman"/>
          <w:lang w:eastAsia="zh-CN"/>
        </w:rPr>
        <w:t>Kernaghan, K. (2023). Codification of Ethics: The Codification Option. </w:t>
      </w:r>
      <w:r w:rsidRPr="00486CE3">
        <w:rPr>
          <w:rFonts w:cs="Times New Roman"/>
          <w:i/>
          <w:iCs/>
          <w:lang w:eastAsia="zh-CN"/>
        </w:rPr>
        <w:t>McGill-Queen’s University Press eBooks</w:t>
      </w:r>
      <w:r w:rsidRPr="00486CE3">
        <w:rPr>
          <w:rFonts w:cs="Times New Roman"/>
          <w:lang w:eastAsia="zh-CN"/>
        </w:rPr>
        <w:t xml:space="preserve">, 1(2), pp.15–29. </w:t>
      </w:r>
    </w:p>
    <w:p w14:paraId="5B2840C7" w14:textId="42699810" w:rsidR="00F545AE" w:rsidRPr="00486CE3" w:rsidRDefault="00000000" w:rsidP="00486CE3">
      <w:pPr>
        <w:spacing w:after="0"/>
        <w:rPr>
          <w:rFonts w:cs="Times New Roman"/>
          <w:lang w:eastAsia="zh-CN"/>
        </w:rPr>
      </w:pPr>
      <w:r w:rsidRPr="00486CE3">
        <w:rPr>
          <w:rFonts w:cs="Times New Roman"/>
          <w:lang w:eastAsia="zh-CN"/>
        </w:rPr>
        <w:t>Klabbers, J. (2024). The New Dutch Law on the Approval of Treaties. </w:t>
      </w:r>
      <w:r w:rsidRPr="00486CE3">
        <w:rPr>
          <w:rFonts w:cs="Times New Roman"/>
          <w:i/>
          <w:iCs/>
          <w:lang w:eastAsia="zh-CN"/>
        </w:rPr>
        <w:t>International and Comparative Law Quarterly</w:t>
      </w:r>
      <w:r w:rsidRPr="00486CE3">
        <w:rPr>
          <w:rFonts w:cs="Times New Roman"/>
          <w:lang w:eastAsia="zh-CN"/>
        </w:rPr>
        <w:t xml:space="preserve">, 44(3), pp.629–643. </w:t>
      </w:r>
    </w:p>
    <w:p w14:paraId="3249FB58" w14:textId="77777777" w:rsidR="00F545AE" w:rsidRPr="00486CE3" w:rsidRDefault="00000000" w:rsidP="00486CE3">
      <w:pPr>
        <w:spacing w:after="0"/>
        <w:rPr>
          <w:rFonts w:cs="Times New Roman"/>
          <w:lang w:eastAsia="zh-CN"/>
        </w:rPr>
      </w:pPr>
      <w:r w:rsidRPr="00486CE3">
        <w:rPr>
          <w:rFonts w:cs="Times New Roman"/>
          <w:lang w:eastAsia="zh-CN"/>
        </w:rPr>
        <w:t>Mallin, C. (2022). </w:t>
      </w:r>
      <w:r w:rsidRPr="00486CE3">
        <w:rPr>
          <w:rFonts w:cs="Times New Roman"/>
          <w:i/>
          <w:iCs/>
          <w:lang w:eastAsia="zh-CN"/>
        </w:rPr>
        <w:t>Corporate Governance</w:t>
      </w:r>
      <w:r w:rsidRPr="00486CE3">
        <w:rPr>
          <w:rFonts w:cs="Times New Roman"/>
          <w:lang w:eastAsia="zh-CN"/>
        </w:rPr>
        <w:t>. 6th ed. Oxford: Oxford University Press.</w:t>
      </w:r>
    </w:p>
    <w:p w14:paraId="5B3C2BC5" w14:textId="67FB86C9" w:rsidR="00F545AE" w:rsidRPr="00486CE3" w:rsidRDefault="00000000" w:rsidP="00486CE3">
      <w:pPr>
        <w:spacing w:after="0"/>
        <w:rPr>
          <w:rFonts w:cs="Times New Roman"/>
          <w:lang w:eastAsia="zh-CN"/>
        </w:rPr>
      </w:pPr>
      <w:r w:rsidRPr="00486CE3">
        <w:rPr>
          <w:rFonts w:cs="Times New Roman"/>
          <w:lang w:eastAsia="zh-CN"/>
        </w:rPr>
        <w:t>Reda, J.F. (2023). Compensation Committee Structure: A Blueprint for Success. </w:t>
      </w:r>
      <w:r w:rsidRPr="00486CE3">
        <w:rPr>
          <w:rFonts w:cs="Times New Roman"/>
          <w:i/>
          <w:iCs/>
          <w:lang w:eastAsia="zh-CN"/>
        </w:rPr>
        <w:t>SSRN Electronic Journal</w:t>
      </w:r>
      <w:r w:rsidRPr="00486CE3">
        <w:rPr>
          <w:rFonts w:cs="Times New Roman"/>
          <w:lang w:eastAsia="zh-CN"/>
        </w:rPr>
        <w:t xml:space="preserve">, 4(2). </w:t>
      </w:r>
    </w:p>
    <w:p w14:paraId="2E680560" w14:textId="376EB938" w:rsidR="00F545AE" w:rsidRPr="00486CE3" w:rsidRDefault="00000000" w:rsidP="00486CE3">
      <w:pPr>
        <w:spacing w:after="0"/>
        <w:rPr>
          <w:rFonts w:cs="Times New Roman"/>
          <w:lang w:eastAsia="zh-CN"/>
        </w:rPr>
      </w:pPr>
      <w:r w:rsidRPr="00486CE3">
        <w:rPr>
          <w:rFonts w:cs="Times New Roman"/>
          <w:lang w:eastAsia="zh-CN"/>
        </w:rPr>
        <w:t>Rodgers, Y. (2024). The Impact of Protective Measures. </w:t>
      </w:r>
      <w:r w:rsidRPr="00486CE3">
        <w:rPr>
          <w:rFonts w:cs="Times New Roman"/>
          <w:i/>
          <w:iCs/>
          <w:lang w:eastAsia="zh-CN"/>
        </w:rPr>
        <w:t>Journal of Labor Economics</w:t>
      </w:r>
      <w:r w:rsidRPr="00486CE3">
        <w:rPr>
          <w:rFonts w:cs="Times New Roman"/>
          <w:lang w:eastAsia="zh-CN"/>
        </w:rPr>
        <w:t xml:space="preserve">, 21(3), pp.533–555. </w:t>
      </w:r>
    </w:p>
    <w:p w14:paraId="67A3016C" w14:textId="2DC457E9" w:rsidR="00F545AE" w:rsidRPr="00486CE3" w:rsidRDefault="00000000" w:rsidP="00486CE3">
      <w:pPr>
        <w:spacing w:after="0"/>
        <w:rPr>
          <w:rFonts w:cs="Times New Roman"/>
          <w:lang w:eastAsia="zh-CN"/>
        </w:rPr>
      </w:pPr>
      <w:r w:rsidRPr="00486CE3">
        <w:rPr>
          <w:rFonts w:cs="Times New Roman"/>
          <w:lang w:eastAsia="zh-CN"/>
        </w:rPr>
        <w:t>Trachtman, J.P. (2021). China Securities Regulatory Commission. </w:t>
      </w:r>
      <w:r w:rsidRPr="00486CE3">
        <w:rPr>
          <w:rFonts w:cs="Times New Roman"/>
          <w:i/>
          <w:iCs/>
          <w:lang w:eastAsia="zh-CN"/>
        </w:rPr>
        <w:t>SSRN Electronic Journal</w:t>
      </w:r>
      <w:r w:rsidRPr="00486CE3">
        <w:rPr>
          <w:rFonts w:cs="Times New Roman"/>
          <w:lang w:eastAsia="zh-CN"/>
        </w:rPr>
        <w:t xml:space="preserve">, 6(3). </w:t>
      </w:r>
    </w:p>
    <w:p w14:paraId="737A8C5C" w14:textId="606D52D2" w:rsidR="00F545AE" w:rsidRPr="00486CE3" w:rsidRDefault="00000000" w:rsidP="00486CE3">
      <w:pPr>
        <w:spacing w:after="0"/>
        <w:rPr>
          <w:rFonts w:cs="Times New Roman"/>
          <w:lang w:eastAsia="zh-CN"/>
        </w:rPr>
      </w:pPr>
      <w:r w:rsidRPr="00486CE3">
        <w:rPr>
          <w:rFonts w:cs="Times New Roman"/>
          <w:lang w:eastAsia="zh-CN"/>
        </w:rPr>
        <w:t>Veld, C. (2023). An Empirical Analysis for the Dutch Market. </w:t>
      </w:r>
      <w:r w:rsidRPr="00486CE3">
        <w:rPr>
          <w:rFonts w:cs="Times New Roman"/>
          <w:i/>
          <w:iCs/>
          <w:lang w:eastAsia="zh-CN"/>
        </w:rPr>
        <w:t>Journal of Banking &amp; Finance</w:t>
      </w:r>
      <w:r w:rsidRPr="00486CE3">
        <w:rPr>
          <w:rFonts w:cs="Times New Roman"/>
          <w:lang w:eastAsia="zh-CN"/>
        </w:rPr>
        <w:t xml:space="preserve">, 22(12), pp.1481–1506. </w:t>
      </w:r>
    </w:p>
    <w:p w14:paraId="3F67967D" w14:textId="5D0F1F93" w:rsidR="00F545AE" w:rsidRPr="00486CE3" w:rsidRDefault="00000000" w:rsidP="00486CE3">
      <w:pPr>
        <w:spacing w:after="0"/>
        <w:rPr>
          <w:rFonts w:cs="Times New Roman"/>
          <w:lang w:eastAsia="zh-CN"/>
        </w:rPr>
      </w:pPr>
      <w:r w:rsidRPr="00486CE3">
        <w:rPr>
          <w:rFonts w:cs="Times New Roman"/>
          <w:lang w:eastAsia="zh-CN"/>
        </w:rPr>
        <w:t>Woller, K.M.P. (2022). Dutch Code Role in Risk Management. </w:t>
      </w:r>
      <w:r w:rsidRPr="00486CE3">
        <w:rPr>
          <w:rFonts w:cs="Times New Roman"/>
          <w:i/>
          <w:iCs/>
          <w:lang w:eastAsia="zh-CN"/>
        </w:rPr>
        <w:t>Journal of Career Assessment</w:t>
      </w:r>
      <w:r w:rsidRPr="00486CE3">
        <w:rPr>
          <w:rFonts w:cs="Times New Roman"/>
          <w:lang w:eastAsia="zh-CN"/>
        </w:rPr>
        <w:t xml:space="preserve">, 7(2), pp.161–172. </w:t>
      </w:r>
    </w:p>
    <w:p w14:paraId="1CE635AA" w14:textId="3F0B18A4" w:rsidR="00F545AE" w:rsidRPr="00486CE3" w:rsidRDefault="00000000" w:rsidP="00486CE3">
      <w:pPr>
        <w:spacing w:after="0"/>
        <w:rPr>
          <w:rFonts w:cs="Times New Roman"/>
          <w:lang w:eastAsia="zh-CN"/>
        </w:rPr>
      </w:pPr>
      <w:r w:rsidRPr="00486CE3">
        <w:rPr>
          <w:rFonts w:cs="Times New Roman"/>
          <w:lang w:eastAsia="zh-CN"/>
        </w:rPr>
        <w:t>Zeithaml, V. (2023). Financial Metrics and Their Impact on Financial Performance. </w:t>
      </w:r>
      <w:r w:rsidRPr="00486CE3">
        <w:rPr>
          <w:rFonts w:cs="Times New Roman"/>
          <w:i/>
          <w:iCs/>
          <w:lang w:eastAsia="zh-CN"/>
        </w:rPr>
        <w:t>Financial Management</w:t>
      </w:r>
      <w:r w:rsidRPr="00486CE3">
        <w:rPr>
          <w:rFonts w:cs="Times New Roman"/>
          <w:lang w:eastAsia="zh-CN"/>
        </w:rPr>
        <w:t>, 25(6), pp.718–</w:t>
      </w:r>
      <w:r w:rsidR="00486CE3" w:rsidRPr="00486CE3">
        <w:rPr>
          <w:rFonts w:cs="Times New Roman"/>
          <w:lang w:eastAsia="zh-CN"/>
        </w:rPr>
        <w:t>739.</w:t>
      </w:r>
    </w:p>
    <w:p w14:paraId="2D453869" w14:textId="77777777" w:rsidR="00970508" w:rsidRPr="00486CE3" w:rsidRDefault="00970508" w:rsidP="00970508">
      <w:pPr>
        <w:spacing w:after="0"/>
        <w:rPr>
          <w:rFonts w:cs="Times New Roman"/>
          <w:lang w:eastAsia="zh-CN"/>
        </w:rPr>
      </w:pPr>
    </w:p>
    <w:p w14:paraId="53E81FEE" w14:textId="77777777" w:rsidR="00970508" w:rsidRPr="00486CE3" w:rsidRDefault="00970508" w:rsidP="00970508">
      <w:pPr>
        <w:spacing w:after="0"/>
        <w:rPr>
          <w:rFonts w:cs="Times New Roman"/>
          <w:lang w:eastAsia="zh-CN"/>
        </w:rPr>
      </w:pPr>
    </w:p>
    <w:p w14:paraId="6D37E3EF" w14:textId="77777777" w:rsidR="007D1AEA" w:rsidRPr="00486CE3" w:rsidRDefault="007D1AEA" w:rsidP="00997D1D">
      <w:pPr>
        <w:spacing w:after="120"/>
        <w:rPr>
          <w:rFonts w:cs="Times New Roman"/>
          <w:szCs w:val="20"/>
        </w:rPr>
      </w:pPr>
    </w:p>
    <w:sectPr w:rsidR="007D1AEA" w:rsidRPr="00486CE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1CD89" w14:textId="77777777" w:rsidR="00F90E35" w:rsidRDefault="00F90E35">
      <w:pPr>
        <w:spacing w:after="0" w:line="240" w:lineRule="auto"/>
      </w:pPr>
      <w:r>
        <w:separator/>
      </w:r>
    </w:p>
  </w:endnote>
  <w:endnote w:type="continuationSeparator" w:id="0">
    <w:p w14:paraId="3D4B7D3B" w14:textId="77777777" w:rsidR="00F90E35" w:rsidRDefault="00F90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192832"/>
      <w:docPartObj>
        <w:docPartGallery w:val="Page Numbers (Bottom of Page)"/>
        <w:docPartUnique/>
      </w:docPartObj>
    </w:sdtPr>
    <w:sdtEndPr>
      <w:rPr>
        <w:noProof/>
      </w:rPr>
    </w:sdtEndPr>
    <w:sdtContent>
      <w:p w14:paraId="2D0B5B5C" w14:textId="614C0560" w:rsidR="000B256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7C86CA" w14:textId="77777777" w:rsidR="00285E52" w:rsidRDefault="00285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46A22" w14:textId="77777777" w:rsidR="00F90E35" w:rsidRDefault="00F90E35">
      <w:pPr>
        <w:spacing w:after="0" w:line="240" w:lineRule="auto"/>
      </w:pPr>
      <w:r>
        <w:separator/>
      </w:r>
    </w:p>
  </w:footnote>
  <w:footnote w:type="continuationSeparator" w:id="0">
    <w:p w14:paraId="7AE975EF" w14:textId="77777777" w:rsidR="00F90E35" w:rsidRDefault="00F90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03867"/>
    <w:multiLevelType w:val="hybridMultilevel"/>
    <w:tmpl w:val="934C6E5A"/>
    <w:lvl w:ilvl="0" w:tplc="AFFE5570">
      <w:start w:val="1"/>
      <w:numFmt w:val="upperLetter"/>
      <w:lvlText w:val="%1."/>
      <w:lvlJc w:val="left"/>
      <w:pPr>
        <w:ind w:left="360" w:hanging="360"/>
      </w:pPr>
      <w:rPr>
        <w:rFonts w:hint="default"/>
      </w:rPr>
    </w:lvl>
    <w:lvl w:ilvl="1" w:tplc="0FCE8FC4" w:tentative="1">
      <w:start w:val="1"/>
      <w:numFmt w:val="lowerLetter"/>
      <w:lvlText w:val="%2."/>
      <w:lvlJc w:val="left"/>
      <w:pPr>
        <w:ind w:left="1080" w:hanging="360"/>
      </w:pPr>
    </w:lvl>
    <w:lvl w:ilvl="2" w:tplc="D2ACC2AC" w:tentative="1">
      <w:start w:val="1"/>
      <w:numFmt w:val="lowerRoman"/>
      <w:lvlText w:val="%3."/>
      <w:lvlJc w:val="right"/>
      <w:pPr>
        <w:ind w:left="1800" w:hanging="180"/>
      </w:pPr>
    </w:lvl>
    <w:lvl w:ilvl="3" w:tplc="DC007FE8" w:tentative="1">
      <w:start w:val="1"/>
      <w:numFmt w:val="decimal"/>
      <w:lvlText w:val="%4."/>
      <w:lvlJc w:val="left"/>
      <w:pPr>
        <w:ind w:left="2520" w:hanging="360"/>
      </w:pPr>
    </w:lvl>
    <w:lvl w:ilvl="4" w:tplc="858491CE" w:tentative="1">
      <w:start w:val="1"/>
      <w:numFmt w:val="lowerLetter"/>
      <w:lvlText w:val="%5."/>
      <w:lvlJc w:val="left"/>
      <w:pPr>
        <w:ind w:left="3240" w:hanging="360"/>
      </w:pPr>
    </w:lvl>
    <w:lvl w:ilvl="5" w:tplc="00D2CE8C" w:tentative="1">
      <w:start w:val="1"/>
      <w:numFmt w:val="lowerRoman"/>
      <w:lvlText w:val="%6."/>
      <w:lvlJc w:val="right"/>
      <w:pPr>
        <w:ind w:left="3960" w:hanging="180"/>
      </w:pPr>
    </w:lvl>
    <w:lvl w:ilvl="6" w:tplc="81F27F40" w:tentative="1">
      <w:start w:val="1"/>
      <w:numFmt w:val="decimal"/>
      <w:lvlText w:val="%7."/>
      <w:lvlJc w:val="left"/>
      <w:pPr>
        <w:ind w:left="4680" w:hanging="360"/>
      </w:pPr>
    </w:lvl>
    <w:lvl w:ilvl="7" w:tplc="483EC624" w:tentative="1">
      <w:start w:val="1"/>
      <w:numFmt w:val="lowerLetter"/>
      <w:lvlText w:val="%8."/>
      <w:lvlJc w:val="left"/>
      <w:pPr>
        <w:ind w:left="5400" w:hanging="360"/>
      </w:pPr>
    </w:lvl>
    <w:lvl w:ilvl="8" w:tplc="E9305A9E" w:tentative="1">
      <w:start w:val="1"/>
      <w:numFmt w:val="lowerRoman"/>
      <w:lvlText w:val="%9."/>
      <w:lvlJc w:val="right"/>
      <w:pPr>
        <w:ind w:left="6120" w:hanging="180"/>
      </w:pPr>
    </w:lvl>
  </w:abstractNum>
  <w:abstractNum w:abstractNumId="1" w15:restartNumberingAfterBreak="0">
    <w:nsid w:val="4FB35B97"/>
    <w:multiLevelType w:val="hybridMultilevel"/>
    <w:tmpl w:val="DAC07138"/>
    <w:lvl w:ilvl="0" w:tplc="84EA6A30">
      <w:start w:val="1"/>
      <w:numFmt w:val="bullet"/>
      <w:lvlText w:val=""/>
      <w:lvlJc w:val="left"/>
      <w:pPr>
        <w:ind w:left="360" w:hanging="360"/>
      </w:pPr>
      <w:rPr>
        <w:rFonts w:ascii="Wingdings" w:hAnsi="Wingdings" w:hint="default"/>
      </w:rPr>
    </w:lvl>
    <w:lvl w:ilvl="1" w:tplc="37EE1538" w:tentative="1">
      <w:start w:val="1"/>
      <w:numFmt w:val="bullet"/>
      <w:lvlText w:val="o"/>
      <w:lvlJc w:val="left"/>
      <w:pPr>
        <w:ind w:left="1080" w:hanging="360"/>
      </w:pPr>
      <w:rPr>
        <w:rFonts w:ascii="Courier New" w:hAnsi="Courier New" w:cs="Courier New" w:hint="default"/>
      </w:rPr>
    </w:lvl>
    <w:lvl w:ilvl="2" w:tplc="8C484B6A" w:tentative="1">
      <w:start w:val="1"/>
      <w:numFmt w:val="bullet"/>
      <w:lvlText w:val=""/>
      <w:lvlJc w:val="left"/>
      <w:pPr>
        <w:ind w:left="1800" w:hanging="360"/>
      </w:pPr>
      <w:rPr>
        <w:rFonts w:ascii="Wingdings" w:hAnsi="Wingdings" w:hint="default"/>
      </w:rPr>
    </w:lvl>
    <w:lvl w:ilvl="3" w:tplc="73840068" w:tentative="1">
      <w:start w:val="1"/>
      <w:numFmt w:val="bullet"/>
      <w:lvlText w:val=""/>
      <w:lvlJc w:val="left"/>
      <w:pPr>
        <w:ind w:left="2520" w:hanging="360"/>
      </w:pPr>
      <w:rPr>
        <w:rFonts w:ascii="Symbol" w:hAnsi="Symbol" w:hint="default"/>
      </w:rPr>
    </w:lvl>
    <w:lvl w:ilvl="4" w:tplc="10BA19AA" w:tentative="1">
      <w:start w:val="1"/>
      <w:numFmt w:val="bullet"/>
      <w:lvlText w:val="o"/>
      <w:lvlJc w:val="left"/>
      <w:pPr>
        <w:ind w:left="3240" w:hanging="360"/>
      </w:pPr>
      <w:rPr>
        <w:rFonts w:ascii="Courier New" w:hAnsi="Courier New" w:cs="Courier New" w:hint="default"/>
      </w:rPr>
    </w:lvl>
    <w:lvl w:ilvl="5" w:tplc="F2B010F8" w:tentative="1">
      <w:start w:val="1"/>
      <w:numFmt w:val="bullet"/>
      <w:lvlText w:val=""/>
      <w:lvlJc w:val="left"/>
      <w:pPr>
        <w:ind w:left="3960" w:hanging="360"/>
      </w:pPr>
      <w:rPr>
        <w:rFonts w:ascii="Wingdings" w:hAnsi="Wingdings" w:hint="default"/>
      </w:rPr>
    </w:lvl>
    <w:lvl w:ilvl="6" w:tplc="645699C0" w:tentative="1">
      <w:start w:val="1"/>
      <w:numFmt w:val="bullet"/>
      <w:lvlText w:val=""/>
      <w:lvlJc w:val="left"/>
      <w:pPr>
        <w:ind w:left="4680" w:hanging="360"/>
      </w:pPr>
      <w:rPr>
        <w:rFonts w:ascii="Symbol" w:hAnsi="Symbol" w:hint="default"/>
      </w:rPr>
    </w:lvl>
    <w:lvl w:ilvl="7" w:tplc="09623B82" w:tentative="1">
      <w:start w:val="1"/>
      <w:numFmt w:val="bullet"/>
      <w:lvlText w:val="o"/>
      <w:lvlJc w:val="left"/>
      <w:pPr>
        <w:ind w:left="5400" w:hanging="360"/>
      </w:pPr>
      <w:rPr>
        <w:rFonts w:ascii="Courier New" w:hAnsi="Courier New" w:cs="Courier New" w:hint="default"/>
      </w:rPr>
    </w:lvl>
    <w:lvl w:ilvl="8" w:tplc="4CC0C79C" w:tentative="1">
      <w:start w:val="1"/>
      <w:numFmt w:val="bullet"/>
      <w:lvlText w:val=""/>
      <w:lvlJc w:val="left"/>
      <w:pPr>
        <w:ind w:left="6120" w:hanging="360"/>
      </w:pPr>
      <w:rPr>
        <w:rFonts w:ascii="Wingdings" w:hAnsi="Wingdings" w:hint="default"/>
      </w:rPr>
    </w:lvl>
  </w:abstractNum>
  <w:num w:numId="1" w16cid:durableId="315494438">
    <w:abstractNumId w:val="1"/>
  </w:num>
  <w:num w:numId="2" w16cid:durableId="2031179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AEA"/>
    <w:rsid w:val="000013F2"/>
    <w:rsid w:val="00001993"/>
    <w:rsid w:val="000031C2"/>
    <w:rsid w:val="00003E38"/>
    <w:rsid w:val="00004643"/>
    <w:rsid w:val="0000718D"/>
    <w:rsid w:val="000102A5"/>
    <w:rsid w:val="000108F0"/>
    <w:rsid w:val="00013E58"/>
    <w:rsid w:val="00014DE1"/>
    <w:rsid w:val="00015425"/>
    <w:rsid w:val="00015D17"/>
    <w:rsid w:val="00015E92"/>
    <w:rsid w:val="00017E3A"/>
    <w:rsid w:val="00021A08"/>
    <w:rsid w:val="00021A26"/>
    <w:rsid w:val="00022A7B"/>
    <w:rsid w:val="000235F5"/>
    <w:rsid w:val="0002456D"/>
    <w:rsid w:val="00024665"/>
    <w:rsid w:val="00024AFA"/>
    <w:rsid w:val="00025077"/>
    <w:rsid w:val="0002605C"/>
    <w:rsid w:val="00026925"/>
    <w:rsid w:val="0003030B"/>
    <w:rsid w:val="00030ABA"/>
    <w:rsid w:val="00030CBD"/>
    <w:rsid w:val="00031770"/>
    <w:rsid w:val="00031C71"/>
    <w:rsid w:val="00033012"/>
    <w:rsid w:val="00033A0F"/>
    <w:rsid w:val="000355B7"/>
    <w:rsid w:val="000365A2"/>
    <w:rsid w:val="00036BC2"/>
    <w:rsid w:val="00037063"/>
    <w:rsid w:val="0003734D"/>
    <w:rsid w:val="000421AB"/>
    <w:rsid w:val="0004366C"/>
    <w:rsid w:val="000443FB"/>
    <w:rsid w:val="0004460C"/>
    <w:rsid w:val="0004554F"/>
    <w:rsid w:val="000461A9"/>
    <w:rsid w:val="0004664F"/>
    <w:rsid w:val="000478F7"/>
    <w:rsid w:val="00050424"/>
    <w:rsid w:val="000507A6"/>
    <w:rsid w:val="00051C81"/>
    <w:rsid w:val="000526A0"/>
    <w:rsid w:val="000528C6"/>
    <w:rsid w:val="00053A93"/>
    <w:rsid w:val="00053F1F"/>
    <w:rsid w:val="000543FE"/>
    <w:rsid w:val="000571B9"/>
    <w:rsid w:val="000573A6"/>
    <w:rsid w:val="000600BC"/>
    <w:rsid w:val="000604A8"/>
    <w:rsid w:val="00060F6B"/>
    <w:rsid w:val="0006115F"/>
    <w:rsid w:val="00062613"/>
    <w:rsid w:val="00064E1C"/>
    <w:rsid w:val="000663F1"/>
    <w:rsid w:val="000669FF"/>
    <w:rsid w:val="00066FDF"/>
    <w:rsid w:val="00067B6C"/>
    <w:rsid w:val="00067D63"/>
    <w:rsid w:val="00070F9A"/>
    <w:rsid w:val="0007143A"/>
    <w:rsid w:val="00071BC4"/>
    <w:rsid w:val="00072151"/>
    <w:rsid w:val="000724AD"/>
    <w:rsid w:val="00074D1C"/>
    <w:rsid w:val="000753FB"/>
    <w:rsid w:val="00076262"/>
    <w:rsid w:val="000803E4"/>
    <w:rsid w:val="0008098A"/>
    <w:rsid w:val="00080C18"/>
    <w:rsid w:val="0008186B"/>
    <w:rsid w:val="000819FA"/>
    <w:rsid w:val="00081A55"/>
    <w:rsid w:val="000834ED"/>
    <w:rsid w:val="00083BD6"/>
    <w:rsid w:val="000854FD"/>
    <w:rsid w:val="00085AC2"/>
    <w:rsid w:val="0009025F"/>
    <w:rsid w:val="00090AD8"/>
    <w:rsid w:val="0009365A"/>
    <w:rsid w:val="00093920"/>
    <w:rsid w:val="00095288"/>
    <w:rsid w:val="000A0E03"/>
    <w:rsid w:val="000A15BA"/>
    <w:rsid w:val="000A6109"/>
    <w:rsid w:val="000A6459"/>
    <w:rsid w:val="000A6A9E"/>
    <w:rsid w:val="000A6F31"/>
    <w:rsid w:val="000A7A3F"/>
    <w:rsid w:val="000B061D"/>
    <w:rsid w:val="000B1482"/>
    <w:rsid w:val="000B19CE"/>
    <w:rsid w:val="000B200F"/>
    <w:rsid w:val="000B256A"/>
    <w:rsid w:val="000B2691"/>
    <w:rsid w:val="000B2AC7"/>
    <w:rsid w:val="000B31C5"/>
    <w:rsid w:val="000B4221"/>
    <w:rsid w:val="000B6442"/>
    <w:rsid w:val="000C140B"/>
    <w:rsid w:val="000C1A83"/>
    <w:rsid w:val="000C2C3D"/>
    <w:rsid w:val="000C32C8"/>
    <w:rsid w:val="000C3AF9"/>
    <w:rsid w:val="000C70BD"/>
    <w:rsid w:val="000C70F3"/>
    <w:rsid w:val="000C7186"/>
    <w:rsid w:val="000C7676"/>
    <w:rsid w:val="000D130A"/>
    <w:rsid w:val="000D1893"/>
    <w:rsid w:val="000D19BA"/>
    <w:rsid w:val="000D2E2F"/>
    <w:rsid w:val="000D35FE"/>
    <w:rsid w:val="000D3C2A"/>
    <w:rsid w:val="000D40A2"/>
    <w:rsid w:val="000D50F6"/>
    <w:rsid w:val="000D67FC"/>
    <w:rsid w:val="000D7722"/>
    <w:rsid w:val="000E1A06"/>
    <w:rsid w:val="000E1B5E"/>
    <w:rsid w:val="000E24F7"/>
    <w:rsid w:val="000E30DE"/>
    <w:rsid w:val="000E36BA"/>
    <w:rsid w:val="000E4320"/>
    <w:rsid w:val="000E63EF"/>
    <w:rsid w:val="000E6728"/>
    <w:rsid w:val="000E6FB8"/>
    <w:rsid w:val="000E75D7"/>
    <w:rsid w:val="000F00B1"/>
    <w:rsid w:val="000F0291"/>
    <w:rsid w:val="000F0610"/>
    <w:rsid w:val="000F2404"/>
    <w:rsid w:val="000F2CBC"/>
    <w:rsid w:val="000F30DE"/>
    <w:rsid w:val="000F3117"/>
    <w:rsid w:val="000F3FE2"/>
    <w:rsid w:val="000F597D"/>
    <w:rsid w:val="000F6BD8"/>
    <w:rsid w:val="00100131"/>
    <w:rsid w:val="0010039D"/>
    <w:rsid w:val="00101B66"/>
    <w:rsid w:val="00101E4D"/>
    <w:rsid w:val="00102E8D"/>
    <w:rsid w:val="00103D2A"/>
    <w:rsid w:val="00103E21"/>
    <w:rsid w:val="00104364"/>
    <w:rsid w:val="001043B3"/>
    <w:rsid w:val="00104FFB"/>
    <w:rsid w:val="00106509"/>
    <w:rsid w:val="00106D56"/>
    <w:rsid w:val="00107410"/>
    <w:rsid w:val="001076B1"/>
    <w:rsid w:val="0011063D"/>
    <w:rsid w:val="0011088D"/>
    <w:rsid w:val="001108D3"/>
    <w:rsid w:val="0011193A"/>
    <w:rsid w:val="00111DDB"/>
    <w:rsid w:val="00111E79"/>
    <w:rsid w:val="00112538"/>
    <w:rsid w:val="00112CFC"/>
    <w:rsid w:val="00112E27"/>
    <w:rsid w:val="00113B48"/>
    <w:rsid w:val="001148F4"/>
    <w:rsid w:val="00116398"/>
    <w:rsid w:val="0011706D"/>
    <w:rsid w:val="00117083"/>
    <w:rsid w:val="00117A7F"/>
    <w:rsid w:val="00117AE7"/>
    <w:rsid w:val="00117F79"/>
    <w:rsid w:val="0012029B"/>
    <w:rsid w:val="001208F2"/>
    <w:rsid w:val="00122F3B"/>
    <w:rsid w:val="001232FD"/>
    <w:rsid w:val="001252A4"/>
    <w:rsid w:val="001254EB"/>
    <w:rsid w:val="00125E51"/>
    <w:rsid w:val="001307D4"/>
    <w:rsid w:val="001308BA"/>
    <w:rsid w:val="00130E20"/>
    <w:rsid w:val="001313B1"/>
    <w:rsid w:val="00131522"/>
    <w:rsid w:val="0013158F"/>
    <w:rsid w:val="0013173D"/>
    <w:rsid w:val="00132E2B"/>
    <w:rsid w:val="0013655A"/>
    <w:rsid w:val="00137544"/>
    <w:rsid w:val="00137A64"/>
    <w:rsid w:val="00137CA6"/>
    <w:rsid w:val="00137D42"/>
    <w:rsid w:val="00141245"/>
    <w:rsid w:val="001412F1"/>
    <w:rsid w:val="00141569"/>
    <w:rsid w:val="00143555"/>
    <w:rsid w:val="00144E1E"/>
    <w:rsid w:val="00146E1B"/>
    <w:rsid w:val="0015054B"/>
    <w:rsid w:val="00150B3B"/>
    <w:rsid w:val="00151888"/>
    <w:rsid w:val="00151B0F"/>
    <w:rsid w:val="00152169"/>
    <w:rsid w:val="0015260A"/>
    <w:rsid w:val="00152BEC"/>
    <w:rsid w:val="00152FFD"/>
    <w:rsid w:val="00154258"/>
    <w:rsid w:val="00154A54"/>
    <w:rsid w:val="00155780"/>
    <w:rsid w:val="00156025"/>
    <w:rsid w:val="001620C5"/>
    <w:rsid w:val="00163028"/>
    <w:rsid w:val="00163452"/>
    <w:rsid w:val="00163551"/>
    <w:rsid w:val="00164944"/>
    <w:rsid w:val="0016565A"/>
    <w:rsid w:val="00166785"/>
    <w:rsid w:val="00171A3E"/>
    <w:rsid w:val="00171E04"/>
    <w:rsid w:val="001729A9"/>
    <w:rsid w:val="00174365"/>
    <w:rsid w:val="001774F5"/>
    <w:rsid w:val="00177793"/>
    <w:rsid w:val="001778FC"/>
    <w:rsid w:val="0017793E"/>
    <w:rsid w:val="00177CF5"/>
    <w:rsid w:val="00177D97"/>
    <w:rsid w:val="00181018"/>
    <w:rsid w:val="0018285B"/>
    <w:rsid w:val="0018342D"/>
    <w:rsid w:val="00183679"/>
    <w:rsid w:val="0018375F"/>
    <w:rsid w:val="00183ECA"/>
    <w:rsid w:val="00184A99"/>
    <w:rsid w:val="001855D0"/>
    <w:rsid w:val="00186EF2"/>
    <w:rsid w:val="00190A54"/>
    <w:rsid w:val="00192777"/>
    <w:rsid w:val="00192C2A"/>
    <w:rsid w:val="00193113"/>
    <w:rsid w:val="001938A3"/>
    <w:rsid w:val="0019405A"/>
    <w:rsid w:val="00194474"/>
    <w:rsid w:val="00194AF0"/>
    <w:rsid w:val="00194C51"/>
    <w:rsid w:val="00194FD9"/>
    <w:rsid w:val="0019571B"/>
    <w:rsid w:val="00195B0B"/>
    <w:rsid w:val="00195EE0"/>
    <w:rsid w:val="00195FCC"/>
    <w:rsid w:val="00196ED9"/>
    <w:rsid w:val="001A0B25"/>
    <w:rsid w:val="001A1609"/>
    <w:rsid w:val="001A22B8"/>
    <w:rsid w:val="001A2DC3"/>
    <w:rsid w:val="001A6777"/>
    <w:rsid w:val="001A6B75"/>
    <w:rsid w:val="001A74F7"/>
    <w:rsid w:val="001B2DDA"/>
    <w:rsid w:val="001B3FB8"/>
    <w:rsid w:val="001B79A2"/>
    <w:rsid w:val="001B7DF3"/>
    <w:rsid w:val="001C05AA"/>
    <w:rsid w:val="001C0FEF"/>
    <w:rsid w:val="001C1104"/>
    <w:rsid w:val="001C14EF"/>
    <w:rsid w:val="001C1E2D"/>
    <w:rsid w:val="001C21E3"/>
    <w:rsid w:val="001C2481"/>
    <w:rsid w:val="001C399A"/>
    <w:rsid w:val="001C4C77"/>
    <w:rsid w:val="001C5086"/>
    <w:rsid w:val="001C6619"/>
    <w:rsid w:val="001C7773"/>
    <w:rsid w:val="001D1D84"/>
    <w:rsid w:val="001D2818"/>
    <w:rsid w:val="001D346E"/>
    <w:rsid w:val="001D372B"/>
    <w:rsid w:val="001D3C88"/>
    <w:rsid w:val="001D412E"/>
    <w:rsid w:val="001D6747"/>
    <w:rsid w:val="001D7C69"/>
    <w:rsid w:val="001E0270"/>
    <w:rsid w:val="001E03DE"/>
    <w:rsid w:val="001E07CC"/>
    <w:rsid w:val="001E555A"/>
    <w:rsid w:val="001E57C7"/>
    <w:rsid w:val="001E7F9D"/>
    <w:rsid w:val="001F00EB"/>
    <w:rsid w:val="001F138C"/>
    <w:rsid w:val="001F18F5"/>
    <w:rsid w:val="001F1CC3"/>
    <w:rsid w:val="001F2788"/>
    <w:rsid w:val="001F27DB"/>
    <w:rsid w:val="001F2F24"/>
    <w:rsid w:val="001F38DB"/>
    <w:rsid w:val="001F4D8C"/>
    <w:rsid w:val="001F661B"/>
    <w:rsid w:val="002014F1"/>
    <w:rsid w:val="00201626"/>
    <w:rsid w:val="00201BAC"/>
    <w:rsid w:val="00202544"/>
    <w:rsid w:val="0020278D"/>
    <w:rsid w:val="00202C0B"/>
    <w:rsid w:val="00202F90"/>
    <w:rsid w:val="002046CF"/>
    <w:rsid w:val="002053C6"/>
    <w:rsid w:val="0020697F"/>
    <w:rsid w:val="0020787F"/>
    <w:rsid w:val="00210040"/>
    <w:rsid w:val="002119AA"/>
    <w:rsid w:val="0021272C"/>
    <w:rsid w:val="0021401E"/>
    <w:rsid w:val="002147EE"/>
    <w:rsid w:val="002157FD"/>
    <w:rsid w:val="002178CF"/>
    <w:rsid w:val="00220470"/>
    <w:rsid w:val="002209F0"/>
    <w:rsid w:val="0022128B"/>
    <w:rsid w:val="002215B0"/>
    <w:rsid w:val="00221B88"/>
    <w:rsid w:val="002221D6"/>
    <w:rsid w:val="002233F5"/>
    <w:rsid w:val="0022346A"/>
    <w:rsid w:val="00224BF3"/>
    <w:rsid w:val="002259A6"/>
    <w:rsid w:val="00225DCA"/>
    <w:rsid w:val="00226133"/>
    <w:rsid w:val="00227595"/>
    <w:rsid w:val="00232159"/>
    <w:rsid w:val="00233902"/>
    <w:rsid w:val="00233DA4"/>
    <w:rsid w:val="002355D6"/>
    <w:rsid w:val="00236232"/>
    <w:rsid w:val="002363D3"/>
    <w:rsid w:val="00236944"/>
    <w:rsid w:val="00237156"/>
    <w:rsid w:val="00237932"/>
    <w:rsid w:val="00241DB0"/>
    <w:rsid w:val="0024220C"/>
    <w:rsid w:val="00242E3F"/>
    <w:rsid w:val="00242F3F"/>
    <w:rsid w:val="00244A6C"/>
    <w:rsid w:val="002461F8"/>
    <w:rsid w:val="00246458"/>
    <w:rsid w:val="002467C2"/>
    <w:rsid w:val="0024765E"/>
    <w:rsid w:val="002476A2"/>
    <w:rsid w:val="00247869"/>
    <w:rsid w:val="0024798D"/>
    <w:rsid w:val="002503FD"/>
    <w:rsid w:val="00251A28"/>
    <w:rsid w:val="00252424"/>
    <w:rsid w:val="00252982"/>
    <w:rsid w:val="002543A3"/>
    <w:rsid w:val="00254526"/>
    <w:rsid w:val="00255F70"/>
    <w:rsid w:val="00256F1A"/>
    <w:rsid w:val="002570B0"/>
    <w:rsid w:val="00261885"/>
    <w:rsid w:val="00262646"/>
    <w:rsid w:val="00264496"/>
    <w:rsid w:val="00264773"/>
    <w:rsid w:val="00264F3A"/>
    <w:rsid w:val="002665F7"/>
    <w:rsid w:val="0026713F"/>
    <w:rsid w:val="0026778C"/>
    <w:rsid w:val="002708AA"/>
    <w:rsid w:val="00270A56"/>
    <w:rsid w:val="002713EB"/>
    <w:rsid w:val="00272EAD"/>
    <w:rsid w:val="00272FA9"/>
    <w:rsid w:val="002735BE"/>
    <w:rsid w:val="0027365F"/>
    <w:rsid w:val="00273BEB"/>
    <w:rsid w:val="00274501"/>
    <w:rsid w:val="0027648E"/>
    <w:rsid w:val="0027718D"/>
    <w:rsid w:val="00277C57"/>
    <w:rsid w:val="002802C3"/>
    <w:rsid w:val="00280F31"/>
    <w:rsid w:val="00282405"/>
    <w:rsid w:val="0028291D"/>
    <w:rsid w:val="002832E1"/>
    <w:rsid w:val="00284B59"/>
    <w:rsid w:val="00284EE5"/>
    <w:rsid w:val="00285E52"/>
    <w:rsid w:val="0028700F"/>
    <w:rsid w:val="0028793E"/>
    <w:rsid w:val="00287DDD"/>
    <w:rsid w:val="00290213"/>
    <w:rsid w:val="002905E9"/>
    <w:rsid w:val="002908F5"/>
    <w:rsid w:val="00294960"/>
    <w:rsid w:val="0029500E"/>
    <w:rsid w:val="002A029F"/>
    <w:rsid w:val="002A303B"/>
    <w:rsid w:val="002A45A6"/>
    <w:rsid w:val="002A532E"/>
    <w:rsid w:val="002B0419"/>
    <w:rsid w:val="002B14E0"/>
    <w:rsid w:val="002B1CED"/>
    <w:rsid w:val="002B2296"/>
    <w:rsid w:val="002B2C7A"/>
    <w:rsid w:val="002B71AF"/>
    <w:rsid w:val="002C0398"/>
    <w:rsid w:val="002C07C1"/>
    <w:rsid w:val="002C197D"/>
    <w:rsid w:val="002C1D91"/>
    <w:rsid w:val="002C3184"/>
    <w:rsid w:val="002C34E7"/>
    <w:rsid w:val="002C3DE5"/>
    <w:rsid w:val="002C4308"/>
    <w:rsid w:val="002C4544"/>
    <w:rsid w:val="002C52B6"/>
    <w:rsid w:val="002C6089"/>
    <w:rsid w:val="002C6B51"/>
    <w:rsid w:val="002C6C64"/>
    <w:rsid w:val="002C7A4E"/>
    <w:rsid w:val="002D062F"/>
    <w:rsid w:val="002D0778"/>
    <w:rsid w:val="002D0D4F"/>
    <w:rsid w:val="002D17F9"/>
    <w:rsid w:val="002D2643"/>
    <w:rsid w:val="002D412B"/>
    <w:rsid w:val="002D5732"/>
    <w:rsid w:val="002D577F"/>
    <w:rsid w:val="002D5861"/>
    <w:rsid w:val="002D69E4"/>
    <w:rsid w:val="002D6E20"/>
    <w:rsid w:val="002D766B"/>
    <w:rsid w:val="002D7A2D"/>
    <w:rsid w:val="002D7AB7"/>
    <w:rsid w:val="002E08CE"/>
    <w:rsid w:val="002E0F38"/>
    <w:rsid w:val="002E1814"/>
    <w:rsid w:val="002E3666"/>
    <w:rsid w:val="002E4B80"/>
    <w:rsid w:val="002E57CB"/>
    <w:rsid w:val="002F10EA"/>
    <w:rsid w:val="002F19D8"/>
    <w:rsid w:val="002F2ED3"/>
    <w:rsid w:val="002F3E85"/>
    <w:rsid w:val="002F41EF"/>
    <w:rsid w:val="002F4B58"/>
    <w:rsid w:val="002F58C7"/>
    <w:rsid w:val="002F613B"/>
    <w:rsid w:val="002F625F"/>
    <w:rsid w:val="002F7159"/>
    <w:rsid w:val="002F717D"/>
    <w:rsid w:val="00300840"/>
    <w:rsid w:val="00300B10"/>
    <w:rsid w:val="003012C4"/>
    <w:rsid w:val="00301D4A"/>
    <w:rsid w:val="0030212F"/>
    <w:rsid w:val="003069B9"/>
    <w:rsid w:val="00310561"/>
    <w:rsid w:val="00310CB7"/>
    <w:rsid w:val="00311858"/>
    <w:rsid w:val="00311D39"/>
    <w:rsid w:val="00314088"/>
    <w:rsid w:val="00314579"/>
    <w:rsid w:val="00317940"/>
    <w:rsid w:val="00317A87"/>
    <w:rsid w:val="003203DA"/>
    <w:rsid w:val="0032242C"/>
    <w:rsid w:val="003234FE"/>
    <w:rsid w:val="003235B3"/>
    <w:rsid w:val="00323650"/>
    <w:rsid w:val="00324531"/>
    <w:rsid w:val="00325DAF"/>
    <w:rsid w:val="00326363"/>
    <w:rsid w:val="0033013E"/>
    <w:rsid w:val="00330497"/>
    <w:rsid w:val="00330CD2"/>
    <w:rsid w:val="00330F64"/>
    <w:rsid w:val="00331539"/>
    <w:rsid w:val="00331FDE"/>
    <w:rsid w:val="003338D4"/>
    <w:rsid w:val="003341F5"/>
    <w:rsid w:val="0033439B"/>
    <w:rsid w:val="0033548F"/>
    <w:rsid w:val="00336993"/>
    <w:rsid w:val="00336BB9"/>
    <w:rsid w:val="0033727F"/>
    <w:rsid w:val="003403B5"/>
    <w:rsid w:val="00340D2F"/>
    <w:rsid w:val="0034264A"/>
    <w:rsid w:val="00342B27"/>
    <w:rsid w:val="0034419D"/>
    <w:rsid w:val="00344A9A"/>
    <w:rsid w:val="00345B01"/>
    <w:rsid w:val="00346192"/>
    <w:rsid w:val="003461ED"/>
    <w:rsid w:val="003463E8"/>
    <w:rsid w:val="00347072"/>
    <w:rsid w:val="00350F03"/>
    <w:rsid w:val="0035129E"/>
    <w:rsid w:val="00351B79"/>
    <w:rsid w:val="00353D1E"/>
    <w:rsid w:val="003545C7"/>
    <w:rsid w:val="0035547E"/>
    <w:rsid w:val="0035575F"/>
    <w:rsid w:val="003557CE"/>
    <w:rsid w:val="00357736"/>
    <w:rsid w:val="00357C07"/>
    <w:rsid w:val="00360812"/>
    <w:rsid w:val="00360D47"/>
    <w:rsid w:val="00362CA5"/>
    <w:rsid w:val="00364355"/>
    <w:rsid w:val="0036534E"/>
    <w:rsid w:val="00365493"/>
    <w:rsid w:val="003671D0"/>
    <w:rsid w:val="00367488"/>
    <w:rsid w:val="003679D2"/>
    <w:rsid w:val="0037008C"/>
    <w:rsid w:val="00370DB6"/>
    <w:rsid w:val="0037128B"/>
    <w:rsid w:val="00371F8F"/>
    <w:rsid w:val="003727D5"/>
    <w:rsid w:val="0037351B"/>
    <w:rsid w:val="003752F2"/>
    <w:rsid w:val="00375766"/>
    <w:rsid w:val="00375A77"/>
    <w:rsid w:val="003830D3"/>
    <w:rsid w:val="00383E00"/>
    <w:rsid w:val="00383E2A"/>
    <w:rsid w:val="00385A9D"/>
    <w:rsid w:val="00387F85"/>
    <w:rsid w:val="00390ACF"/>
    <w:rsid w:val="00391418"/>
    <w:rsid w:val="00391D37"/>
    <w:rsid w:val="00392E5E"/>
    <w:rsid w:val="0039357A"/>
    <w:rsid w:val="003937E3"/>
    <w:rsid w:val="00393CD1"/>
    <w:rsid w:val="0039471D"/>
    <w:rsid w:val="0039489F"/>
    <w:rsid w:val="003958C3"/>
    <w:rsid w:val="003966DB"/>
    <w:rsid w:val="003A04A1"/>
    <w:rsid w:val="003A208D"/>
    <w:rsid w:val="003A2CAD"/>
    <w:rsid w:val="003A31E5"/>
    <w:rsid w:val="003A3928"/>
    <w:rsid w:val="003A3AF9"/>
    <w:rsid w:val="003A48D2"/>
    <w:rsid w:val="003A6290"/>
    <w:rsid w:val="003A6996"/>
    <w:rsid w:val="003A6ADC"/>
    <w:rsid w:val="003A6EF5"/>
    <w:rsid w:val="003A7E53"/>
    <w:rsid w:val="003B0349"/>
    <w:rsid w:val="003B04C5"/>
    <w:rsid w:val="003B0A67"/>
    <w:rsid w:val="003B0EEF"/>
    <w:rsid w:val="003B11D5"/>
    <w:rsid w:val="003B1C44"/>
    <w:rsid w:val="003B24FB"/>
    <w:rsid w:val="003B2595"/>
    <w:rsid w:val="003B4E01"/>
    <w:rsid w:val="003B4F19"/>
    <w:rsid w:val="003B504F"/>
    <w:rsid w:val="003B5563"/>
    <w:rsid w:val="003B62E9"/>
    <w:rsid w:val="003B6C13"/>
    <w:rsid w:val="003B7B52"/>
    <w:rsid w:val="003C0E6C"/>
    <w:rsid w:val="003C10E5"/>
    <w:rsid w:val="003C16AC"/>
    <w:rsid w:val="003C25A8"/>
    <w:rsid w:val="003C2C80"/>
    <w:rsid w:val="003C4368"/>
    <w:rsid w:val="003C54E6"/>
    <w:rsid w:val="003C761C"/>
    <w:rsid w:val="003C780B"/>
    <w:rsid w:val="003C7DCC"/>
    <w:rsid w:val="003C7F34"/>
    <w:rsid w:val="003D0202"/>
    <w:rsid w:val="003D213F"/>
    <w:rsid w:val="003D42B3"/>
    <w:rsid w:val="003D44CC"/>
    <w:rsid w:val="003D5348"/>
    <w:rsid w:val="003D5707"/>
    <w:rsid w:val="003D57A6"/>
    <w:rsid w:val="003D6614"/>
    <w:rsid w:val="003D6DDB"/>
    <w:rsid w:val="003D7179"/>
    <w:rsid w:val="003D75DB"/>
    <w:rsid w:val="003D792D"/>
    <w:rsid w:val="003E0AD2"/>
    <w:rsid w:val="003E1283"/>
    <w:rsid w:val="003E1DA8"/>
    <w:rsid w:val="003E2067"/>
    <w:rsid w:val="003E20DE"/>
    <w:rsid w:val="003E4FEC"/>
    <w:rsid w:val="003E58D8"/>
    <w:rsid w:val="003E5BAF"/>
    <w:rsid w:val="003F0057"/>
    <w:rsid w:val="003F0A7B"/>
    <w:rsid w:val="003F0E9A"/>
    <w:rsid w:val="003F2FA7"/>
    <w:rsid w:val="003F3499"/>
    <w:rsid w:val="003F3733"/>
    <w:rsid w:val="003F3958"/>
    <w:rsid w:val="003F4D5C"/>
    <w:rsid w:val="003F582E"/>
    <w:rsid w:val="003F634C"/>
    <w:rsid w:val="003F6D8E"/>
    <w:rsid w:val="003F6E22"/>
    <w:rsid w:val="004000EA"/>
    <w:rsid w:val="0040038E"/>
    <w:rsid w:val="00400AF6"/>
    <w:rsid w:val="00401A71"/>
    <w:rsid w:val="00401E3A"/>
    <w:rsid w:val="00401F32"/>
    <w:rsid w:val="00403609"/>
    <w:rsid w:val="004037E3"/>
    <w:rsid w:val="00403CEE"/>
    <w:rsid w:val="00404197"/>
    <w:rsid w:val="00404783"/>
    <w:rsid w:val="00405572"/>
    <w:rsid w:val="00405A8C"/>
    <w:rsid w:val="00406479"/>
    <w:rsid w:val="00406F47"/>
    <w:rsid w:val="00407157"/>
    <w:rsid w:val="00411050"/>
    <w:rsid w:val="004115E4"/>
    <w:rsid w:val="00412931"/>
    <w:rsid w:val="00414471"/>
    <w:rsid w:val="00416ABB"/>
    <w:rsid w:val="00420B4E"/>
    <w:rsid w:val="004213B8"/>
    <w:rsid w:val="00421D87"/>
    <w:rsid w:val="00427D84"/>
    <w:rsid w:val="00430D3D"/>
    <w:rsid w:val="00431DD3"/>
    <w:rsid w:val="00431FB1"/>
    <w:rsid w:val="00431FEF"/>
    <w:rsid w:val="0043277E"/>
    <w:rsid w:val="004335F2"/>
    <w:rsid w:val="00433FD0"/>
    <w:rsid w:val="00434016"/>
    <w:rsid w:val="0043440C"/>
    <w:rsid w:val="00434CB2"/>
    <w:rsid w:val="00435363"/>
    <w:rsid w:val="00436750"/>
    <w:rsid w:val="00437985"/>
    <w:rsid w:val="00437EAF"/>
    <w:rsid w:val="00440CD7"/>
    <w:rsid w:val="004431E8"/>
    <w:rsid w:val="00443724"/>
    <w:rsid w:val="00444DDC"/>
    <w:rsid w:val="004464D9"/>
    <w:rsid w:val="00446D11"/>
    <w:rsid w:val="004471FF"/>
    <w:rsid w:val="00450F34"/>
    <w:rsid w:val="0045279C"/>
    <w:rsid w:val="00453A67"/>
    <w:rsid w:val="00454C4D"/>
    <w:rsid w:val="00454FE2"/>
    <w:rsid w:val="0045566F"/>
    <w:rsid w:val="004560E0"/>
    <w:rsid w:val="004600FA"/>
    <w:rsid w:val="00460E22"/>
    <w:rsid w:val="004617AC"/>
    <w:rsid w:val="0046277E"/>
    <w:rsid w:val="00462E41"/>
    <w:rsid w:val="0046305F"/>
    <w:rsid w:val="004651FC"/>
    <w:rsid w:val="00465730"/>
    <w:rsid w:val="0046659B"/>
    <w:rsid w:val="00467960"/>
    <w:rsid w:val="00467E80"/>
    <w:rsid w:val="00470027"/>
    <w:rsid w:val="004708C8"/>
    <w:rsid w:val="00470D95"/>
    <w:rsid w:val="00471147"/>
    <w:rsid w:val="00471547"/>
    <w:rsid w:val="00472BE4"/>
    <w:rsid w:val="00472CBC"/>
    <w:rsid w:val="00473CCF"/>
    <w:rsid w:val="00473F75"/>
    <w:rsid w:val="0047579A"/>
    <w:rsid w:val="00475A8E"/>
    <w:rsid w:val="00476DC3"/>
    <w:rsid w:val="004778AF"/>
    <w:rsid w:val="0047796A"/>
    <w:rsid w:val="00481CBE"/>
    <w:rsid w:val="00482680"/>
    <w:rsid w:val="0048382A"/>
    <w:rsid w:val="00485813"/>
    <w:rsid w:val="00485B7E"/>
    <w:rsid w:val="00485BD5"/>
    <w:rsid w:val="004860FA"/>
    <w:rsid w:val="004863CA"/>
    <w:rsid w:val="00486CE3"/>
    <w:rsid w:val="00490CD2"/>
    <w:rsid w:val="004919D6"/>
    <w:rsid w:val="00492C8F"/>
    <w:rsid w:val="00492CBF"/>
    <w:rsid w:val="00493CD4"/>
    <w:rsid w:val="004967EF"/>
    <w:rsid w:val="00497E40"/>
    <w:rsid w:val="004A02CB"/>
    <w:rsid w:val="004A0B6B"/>
    <w:rsid w:val="004A160E"/>
    <w:rsid w:val="004A2614"/>
    <w:rsid w:val="004A347F"/>
    <w:rsid w:val="004A34EA"/>
    <w:rsid w:val="004A775E"/>
    <w:rsid w:val="004A7809"/>
    <w:rsid w:val="004A7AB0"/>
    <w:rsid w:val="004B0F2B"/>
    <w:rsid w:val="004B10DB"/>
    <w:rsid w:val="004B11FF"/>
    <w:rsid w:val="004B21F8"/>
    <w:rsid w:val="004B2203"/>
    <w:rsid w:val="004B27F2"/>
    <w:rsid w:val="004B3100"/>
    <w:rsid w:val="004B3E71"/>
    <w:rsid w:val="004B58FD"/>
    <w:rsid w:val="004B5EBC"/>
    <w:rsid w:val="004B61A2"/>
    <w:rsid w:val="004B7DF8"/>
    <w:rsid w:val="004C1ED1"/>
    <w:rsid w:val="004C2225"/>
    <w:rsid w:val="004C36CB"/>
    <w:rsid w:val="004C4D6E"/>
    <w:rsid w:val="004C564B"/>
    <w:rsid w:val="004C63DB"/>
    <w:rsid w:val="004C6FCC"/>
    <w:rsid w:val="004C7720"/>
    <w:rsid w:val="004D0E0B"/>
    <w:rsid w:val="004D25D7"/>
    <w:rsid w:val="004D33B5"/>
    <w:rsid w:val="004D50E0"/>
    <w:rsid w:val="004D598D"/>
    <w:rsid w:val="004D6746"/>
    <w:rsid w:val="004E00C2"/>
    <w:rsid w:val="004E07D6"/>
    <w:rsid w:val="004E0E82"/>
    <w:rsid w:val="004E4172"/>
    <w:rsid w:val="004F0EBE"/>
    <w:rsid w:val="004F17FC"/>
    <w:rsid w:val="004F1811"/>
    <w:rsid w:val="004F39A2"/>
    <w:rsid w:val="004F4201"/>
    <w:rsid w:val="004F441D"/>
    <w:rsid w:val="004F6752"/>
    <w:rsid w:val="004F6948"/>
    <w:rsid w:val="004F6B02"/>
    <w:rsid w:val="004F6B29"/>
    <w:rsid w:val="004F7B39"/>
    <w:rsid w:val="004F7B7E"/>
    <w:rsid w:val="0050017C"/>
    <w:rsid w:val="0050020F"/>
    <w:rsid w:val="00501FB8"/>
    <w:rsid w:val="00502344"/>
    <w:rsid w:val="005032BD"/>
    <w:rsid w:val="005040ED"/>
    <w:rsid w:val="00504BA5"/>
    <w:rsid w:val="00505653"/>
    <w:rsid w:val="005064FF"/>
    <w:rsid w:val="00506B91"/>
    <w:rsid w:val="00507E7E"/>
    <w:rsid w:val="00507E8B"/>
    <w:rsid w:val="00511051"/>
    <w:rsid w:val="0051292B"/>
    <w:rsid w:val="00512B8B"/>
    <w:rsid w:val="00513F27"/>
    <w:rsid w:val="00514EEA"/>
    <w:rsid w:val="00514FDC"/>
    <w:rsid w:val="00515547"/>
    <w:rsid w:val="00515604"/>
    <w:rsid w:val="005156B3"/>
    <w:rsid w:val="005162D6"/>
    <w:rsid w:val="00516807"/>
    <w:rsid w:val="00516954"/>
    <w:rsid w:val="00516BD4"/>
    <w:rsid w:val="00517F1E"/>
    <w:rsid w:val="0052016F"/>
    <w:rsid w:val="00520FEA"/>
    <w:rsid w:val="00522556"/>
    <w:rsid w:val="005225B9"/>
    <w:rsid w:val="00522956"/>
    <w:rsid w:val="00523689"/>
    <w:rsid w:val="00525353"/>
    <w:rsid w:val="00525FAC"/>
    <w:rsid w:val="0052622D"/>
    <w:rsid w:val="0053033E"/>
    <w:rsid w:val="005309D9"/>
    <w:rsid w:val="005318D7"/>
    <w:rsid w:val="00531956"/>
    <w:rsid w:val="00532317"/>
    <w:rsid w:val="00532B24"/>
    <w:rsid w:val="0053406D"/>
    <w:rsid w:val="00534895"/>
    <w:rsid w:val="00534E70"/>
    <w:rsid w:val="00535654"/>
    <w:rsid w:val="00536859"/>
    <w:rsid w:val="005370E7"/>
    <w:rsid w:val="005377D5"/>
    <w:rsid w:val="00542835"/>
    <w:rsid w:val="00543468"/>
    <w:rsid w:val="00543D10"/>
    <w:rsid w:val="00543EB7"/>
    <w:rsid w:val="00544FD1"/>
    <w:rsid w:val="005465B9"/>
    <w:rsid w:val="00547910"/>
    <w:rsid w:val="00547A85"/>
    <w:rsid w:val="005502D2"/>
    <w:rsid w:val="00550897"/>
    <w:rsid w:val="00550E11"/>
    <w:rsid w:val="005528ED"/>
    <w:rsid w:val="00552A65"/>
    <w:rsid w:val="005532AA"/>
    <w:rsid w:val="00553607"/>
    <w:rsid w:val="00554B3D"/>
    <w:rsid w:val="00556106"/>
    <w:rsid w:val="005570F9"/>
    <w:rsid w:val="00557304"/>
    <w:rsid w:val="005601B5"/>
    <w:rsid w:val="00561068"/>
    <w:rsid w:val="005615FE"/>
    <w:rsid w:val="00562723"/>
    <w:rsid w:val="005638DF"/>
    <w:rsid w:val="00563D15"/>
    <w:rsid w:val="00563D48"/>
    <w:rsid w:val="00564F9A"/>
    <w:rsid w:val="00565357"/>
    <w:rsid w:val="0056558A"/>
    <w:rsid w:val="005660FC"/>
    <w:rsid w:val="005667CF"/>
    <w:rsid w:val="00566C59"/>
    <w:rsid w:val="00567007"/>
    <w:rsid w:val="00572185"/>
    <w:rsid w:val="00572D7D"/>
    <w:rsid w:val="00573719"/>
    <w:rsid w:val="00574362"/>
    <w:rsid w:val="00574408"/>
    <w:rsid w:val="00574A95"/>
    <w:rsid w:val="00575260"/>
    <w:rsid w:val="005760EA"/>
    <w:rsid w:val="005769BA"/>
    <w:rsid w:val="00580439"/>
    <w:rsid w:val="00580F6B"/>
    <w:rsid w:val="00581CD4"/>
    <w:rsid w:val="0058275B"/>
    <w:rsid w:val="0058394A"/>
    <w:rsid w:val="00584D0B"/>
    <w:rsid w:val="0058709B"/>
    <w:rsid w:val="00591FE6"/>
    <w:rsid w:val="0059208D"/>
    <w:rsid w:val="005921A7"/>
    <w:rsid w:val="0059449C"/>
    <w:rsid w:val="00594CA1"/>
    <w:rsid w:val="00595F90"/>
    <w:rsid w:val="005965EA"/>
    <w:rsid w:val="00596CFB"/>
    <w:rsid w:val="005A224C"/>
    <w:rsid w:val="005A2969"/>
    <w:rsid w:val="005A3B9B"/>
    <w:rsid w:val="005A3FCA"/>
    <w:rsid w:val="005A447D"/>
    <w:rsid w:val="005A4D29"/>
    <w:rsid w:val="005A54FE"/>
    <w:rsid w:val="005A57E9"/>
    <w:rsid w:val="005B0415"/>
    <w:rsid w:val="005B0D5E"/>
    <w:rsid w:val="005B0D84"/>
    <w:rsid w:val="005B138A"/>
    <w:rsid w:val="005B17B2"/>
    <w:rsid w:val="005B2307"/>
    <w:rsid w:val="005B23F6"/>
    <w:rsid w:val="005B2B74"/>
    <w:rsid w:val="005B30F5"/>
    <w:rsid w:val="005B3796"/>
    <w:rsid w:val="005B432A"/>
    <w:rsid w:val="005B56D7"/>
    <w:rsid w:val="005B6392"/>
    <w:rsid w:val="005C09FF"/>
    <w:rsid w:val="005C20EF"/>
    <w:rsid w:val="005C39F6"/>
    <w:rsid w:val="005C439A"/>
    <w:rsid w:val="005C56B5"/>
    <w:rsid w:val="005C6665"/>
    <w:rsid w:val="005C66E2"/>
    <w:rsid w:val="005C7061"/>
    <w:rsid w:val="005D06E4"/>
    <w:rsid w:val="005D177D"/>
    <w:rsid w:val="005D17A6"/>
    <w:rsid w:val="005D34DF"/>
    <w:rsid w:val="005D3EE7"/>
    <w:rsid w:val="005D4B5A"/>
    <w:rsid w:val="005D6645"/>
    <w:rsid w:val="005E025C"/>
    <w:rsid w:val="005E1502"/>
    <w:rsid w:val="005E2C9B"/>
    <w:rsid w:val="005E4399"/>
    <w:rsid w:val="005E4901"/>
    <w:rsid w:val="005E4E61"/>
    <w:rsid w:val="005E557A"/>
    <w:rsid w:val="005E597E"/>
    <w:rsid w:val="005E5EF4"/>
    <w:rsid w:val="005E6925"/>
    <w:rsid w:val="005E71D4"/>
    <w:rsid w:val="005E7330"/>
    <w:rsid w:val="005E7B38"/>
    <w:rsid w:val="005E7D8A"/>
    <w:rsid w:val="005F0688"/>
    <w:rsid w:val="005F0D0D"/>
    <w:rsid w:val="005F0D6C"/>
    <w:rsid w:val="005F1967"/>
    <w:rsid w:val="005F1A0C"/>
    <w:rsid w:val="005F2A53"/>
    <w:rsid w:val="005F5350"/>
    <w:rsid w:val="005F6E37"/>
    <w:rsid w:val="00601BB9"/>
    <w:rsid w:val="006021BA"/>
    <w:rsid w:val="006055D8"/>
    <w:rsid w:val="006119BB"/>
    <w:rsid w:val="006131D5"/>
    <w:rsid w:val="006136A6"/>
    <w:rsid w:val="00614369"/>
    <w:rsid w:val="0061489E"/>
    <w:rsid w:val="00614F24"/>
    <w:rsid w:val="00615456"/>
    <w:rsid w:val="0061576B"/>
    <w:rsid w:val="006160A0"/>
    <w:rsid w:val="00616673"/>
    <w:rsid w:val="00617585"/>
    <w:rsid w:val="00617C4E"/>
    <w:rsid w:val="00623349"/>
    <w:rsid w:val="006236DB"/>
    <w:rsid w:val="006245BC"/>
    <w:rsid w:val="00624954"/>
    <w:rsid w:val="00625ACF"/>
    <w:rsid w:val="006260C3"/>
    <w:rsid w:val="00626F2C"/>
    <w:rsid w:val="0062742C"/>
    <w:rsid w:val="0063052E"/>
    <w:rsid w:val="006305BC"/>
    <w:rsid w:val="00630F36"/>
    <w:rsid w:val="00632265"/>
    <w:rsid w:val="0063267B"/>
    <w:rsid w:val="0063361F"/>
    <w:rsid w:val="00633BEC"/>
    <w:rsid w:val="00633DE3"/>
    <w:rsid w:val="00634578"/>
    <w:rsid w:val="006358D3"/>
    <w:rsid w:val="006359C0"/>
    <w:rsid w:val="00635CEA"/>
    <w:rsid w:val="00637785"/>
    <w:rsid w:val="0063799E"/>
    <w:rsid w:val="00637DF5"/>
    <w:rsid w:val="006400B9"/>
    <w:rsid w:val="006402A8"/>
    <w:rsid w:val="00641324"/>
    <w:rsid w:val="00641578"/>
    <w:rsid w:val="00641FEB"/>
    <w:rsid w:val="00642806"/>
    <w:rsid w:val="00642F65"/>
    <w:rsid w:val="0064490F"/>
    <w:rsid w:val="0064500F"/>
    <w:rsid w:val="00647926"/>
    <w:rsid w:val="00650778"/>
    <w:rsid w:val="0065162C"/>
    <w:rsid w:val="00651844"/>
    <w:rsid w:val="00651B65"/>
    <w:rsid w:val="006528C7"/>
    <w:rsid w:val="00652DDA"/>
    <w:rsid w:val="00654907"/>
    <w:rsid w:val="00656F3D"/>
    <w:rsid w:val="006600FF"/>
    <w:rsid w:val="006613B8"/>
    <w:rsid w:val="00661905"/>
    <w:rsid w:val="00662F1F"/>
    <w:rsid w:val="00664B6B"/>
    <w:rsid w:val="00664E75"/>
    <w:rsid w:val="006654CF"/>
    <w:rsid w:val="00666DB7"/>
    <w:rsid w:val="006702CA"/>
    <w:rsid w:val="00670468"/>
    <w:rsid w:val="006705F0"/>
    <w:rsid w:val="00670895"/>
    <w:rsid w:val="00670CAC"/>
    <w:rsid w:val="006711AB"/>
    <w:rsid w:val="00672D14"/>
    <w:rsid w:val="00673BE4"/>
    <w:rsid w:val="0067633E"/>
    <w:rsid w:val="00676878"/>
    <w:rsid w:val="0067698F"/>
    <w:rsid w:val="00677023"/>
    <w:rsid w:val="00677061"/>
    <w:rsid w:val="00680F3D"/>
    <w:rsid w:val="00681A1F"/>
    <w:rsid w:val="00681F99"/>
    <w:rsid w:val="006824F0"/>
    <w:rsid w:val="00682823"/>
    <w:rsid w:val="00682E2E"/>
    <w:rsid w:val="006831D7"/>
    <w:rsid w:val="00683BF7"/>
    <w:rsid w:val="006845A3"/>
    <w:rsid w:val="00684B03"/>
    <w:rsid w:val="00686D63"/>
    <w:rsid w:val="00687B61"/>
    <w:rsid w:val="00690D1D"/>
    <w:rsid w:val="006911FE"/>
    <w:rsid w:val="0069423A"/>
    <w:rsid w:val="006942DB"/>
    <w:rsid w:val="0069555B"/>
    <w:rsid w:val="0069607C"/>
    <w:rsid w:val="00696561"/>
    <w:rsid w:val="00696A24"/>
    <w:rsid w:val="006A17B5"/>
    <w:rsid w:val="006A1CC1"/>
    <w:rsid w:val="006A2123"/>
    <w:rsid w:val="006A216C"/>
    <w:rsid w:val="006A4316"/>
    <w:rsid w:val="006A4BE2"/>
    <w:rsid w:val="006A54DA"/>
    <w:rsid w:val="006A5D60"/>
    <w:rsid w:val="006A7380"/>
    <w:rsid w:val="006B0CAF"/>
    <w:rsid w:val="006B1E36"/>
    <w:rsid w:val="006B475B"/>
    <w:rsid w:val="006B5D8A"/>
    <w:rsid w:val="006B6373"/>
    <w:rsid w:val="006C095E"/>
    <w:rsid w:val="006C10A2"/>
    <w:rsid w:val="006C1A4B"/>
    <w:rsid w:val="006C2A29"/>
    <w:rsid w:val="006C3F6F"/>
    <w:rsid w:val="006C4284"/>
    <w:rsid w:val="006C42EF"/>
    <w:rsid w:val="006C4595"/>
    <w:rsid w:val="006C5D9E"/>
    <w:rsid w:val="006C6E1A"/>
    <w:rsid w:val="006C7248"/>
    <w:rsid w:val="006D0367"/>
    <w:rsid w:val="006D1798"/>
    <w:rsid w:val="006D20E1"/>
    <w:rsid w:val="006D6FD8"/>
    <w:rsid w:val="006D6FEA"/>
    <w:rsid w:val="006E0B9A"/>
    <w:rsid w:val="006E1A8A"/>
    <w:rsid w:val="006E3426"/>
    <w:rsid w:val="006E3B2B"/>
    <w:rsid w:val="006E493F"/>
    <w:rsid w:val="006E5237"/>
    <w:rsid w:val="006E5451"/>
    <w:rsid w:val="006E7F10"/>
    <w:rsid w:val="006F0577"/>
    <w:rsid w:val="006F0730"/>
    <w:rsid w:val="006F08AF"/>
    <w:rsid w:val="006F0D33"/>
    <w:rsid w:val="006F0D8D"/>
    <w:rsid w:val="006F4364"/>
    <w:rsid w:val="006F51D9"/>
    <w:rsid w:val="006F61BC"/>
    <w:rsid w:val="006F6769"/>
    <w:rsid w:val="006F7F70"/>
    <w:rsid w:val="0070045B"/>
    <w:rsid w:val="0070076C"/>
    <w:rsid w:val="00700C30"/>
    <w:rsid w:val="00700F2D"/>
    <w:rsid w:val="007019E2"/>
    <w:rsid w:val="00701C64"/>
    <w:rsid w:val="00701E76"/>
    <w:rsid w:val="00702B2A"/>
    <w:rsid w:val="00702C9C"/>
    <w:rsid w:val="00703BF5"/>
    <w:rsid w:val="0070408F"/>
    <w:rsid w:val="0070429B"/>
    <w:rsid w:val="00705362"/>
    <w:rsid w:val="00705AB3"/>
    <w:rsid w:val="00705D49"/>
    <w:rsid w:val="0070670A"/>
    <w:rsid w:val="00706C01"/>
    <w:rsid w:val="007077C3"/>
    <w:rsid w:val="00710AB9"/>
    <w:rsid w:val="00710E82"/>
    <w:rsid w:val="00711E6A"/>
    <w:rsid w:val="00712393"/>
    <w:rsid w:val="0071279C"/>
    <w:rsid w:val="00712F72"/>
    <w:rsid w:val="00713E05"/>
    <w:rsid w:val="00715E12"/>
    <w:rsid w:val="00716E53"/>
    <w:rsid w:val="00717737"/>
    <w:rsid w:val="00717CE6"/>
    <w:rsid w:val="00717F37"/>
    <w:rsid w:val="007204FA"/>
    <w:rsid w:val="00720A26"/>
    <w:rsid w:val="00721D77"/>
    <w:rsid w:val="00722474"/>
    <w:rsid w:val="007233C7"/>
    <w:rsid w:val="0072357E"/>
    <w:rsid w:val="00724482"/>
    <w:rsid w:val="00724859"/>
    <w:rsid w:val="00725B48"/>
    <w:rsid w:val="007278BB"/>
    <w:rsid w:val="00727EC3"/>
    <w:rsid w:val="00731A7A"/>
    <w:rsid w:val="00731DE3"/>
    <w:rsid w:val="00732332"/>
    <w:rsid w:val="007324F9"/>
    <w:rsid w:val="00733452"/>
    <w:rsid w:val="0073365B"/>
    <w:rsid w:val="0073498A"/>
    <w:rsid w:val="00735010"/>
    <w:rsid w:val="007354EA"/>
    <w:rsid w:val="00736230"/>
    <w:rsid w:val="00737053"/>
    <w:rsid w:val="00737BFF"/>
    <w:rsid w:val="00737F29"/>
    <w:rsid w:val="007412F3"/>
    <w:rsid w:val="00741F3B"/>
    <w:rsid w:val="00741F8B"/>
    <w:rsid w:val="007429BA"/>
    <w:rsid w:val="00744508"/>
    <w:rsid w:val="00745DE9"/>
    <w:rsid w:val="0074665F"/>
    <w:rsid w:val="0074667D"/>
    <w:rsid w:val="00746789"/>
    <w:rsid w:val="007468C6"/>
    <w:rsid w:val="007468CF"/>
    <w:rsid w:val="00746B07"/>
    <w:rsid w:val="00746C2D"/>
    <w:rsid w:val="00746E04"/>
    <w:rsid w:val="0074756C"/>
    <w:rsid w:val="007475DA"/>
    <w:rsid w:val="0074782F"/>
    <w:rsid w:val="00752B7C"/>
    <w:rsid w:val="00752BB6"/>
    <w:rsid w:val="0075381A"/>
    <w:rsid w:val="0075384E"/>
    <w:rsid w:val="007546FE"/>
    <w:rsid w:val="007571F4"/>
    <w:rsid w:val="00761877"/>
    <w:rsid w:val="00761B32"/>
    <w:rsid w:val="00762030"/>
    <w:rsid w:val="00762EC5"/>
    <w:rsid w:val="00763090"/>
    <w:rsid w:val="00763D1A"/>
    <w:rsid w:val="00763E8E"/>
    <w:rsid w:val="007658CA"/>
    <w:rsid w:val="00766B78"/>
    <w:rsid w:val="0076746E"/>
    <w:rsid w:val="00770D2B"/>
    <w:rsid w:val="007710D0"/>
    <w:rsid w:val="007711CF"/>
    <w:rsid w:val="007729BF"/>
    <w:rsid w:val="00774306"/>
    <w:rsid w:val="0077453A"/>
    <w:rsid w:val="00774A18"/>
    <w:rsid w:val="00775332"/>
    <w:rsid w:val="00775613"/>
    <w:rsid w:val="0077670C"/>
    <w:rsid w:val="00781144"/>
    <w:rsid w:val="00781DA7"/>
    <w:rsid w:val="0078310A"/>
    <w:rsid w:val="00783184"/>
    <w:rsid w:val="007832C2"/>
    <w:rsid w:val="00784576"/>
    <w:rsid w:val="00785D4E"/>
    <w:rsid w:val="00786BCE"/>
    <w:rsid w:val="007871C7"/>
    <w:rsid w:val="007878E7"/>
    <w:rsid w:val="0079008E"/>
    <w:rsid w:val="0079033D"/>
    <w:rsid w:val="00791AF6"/>
    <w:rsid w:val="0079205A"/>
    <w:rsid w:val="007924E8"/>
    <w:rsid w:val="00792E9B"/>
    <w:rsid w:val="00793055"/>
    <w:rsid w:val="007935F8"/>
    <w:rsid w:val="00793A83"/>
    <w:rsid w:val="00794931"/>
    <w:rsid w:val="0079530C"/>
    <w:rsid w:val="00795B57"/>
    <w:rsid w:val="00796431"/>
    <w:rsid w:val="007A47B1"/>
    <w:rsid w:val="007A49A2"/>
    <w:rsid w:val="007A4BCC"/>
    <w:rsid w:val="007A4BD1"/>
    <w:rsid w:val="007A6FC7"/>
    <w:rsid w:val="007A79BB"/>
    <w:rsid w:val="007A7B5E"/>
    <w:rsid w:val="007A7FCC"/>
    <w:rsid w:val="007B0C5C"/>
    <w:rsid w:val="007B10F1"/>
    <w:rsid w:val="007B1962"/>
    <w:rsid w:val="007B239F"/>
    <w:rsid w:val="007B24F4"/>
    <w:rsid w:val="007B28B5"/>
    <w:rsid w:val="007B3191"/>
    <w:rsid w:val="007B384E"/>
    <w:rsid w:val="007B5403"/>
    <w:rsid w:val="007B5872"/>
    <w:rsid w:val="007B64FF"/>
    <w:rsid w:val="007B6921"/>
    <w:rsid w:val="007B6E6D"/>
    <w:rsid w:val="007B7019"/>
    <w:rsid w:val="007B7940"/>
    <w:rsid w:val="007B7B7D"/>
    <w:rsid w:val="007C004F"/>
    <w:rsid w:val="007C054B"/>
    <w:rsid w:val="007C1320"/>
    <w:rsid w:val="007C15EE"/>
    <w:rsid w:val="007C1B6E"/>
    <w:rsid w:val="007C2024"/>
    <w:rsid w:val="007C451F"/>
    <w:rsid w:val="007C46D1"/>
    <w:rsid w:val="007C591D"/>
    <w:rsid w:val="007C5925"/>
    <w:rsid w:val="007C5D35"/>
    <w:rsid w:val="007C69F7"/>
    <w:rsid w:val="007C7A30"/>
    <w:rsid w:val="007C7C27"/>
    <w:rsid w:val="007D1AEA"/>
    <w:rsid w:val="007D37DB"/>
    <w:rsid w:val="007D462C"/>
    <w:rsid w:val="007D5364"/>
    <w:rsid w:val="007D5F3C"/>
    <w:rsid w:val="007D6392"/>
    <w:rsid w:val="007D6795"/>
    <w:rsid w:val="007D6939"/>
    <w:rsid w:val="007D7ADB"/>
    <w:rsid w:val="007D7F82"/>
    <w:rsid w:val="007E08E9"/>
    <w:rsid w:val="007E1124"/>
    <w:rsid w:val="007E19A4"/>
    <w:rsid w:val="007E4470"/>
    <w:rsid w:val="007E60C6"/>
    <w:rsid w:val="007E754B"/>
    <w:rsid w:val="007F1235"/>
    <w:rsid w:val="007F13CF"/>
    <w:rsid w:val="007F1C89"/>
    <w:rsid w:val="007F3C3C"/>
    <w:rsid w:val="007F4110"/>
    <w:rsid w:val="007F5803"/>
    <w:rsid w:val="007F5FC0"/>
    <w:rsid w:val="007F6735"/>
    <w:rsid w:val="007F6B76"/>
    <w:rsid w:val="007F6F29"/>
    <w:rsid w:val="00800763"/>
    <w:rsid w:val="00805223"/>
    <w:rsid w:val="008074EF"/>
    <w:rsid w:val="00810E4D"/>
    <w:rsid w:val="00811FB4"/>
    <w:rsid w:val="008165EF"/>
    <w:rsid w:val="00820942"/>
    <w:rsid w:val="0082301C"/>
    <w:rsid w:val="008239C9"/>
    <w:rsid w:val="00823FDE"/>
    <w:rsid w:val="008243EB"/>
    <w:rsid w:val="008244E6"/>
    <w:rsid w:val="008251DD"/>
    <w:rsid w:val="00825B2B"/>
    <w:rsid w:val="00825C8B"/>
    <w:rsid w:val="00826E64"/>
    <w:rsid w:val="0082756B"/>
    <w:rsid w:val="00827A53"/>
    <w:rsid w:val="00827ACD"/>
    <w:rsid w:val="00827CEF"/>
    <w:rsid w:val="008316E3"/>
    <w:rsid w:val="0083262C"/>
    <w:rsid w:val="00832D84"/>
    <w:rsid w:val="0083469F"/>
    <w:rsid w:val="008366FA"/>
    <w:rsid w:val="00840111"/>
    <w:rsid w:val="008403E2"/>
    <w:rsid w:val="00840C4F"/>
    <w:rsid w:val="00841FB0"/>
    <w:rsid w:val="008427D8"/>
    <w:rsid w:val="008428C6"/>
    <w:rsid w:val="00842A05"/>
    <w:rsid w:val="00842A62"/>
    <w:rsid w:val="00844A9F"/>
    <w:rsid w:val="008457DC"/>
    <w:rsid w:val="00845FFF"/>
    <w:rsid w:val="008467C7"/>
    <w:rsid w:val="008470DE"/>
    <w:rsid w:val="008502D7"/>
    <w:rsid w:val="00850558"/>
    <w:rsid w:val="0085187D"/>
    <w:rsid w:val="00851D8E"/>
    <w:rsid w:val="008520AD"/>
    <w:rsid w:val="008520DE"/>
    <w:rsid w:val="0085223E"/>
    <w:rsid w:val="00852A7B"/>
    <w:rsid w:val="00852EC0"/>
    <w:rsid w:val="008531F3"/>
    <w:rsid w:val="00857106"/>
    <w:rsid w:val="00857614"/>
    <w:rsid w:val="00860FAA"/>
    <w:rsid w:val="00860FC5"/>
    <w:rsid w:val="008630EC"/>
    <w:rsid w:val="0086314E"/>
    <w:rsid w:val="008631B1"/>
    <w:rsid w:val="008643B7"/>
    <w:rsid w:val="00876418"/>
    <w:rsid w:val="00880C64"/>
    <w:rsid w:val="00883B06"/>
    <w:rsid w:val="00884ABC"/>
    <w:rsid w:val="00885792"/>
    <w:rsid w:val="00886CD7"/>
    <w:rsid w:val="00890D41"/>
    <w:rsid w:val="00892D53"/>
    <w:rsid w:val="00895BE1"/>
    <w:rsid w:val="00895E2E"/>
    <w:rsid w:val="00896EC5"/>
    <w:rsid w:val="00897AE8"/>
    <w:rsid w:val="008A06B5"/>
    <w:rsid w:val="008A1382"/>
    <w:rsid w:val="008A1487"/>
    <w:rsid w:val="008A166C"/>
    <w:rsid w:val="008A256E"/>
    <w:rsid w:val="008A2C07"/>
    <w:rsid w:val="008A510B"/>
    <w:rsid w:val="008A56A4"/>
    <w:rsid w:val="008A58FC"/>
    <w:rsid w:val="008A612E"/>
    <w:rsid w:val="008A7025"/>
    <w:rsid w:val="008A7D01"/>
    <w:rsid w:val="008B0DC6"/>
    <w:rsid w:val="008B10BD"/>
    <w:rsid w:val="008B1974"/>
    <w:rsid w:val="008B2D12"/>
    <w:rsid w:val="008B384C"/>
    <w:rsid w:val="008B3B37"/>
    <w:rsid w:val="008B423C"/>
    <w:rsid w:val="008B42F2"/>
    <w:rsid w:val="008B487F"/>
    <w:rsid w:val="008B49CE"/>
    <w:rsid w:val="008B7D36"/>
    <w:rsid w:val="008C09AD"/>
    <w:rsid w:val="008C1CB0"/>
    <w:rsid w:val="008C1EE8"/>
    <w:rsid w:val="008C35B5"/>
    <w:rsid w:val="008C3681"/>
    <w:rsid w:val="008C4BF7"/>
    <w:rsid w:val="008C5EDD"/>
    <w:rsid w:val="008C6824"/>
    <w:rsid w:val="008C6D88"/>
    <w:rsid w:val="008C7351"/>
    <w:rsid w:val="008C7BB3"/>
    <w:rsid w:val="008C7FC4"/>
    <w:rsid w:val="008D119D"/>
    <w:rsid w:val="008D19C7"/>
    <w:rsid w:val="008D1A2E"/>
    <w:rsid w:val="008D1AD1"/>
    <w:rsid w:val="008D2230"/>
    <w:rsid w:val="008D261F"/>
    <w:rsid w:val="008D2AAC"/>
    <w:rsid w:val="008D57CF"/>
    <w:rsid w:val="008D639E"/>
    <w:rsid w:val="008D674E"/>
    <w:rsid w:val="008D7606"/>
    <w:rsid w:val="008E1773"/>
    <w:rsid w:val="008E22FB"/>
    <w:rsid w:val="008E2B31"/>
    <w:rsid w:val="008E3D7E"/>
    <w:rsid w:val="008E43FE"/>
    <w:rsid w:val="008E481B"/>
    <w:rsid w:val="008E5375"/>
    <w:rsid w:val="008E5611"/>
    <w:rsid w:val="008E5E05"/>
    <w:rsid w:val="008E6952"/>
    <w:rsid w:val="008F0405"/>
    <w:rsid w:val="008F0893"/>
    <w:rsid w:val="008F0EBB"/>
    <w:rsid w:val="008F50D9"/>
    <w:rsid w:val="008F5A88"/>
    <w:rsid w:val="008F601F"/>
    <w:rsid w:val="008F6EBF"/>
    <w:rsid w:val="008F77C1"/>
    <w:rsid w:val="008F7E64"/>
    <w:rsid w:val="00901E7C"/>
    <w:rsid w:val="00901F41"/>
    <w:rsid w:val="00902CED"/>
    <w:rsid w:val="00903881"/>
    <w:rsid w:val="00903B8D"/>
    <w:rsid w:val="00903CAE"/>
    <w:rsid w:val="00903DF3"/>
    <w:rsid w:val="00904700"/>
    <w:rsid w:val="00905E0C"/>
    <w:rsid w:val="00905EA8"/>
    <w:rsid w:val="00906C85"/>
    <w:rsid w:val="009078F4"/>
    <w:rsid w:val="00907905"/>
    <w:rsid w:val="00907946"/>
    <w:rsid w:val="009106B9"/>
    <w:rsid w:val="009111FC"/>
    <w:rsid w:val="00911ED6"/>
    <w:rsid w:val="009124F8"/>
    <w:rsid w:val="00912B9C"/>
    <w:rsid w:val="009132BD"/>
    <w:rsid w:val="00914BDD"/>
    <w:rsid w:val="00915E49"/>
    <w:rsid w:val="009200EC"/>
    <w:rsid w:val="00920C39"/>
    <w:rsid w:val="009223B2"/>
    <w:rsid w:val="0092240F"/>
    <w:rsid w:val="009229EB"/>
    <w:rsid w:val="00923C4C"/>
    <w:rsid w:val="00924236"/>
    <w:rsid w:val="009242DB"/>
    <w:rsid w:val="00925EF3"/>
    <w:rsid w:val="009306E1"/>
    <w:rsid w:val="009326EE"/>
    <w:rsid w:val="00933EB0"/>
    <w:rsid w:val="00933FF8"/>
    <w:rsid w:val="009350B8"/>
    <w:rsid w:val="00936EF7"/>
    <w:rsid w:val="0093728C"/>
    <w:rsid w:val="00937917"/>
    <w:rsid w:val="009410B2"/>
    <w:rsid w:val="00942161"/>
    <w:rsid w:val="00942E85"/>
    <w:rsid w:val="009433D5"/>
    <w:rsid w:val="00943BA0"/>
    <w:rsid w:val="00943FF1"/>
    <w:rsid w:val="009442CC"/>
    <w:rsid w:val="00944E07"/>
    <w:rsid w:val="00944EF5"/>
    <w:rsid w:val="009458A7"/>
    <w:rsid w:val="00946410"/>
    <w:rsid w:val="00947CF0"/>
    <w:rsid w:val="0095025F"/>
    <w:rsid w:val="00950D73"/>
    <w:rsid w:val="00952E80"/>
    <w:rsid w:val="00954699"/>
    <w:rsid w:val="00954A0B"/>
    <w:rsid w:val="00955FA9"/>
    <w:rsid w:val="00957D5A"/>
    <w:rsid w:val="00961465"/>
    <w:rsid w:val="00961B08"/>
    <w:rsid w:val="009624C4"/>
    <w:rsid w:val="0096319F"/>
    <w:rsid w:val="00965DD6"/>
    <w:rsid w:val="00967031"/>
    <w:rsid w:val="009671AC"/>
    <w:rsid w:val="00967E36"/>
    <w:rsid w:val="00970327"/>
    <w:rsid w:val="00970508"/>
    <w:rsid w:val="009713DA"/>
    <w:rsid w:val="0097160C"/>
    <w:rsid w:val="00973070"/>
    <w:rsid w:val="00973200"/>
    <w:rsid w:val="00973325"/>
    <w:rsid w:val="00974E4F"/>
    <w:rsid w:val="00974E81"/>
    <w:rsid w:val="00976E90"/>
    <w:rsid w:val="009771A8"/>
    <w:rsid w:val="00980225"/>
    <w:rsid w:val="0098068A"/>
    <w:rsid w:val="0098069B"/>
    <w:rsid w:val="00982025"/>
    <w:rsid w:val="009827D8"/>
    <w:rsid w:val="00982A6E"/>
    <w:rsid w:val="00982C16"/>
    <w:rsid w:val="00982F34"/>
    <w:rsid w:val="00983369"/>
    <w:rsid w:val="00983C0D"/>
    <w:rsid w:val="00983C62"/>
    <w:rsid w:val="00984FF3"/>
    <w:rsid w:val="00985697"/>
    <w:rsid w:val="00986106"/>
    <w:rsid w:val="00986981"/>
    <w:rsid w:val="00987141"/>
    <w:rsid w:val="00990CB4"/>
    <w:rsid w:val="00990DEB"/>
    <w:rsid w:val="00992457"/>
    <w:rsid w:val="00992AA3"/>
    <w:rsid w:val="00992E00"/>
    <w:rsid w:val="00994142"/>
    <w:rsid w:val="00994911"/>
    <w:rsid w:val="00994A8F"/>
    <w:rsid w:val="0099685A"/>
    <w:rsid w:val="00996885"/>
    <w:rsid w:val="00997315"/>
    <w:rsid w:val="00997D1D"/>
    <w:rsid w:val="00997F67"/>
    <w:rsid w:val="009A052E"/>
    <w:rsid w:val="009A063B"/>
    <w:rsid w:val="009A13FA"/>
    <w:rsid w:val="009A2C1B"/>
    <w:rsid w:val="009A336E"/>
    <w:rsid w:val="009A44E8"/>
    <w:rsid w:val="009A4613"/>
    <w:rsid w:val="009A581C"/>
    <w:rsid w:val="009A598D"/>
    <w:rsid w:val="009A5EBD"/>
    <w:rsid w:val="009A64BA"/>
    <w:rsid w:val="009A6AB8"/>
    <w:rsid w:val="009A7132"/>
    <w:rsid w:val="009A7662"/>
    <w:rsid w:val="009B15BE"/>
    <w:rsid w:val="009B1AD5"/>
    <w:rsid w:val="009B2D74"/>
    <w:rsid w:val="009B4328"/>
    <w:rsid w:val="009B4D61"/>
    <w:rsid w:val="009B5A85"/>
    <w:rsid w:val="009B6135"/>
    <w:rsid w:val="009C00D8"/>
    <w:rsid w:val="009C09AF"/>
    <w:rsid w:val="009C1000"/>
    <w:rsid w:val="009C2496"/>
    <w:rsid w:val="009C2755"/>
    <w:rsid w:val="009C3BC1"/>
    <w:rsid w:val="009C5DD1"/>
    <w:rsid w:val="009C7AB2"/>
    <w:rsid w:val="009C7FA7"/>
    <w:rsid w:val="009D1999"/>
    <w:rsid w:val="009D2DF8"/>
    <w:rsid w:val="009D34D8"/>
    <w:rsid w:val="009D6266"/>
    <w:rsid w:val="009D6321"/>
    <w:rsid w:val="009D7035"/>
    <w:rsid w:val="009D72A6"/>
    <w:rsid w:val="009D77C2"/>
    <w:rsid w:val="009D7AC5"/>
    <w:rsid w:val="009D7E05"/>
    <w:rsid w:val="009E1ED2"/>
    <w:rsid w:val="009E3EF6"/>
    <w:rsid w:val="009E5122"/>
    <w:rsid w:val="009E56B9"/>
    <w:rsid w:val="009E66FC"/>
    <w:rsid w:val="009E79E3"/>
    <w:rsid w:val="009F07CF"/>
    <w:rsid w:val="009F0842"/>
    <w:rsid w:val="009F09DC"/>
    <w:rsid w:val="009F0A3D"/>
    <w:rsid w:val="009F1CCE"/>
    <w:rsid w:val="009F26C7"/>
    <w:rsid w:val="009F3410"/>
    <w:rsid w:val="009F4F4E"/>
    <w:rsid w:val="009F5657"/>
    <w:rsid w:val="00A00E85"/>
    <w:rsid w:val="00A012D1"/>
    <w:rsid w:val="00A02CD1"/>
    <w:rsid w:val="00A03266"/>
    <w:rsid w:val="00A04418"/>
    <w:rsid w:val="00A054DB"/>
    <w:rsid w:val="00A05BF0"/>
    <w:rsid w:val="00A07147"/>
    <w:rsid w:val="00A077B1"/>
    <w:rsid w:val="00A07A1E"/>
    <w:rsid w:val="00A100CB"/>
    <w:rsid w:val="00A115DB"/>
    <w:rsid w:val="00A11FD7"/>
    <w:rsid w:val="00A1387F"/>
    <w:rsid w:val="00A14E8D"/>
    <w:rsid w:val="00A151FD"/>
    <w:rsid w:val="00A156AD"/>
    <w:rsid w:val="00A16D2A"/>
    <w:rsid w:val="00A16F1E"/>
    <w:rsid w:val="00A2061D"/>
    <w:rsid w:val="00A2116A"/>
    <w:rsid w:val="00A21AB4"/>
    <w:rsid w:val="00A21B05"/>
    <w:rsid w:val="00A21F77"/>
    <w:rsid w:val="00A22395"/>
    <w:rsid w:val="00A24462"/>
    <w:rsid w:val="00A255A4"/>
    <w:rsid w:val="00A255F0"/>
    <w:rsid w:val="00A25951"/>
    <w:rsid w:val="00A25FE0"/>
    <w:rsid w:val="00A26871"/>
    <w:rsid w:val="00A27B15"/>
    <w:rsid w:val="00A3046C"/>
    <w:rsid w:val="00A3061D"/>
    <w:rsid w:val="00A30B81"/>
    <w:rsid w:val="00A3181A"/>
    <w:rsid w:val="00A322DA"/>
    <w:rsid w:val="00A33C3A"/>
    <w:rsid w:val="00A34886"/>
    <w:rsid w:val="00A34946"/>
    <w:rsid w:val="00A353C4"/>
    <w:rsid w:val="00A35933"/>
    <w:rsid w:val="00A35DED"/>
    <w:rsid w:val="00A36520"/>
    <w:rsid w:val="00A36660"/>
    <w:rsid w:val="00A376A3"/>
    <w:rsid w:val="00A4072F"/>
    <w:rsid w:val="00A40AC7"/>
    <w:rsid w:val="00A430BE"/>
    <w:rsid w:val="00A44B1C"/>
    <w:rsid w:val="00A46446"/>
    <w:rsid w:val="00A50436"/>
    <w:rsid w:val="00A505C0"/>
    <w:rsid w:val="00A509B7"/>
    <w:rsid w:val="00A512A0"/>
    <w:rsid w:val="00A5248B"/>
    <w:rsid w:val="00A535BE"/>
    <w:rsid w:val="00A53FFF"/>
    <w:rsid w:val="00A564BC"/>
    <w:rsid w:val="00A56561"/>
    <w:rsid w:val="00A612C1"/>
    <w:rsid w:val="00A61AC4"/>
    <w:rsid w:val="00A61EEF"/>
    <w:rsid w:val="00A62000"/>
    <w:rsid w:val="00A634D6"/>
    <w:rsid w:val="00A6410B"/>
    <w:rsid w:val="00A64368"/>
    <w:rsid w:val="00A649B4"/>
    <w:rsid w:val="00A65581"/>
    <w:rsid w:val="00A65671"/>
    <w:rsid w:val="00A66C33"/>
    <w:rsid w:val="00A67D9D"/>
    <w:rsid w:val="00A705FD"/>
    <w:rsid w:val="00A715A1"/>
    <w:rsid w:val="00A71FF1"/>
    <w:rsid w:val="00A732DB"/>
    <w:rsid w:val="00A73D27"/>
    <w:rsid w:val="00A73E3C"/>
    <w:rsid w:val="00A7404B"/>
    <w:rsid w:val="00A7421F"/>
    <w:rsid w:val="00A80C2E"/>
    <w:rsid w:val="00A81DEE"/>
    <w:rsid w:val="00A826E2"/>
    <w:rsid w:val="00A83092"/>
    <w:rsid w:val="00A83370"/>
    <w:rsid w:val="00A8353C"/>
    <w:rsid w:val="00A83B80"/>
    <w:rsid w:val="00A84CCA"/>
    <w:rsid w:val="00A85830"/>
    <w:rsid w:val="00A865A1"/>
    <w:rsid w:val="00A86CD9"/>
    <w:rsid w:val="00A901BC"/>
    <w:rsid w:val="00A902F7"/>
    <w:rsid w:val="00A9042B"/>
    <w:rsid w:val="00A908CE"/>
    <w:rsid w:val="00A91C88"/>
    <w:rsid w:val="00A91D6B"/>
    <w:rsid w:val="00A925F2"/>
    <w:rsid w:val="00A9358A"/>
    <w:rsid w:val="00A945D5"/>
    <w:rsid w:val="00A948FB"/>
    <w:rsid w:val="00A949FB"/>
    <w:rsid w:val="00A95675"/>
    <w:rsid w:val="00A965F0"/>
    <w:rsid w:val="00A9689D"/>
    <w:rsid w:val="00A96986"/>
    <w:rsid w:val="00AA0060"/>
    <w:rsid w:val="00AA06AE"/>
    <w:rsid w:val="00AA1397"/>
    <w:rsid w:val="00AA17BF"/>
    <w:rsid w:val="00AA1DAE"/>
    <w:rsid w:val="00AA26B8"/>
    <w:rsid w:val="00AA316F"/>
    <w:rsid w:val="00AA3238"/>
    <w:rsid w:val="00AA3DB5"/>
    <w:rsid w:val="00AA3E8D"/>
    <w:rsid w:val="00AA449A"/>
    <w:rsid w:val="00AA7A13"/>
    <w:rsid w:val="00AA7E64"/>
    <w:rsid w:val="00AB0B5B"/>
    <w:rsid w:val="00AB119B"/>
    <w:rsid w:val="00AB1EE9"/>
    <w:rsid w:val="00AB30AB"/>
    <w:rsid w:val="00AB33C7"/>
    <w:rsid w:val="00AB4480"/>
    <w:rsid w:val="00AB4800"/>
    <w:rsid w:val="00AB49E7"/>
    <w:rsid w:val="00AB4DA9"/>
    <w:rsid w:val="00AB5BBF"/>
    <w:rsid w:val="00AB73CF"/>
    <w:rsid w:val="00AB7A94"/>
    <w:rsid w:val="00AC051A"/>
    <w:rsid w:val="00AC082B"/>
    <w:rsid w:val="00AC0B67"/>
    <w:rsid w:val="00AC0D58"/>
    <w:rsid w:val="00AC2C50"/>
    <w:rsid w:val="00AC3F54"/>
    <w:rsid w:val="00AC4ABE"/>
    <w:rsid w:val="00AC7B24"/>
    <w:rsid w:val="00AD067C"/>
    <w:rsid w:val="00AD248F"/>
    <w:rsid w:val="00AD387D"/>
    <w:rsid w:val="00AD3D52"/>
    <w:rsid w:val="00AD4809"/>
    <w:rsid w:val="00AD6512"/>
    <w:rsid w:val="00AD6EC1"/>
    <w:rsid w:val="00AD70FA"/>
    <w:rsid w:val="00AD76F1"/>
    <w:rsid w:val="00AE01F6"/>
    <w:rsid w:val="00AE1560"/>
    <w:rsid w:val="00AE15C0"/>
    <w:rsid w:val="00AE1ABB"/>
    <w:rsid w:val="00AE3DF0"/>
    <w:rsid w:val="00AE3FD5"/>
    <w:rsid w:val="00AE432E"/>
    <w:rsid w:val="00AE5135"/>
    <w:rsid w:val="00AE6A3C"/>
    <w:rsid w:val="00AE739E"/>
    <w:rsid w:val="00AE77DA"/>
    <w:rsid w:val="00AF012A"/>
    <w:rsid w:val="00AF0AF7"/>
    <w:rsid w:val="00AF1871"/>
    <w:rsid w:val="00AF250D"/>
    <w:rsid w:val="00AF2DB3"/>
    <w:rsid w:val="00AF4BA8"/>
    <w:rsid w:val="00AF5299"/>
    <w:rsid w:val="00AF6050"/>
    <w:rsid w:val="00AF6DE1"/>
    <w:rsid w:val="00AF6FC8"/>
    <w:rsid w:val="00B002C4"/>
    <w:rsid w:val="00B01C79"/>
    <w:rsid w:val="00B02DBF"/>
    <w:rsid w:val="00B02F40"/>
    <w:rsid w:val="00B0363B"/>
    <w:rsid w:val="00B03740"/>
    <w:rsid w:val="00B055F2"/>
    <w:rsid w:val="00B06885"/>
    <w:rsid w:val="00B077F7"/>
    <w:rsid w:val="00B07AB5"/>
    <w:rsid w:val="00B07B84"/>
    <w:rsid w:val="00B07D59"/>
    <w:rsid w:val="00B10EFC"/>
    <w:rsid w:val="00B1129D"/>
    <w:rsid w:val="00B11F85"/>
    <w:rsid w:val="00B1321A"/>
    <w:rsid w:val="00B1347F"/>
    <w:rsid w:val="00B14013"/>
    <w:rsid w:val="00B155B5"/>
    <w:rsid w:val="00B167B2"/>
    <w:rsid w:val="00B16C47"/>
    <w:rsid w:val="00B1712D"/>
    <w:rsid w:val="00B17599"/>
    <w:rsid w:val="00B17E4C"/>
    <w:rsid w:val="00B17EE8"/>
    <w:rsid w:val="00B201D5"/>
    <w:rsid w:val="00B2133A"/>
    <w:rsid w:val="00B215DD"/>
    <w:rsid w:val="00B2192A"/>
    <w:rsid w:val="00B219A3"/>
    <w:rsid w:val="00B21AA5"/>
    <w:rsid w:val="00B22ABF"/>
    <w:rsid w:val="00B244E5"/>
    <w:rsid w:val="00B2466C"/>
    <w:rsid w:val="00B265AA"/>
    <w:rsid w:val="00B26BA5"/>
    <w:rsid w:val="00B30ADE"/>
    <w:rsid w:val="00B321F9"/>
    <w:rsid w:val="00B35F3C"/>
    <w:rsid w:val="00B361ED"/>
    <w:rsid w:val="00B374A1"/>
    <w:rsid w:val="00B374FC"/>
    <w:rsid w:val="00B375CA"/>
    <w:rsid w:val="00B3797C"/>
    <w:rsid w:val="00B407B8"/>
    <w:rsid w:val="00B40968"/>
    <w:rsid w:val="00B40BFC"/>
    <w:rsid w:val="00B41FC8"/>
    <w:rsid w:val="00B42939"/>
    <w:rsid w:val="00B43334"/>
    <w:rsid w:val="00B4348D"/>
    <w:rsid w:val="00B44B73"/>
    <w:rsid w:val="00B47D14"/>
    <w:rsid w:val="00B50AE4"/>
    <w:rsid w:val="00B52FB6"/>
    <w:rsid w:val="00B5470C"/>
    <w:rsid w:val="00B54900"/>
    <w:rsid w:val="00B54F95"/>
    <w:rsid w:val="00B55ACA"/>
    <w:rsid w:val="00B560FF"/>
    <w:rsid w:val="00B561CA"/>
    <w:rsid w:val="00B57CE6"/>
    <w:rsid w:val="00B6041A"/>
    <w:rsid w:val="00B60DB3"/>
    <w:rsid w:val="00B628F4"/>
    <w:rsid w:val="00B62B1B"/>
    <w:rsid w:val="00B644E1"/>
    <w:rsid w:val="00B6591B"/>
    <w:rsid w:val="00B65B50"/>
    <w:rsid w:val="00B70DDF"/>
    <w:rsid w:val="00B70FF7"/>
    <w:rsid w:val="00B7148A"/>
    <w:rsid w:val="00B7167C"/>
    <w:rsid w:val="00B7264D"/>
    <w:rsid w:val="00B75E77"/>
    <w:rsid w:val="00B7687D"/>
    <w:rsid w:val="00B772E3"/>
    <w:rsid w:val="00B776C6"/>
    <w:rsid w:val="00B77835"/>
    <w:rsid w:val="00B8063E"/>
    <w:rsid w:val="00B817DE"/>
    <w:rsid w:val="00B81FED"/>
    <w:rsid w:val="00B820DE"/>
    <w:rsid w:val="00B82C0C"/>
    <w:rsid w:val="00B83033"/>
    <w:rsid w:val="00B84337"/>
    <w:rsid w:val="00B850D1"/>
    <w:rsid w:val="00B8544F"/>
    <w:rsid w:val="00B85F29"/>
    <w:rsid w:val="00B86808"/>
    <w:rsid w:val="00B91373"/>
    <w:rsid w:val="00B92588"/>
    <w:rsid w:val="00B92EE3"/>
    <w:rsid w:val="00B93BBC"/>
    <w:rsid w:val="00B940C7"/>
    <w:rsid w:val="00B94C70"/>
    <w:rsid w:val="00B954F6"/>
    <w:rsid w:val="00B966E9"/>
    <w:rsid w:val="00B9713F"/>
    <w:rsid w:val="00B97AAA"/>
    <w:rsid w:val="00BA0058"/>
    <w:rsid w:val="00BA24AB"/>
    <w:rsid w:val="00BA3803"/>
    <w:rsid w:val="00BA4485"/>
    <w:rsid w:val="00BA4B39"/>
    <w:rsid w:val="00BA4CD8"/>
    <w:rsid w:val="00BA5E7C"/>
    <w:rsid w:val="00BA5F0F"/>
    <w:rsid w:val="00BA70AE"/>
    <w:rsid w:val="00BB174F"/>
    <w:rsid w:val="00BB333F"/>
    <w:rsid w:val="00BB3935"/>
    <w:rsid w:val="00BB42B2"/>
    <w:rsid w:val="00BB74EA"/>
    <w:rsid w:val="00BC12D0"/>
    <w:rsid w:val="00BC45AF"/>
    <w:rsid w:val="00BC496D"/>
    <w:rsid w:val="00BC4A9C"/>
    <w:rsid w:val="00BC5AC5"/>
    <w:rsid w:val="00BC746D"/>
    <w:rsid w:val="00BC7B5C"/>
    <w:rsid w:val="00BD07F7"/>
    <w:rsid w:val="00BD1497"/>
    <w:rsid w:val="00BD1BFB"/>
    <w:rsid w:val="00BD2F8B"/>
    <w:rsid w:val="00BD5E8E"/>
    <w:rsid w:val="00BD72E5"/>
    <w:rsid w:val="00BD755D"/>
    <w:rsid w:val="00BD7977"/>
    <w:rsid w:val="00BE1144"/>
    <w:rsid w:val="00BE17E5"/>
    <w:rsid w:val="00BE2ADB"/>
    <w:rsid w:val="00BE2E75"/>
    <w:rsid w:val="00BE2EF8"/>
    <w:rsid w:val="00BE34A0"/>
    <w:rsid w:val="00BE4221"/>
    <w:rsid w:val="00BE4283"/>
    <w:rsid w:val="00BE43A0"/>
    <w:rsid w:val="00BE47AA"/>
    <w:rsid w:val="00BE4EDE"/>
    <w:rsid w:val="00BE5767"/>
    <w:rsid w:val="00BE5BD7"/>
    <w:rsid w:val="00BE5DDB"/>
    <w:rsid w:val="00BE6ABB"/>
    <w:rsid w:val="00BE79C2"/>
    <w:rsid w:val="00BF07C1"/>
    <w:rsid w:val="00BF1562"/>
    <w:rsid w:val="00BF26E2"/>
    <w:rsid w:val="00BF2746"/>
    <w:rsid w:val="00BF30E1"/>
    <w:rsid w:val="00BF43EA"/>
    <w:rsid w:val="00BF5E97"/>
    <w:rsid w:val="00BF63C6"/>
    <w:rsid w:val="00BF7DF7"/>
    <w:rsid w:val="00BF7E3F"/>
    <w:rsid w:val="00C009B5"/>
    <w:rsid w:val="00C01F89"/>
    <w:rsid w:val="00C02676"/>
    <w:rsid w:val="00C02DBD"/>
    <w:rsid w:val="00C035CA"/>
    <w:rsid w:val="00C0426D"/>
    <w:rsid w:val="00C051D8"/>
    <w:rsid w:val="00C05447"/>
    <w:rsid w:val="00C06813"/>
    <w:rsid w:val="00C06BC7"/>
    <w:rsid w:val="00C10B8A"/>
    <w:rsid w:val="00C10E24"/>
    <w:rsid w:val="00C118C5"/>
    <w:rsid w:val="00C119D7"/>
    <w:rsid w:val="00C12858"/>
    <w:rsid w:val="00C131FE"/>
    <w:rsid w:val="00C13C52"/>
    <w:rsid w:val="00C1498F"/>
    <w:rsid w:val="00C158CC"/>
    <w:rsid w:val="00C15A05"/>
    <w:rsid w:val="00C15B1C"/>
    <w:rsid w:val="00C15D3F"/>
    <w:rsid w:val="00C15EB7"/>
    <w:rsid w:val="00C16769"/>
    <w:rsid w:val="00C1723B"/>
    <w:rsid w:val="00C17D9B"/>
    <w:rsid w:val="00C20304"/>
    <w:rsid w:val="00C209B9"/>
    <w:rsid w:val="00C222D7"/>
    <w:rsid w:val="00C227AA"/>
    <w:rsid w:val="00C232CF"/>
    <w:rsid w:val="00C245CD"/>
    <w:rsid w:val="00C24619"/>
    <w:rsid w:val="00C252ED"/>
    <w:rsid w:val="00C25396"/>
    <w:rsid w:val="00C27667"/>
    <w:rsid w:val="00C2782D"/>
    <w:rsid w:val="00C300EB"/>
    <w:rsid w:val="00C30618"/>
    <w:rsid w:val="00C30E0D"/>
    <w:rsid w:val="00C311D5"/>
    <w:rsid w:val="00C31F11"/>
    <w:rsid w:val="00C32780"/>
    <w:rsid w:val="00C33BEF"/>
    <w:rsid w:val="00C33F49"/>
    <w:rsid w:val="00C34B31"/>
    <w:rsid w:val="00C34F1B"/>
    <w:rsid w:val="00C35E88"/>
    <w:rsid w:val="00C36BD5"/>
    <w:rsid w:val="00C37090"/>
    <w:rsid w:val="00C3756D"/>
    <w:rsid w:val="00C400FC"/>
    <w:rsid w:val="00C408DB"/>
    <w:rsid w:val="00C40E75"/>
    <w:rsid w:val="00C410D0"/>
    <w:rsid w:val="00C41131"/>
    <w:rsid w:val="00C42F4F"/>
    <w:rsid w:val="00C439EC"/>
    <w:rsid w:val="00C43A74"/>
    <w:rsid w:val="00C446EC"/>
    <w:rsid w:val="00C44AAF"/>
    <w:rsid w:val="00C44F0B"/>
    <w:rsid w:val="00C44F81"/>
    <w:rsid w:val="00C466E7"/>
    <w:rsid w:val="00C5137A"/>
    <w:rsid w:val="00C51B10"/>
    <w:rsid w:val="00C5259C"/>
    <w:rsid w:val="00C54119"/>
    <w:rsid w:val="00C55688"/>
    <w:rsid w:val="00C56B32"/>
    <w:rsid w:val="00C56D52"/>
    <w:rsid w:val="00C576A3"/>
    <w:rsid w:val="00C605A4"/>
    <w:rsid w:val="00C61F9A"/>
    <w:rsid w:val="00C62016"/>
    <w:rsid w:val="00C6220D"/>
    <w:rsid w:val="00C62C2B"/>
    <w:rsid w:val="00C634C6"/>
    <w:rsid w:val="00C6393A"/>
    <w:rsid w:val="00C646AF"/>
    <w:rsid w:val="00C6531C"/>
    <w:rsid w:val="00C65631"/>
    <w:rsid w:val="00C66C41"/>
    <w:rsid w:val="00C67C54"/>
    <w:rsid w:val="00C67C7C"/>
    <w:rsid w:val="00C67CEF"/>
    <w:rsid w:val="00C72744"/>
    <w:rsid w:val="00C727BC"/>
    <w:rsid w:val="00C72888"/>
    <w:rsid w:val="00C72E29"/>
    <w:rsid w:val="00C72FE5"/>
    <w:rsid w:val="00C74192"/>
    <w:rsid w:val="00C749EA"/>
    <w:rsid w:val="00C75785"/>
    <w:rsid w:val="00C75856"/>
    <w:rsid w:val="00C76180"/>
    <w:rsid w:val="00C769E8"/>
    <w:rsid w:val="00C77D28"/>
    <w:rsid w:val="00C806FC"/>
    <w:rsid w:val="00C82667"/>
    <w:rsid w:val="00C83627"/>
    <w:rsid w:val="00C84665"/>
    <w:rsid w:val="00C84956"/>
    <w:rsid w:val="00C8510C"/>
    <w:rsid w:val="00C856FE"/>
    <w:rsid w:val="00C85F5C"/>
    <w:rsid w:val="00C861B7"/>
    <w:rsid w:val="00C8667C"/>
    <w:rsid w:val="00C86ED7"/>
    <w:rsid w:val="00C874A1"/>
    <w:rsid w:val="00C87D0E"/>
    <w:rsid w:val="00C87F72"/>
    <w:rsid w:val="00C90544"/>
    <w:rsid w:val="00C90898"/>
    <w:rsid w:val="00C90C08"/>
    <w:rsid w:val="00C90E8A"/>
    <w:rsid w:val="00C90F4D"/>
    <w:rsid w:val="00C911A5"/>
    <w:rsid w:val="00C9153B"/>
    <w:rsid w:val="00C91A90"/>
    <w:rsid w:val="00C926D6"/>
    <w:rsid w:val="00C92B77"/>
    <w:rsid w:val="00C92E71"/>
    <w:rsid w:val="00C9359B"/>
    <w:rsid w:val="00C946D8"/>
    <w:rsid w:val="00C94811"/>
    <w:rsid w:val="00C95889"/>
    <w:rsid w:val="00C95997"/>
    <w:rsid w:val="00C961B2"/>
    <w:rsid w:val="00C96424"/>
    <w:rsid w:val="00C97AB4"/>
    <w:rsid w:val="00CA200B"/>
    <w:rsid w:val="00CA44E8"/>
    <w:rsid w:val="00CA6ABD"/>
    <w:rsid w:val="00CA6B63"/>
    <w:rsid w:val="00CA72AD"/>
    <w:rsid w:val="00CA7709"/>
    <w:rsid w:val="00CA7944"/>
    <w:rsid w:val="00CA7FBC"/>
    <w:rsid w:val="00CB084C"/>
    <w:rsid w:val="00CB11E2"/>
    <w:rsid w:val="00CB1B03"/>
    <w:rsid w:val="00CB26EA"/>
    <w:rsid w:val="00CB27E4"/>
    <w:rsid w:val="00CB2FAE"/>
    <w:rsid w:val="00CB40D1"/>
    <w:rsid w:val="00CB4DBD"/>
    <w:rsid w:val="00CB57D0"/>
    <w:rsid w:val="00CB59A4"/>
    <w:rsid w:val="00CB5C87"/>
    <w:rsid w:val="00CC1E85"/>
    <w:rsid w:val="00CC30D1"/>
    <w:rsid w:val="00CC4242"/>
    <w:rsid w:val="00CC4D9F"/>
    <w:rsid w:val="00CC5177"/>
    <w:rsid w:val="00CC5492"/>
    <w:rsid w:val="00CC60FA"/>
    <w:rsid w:val="00CC760B"/>
    <w:rsid w:val="00CD1481"/>
    <w:rsid w:val="00CD1A0C"/>
    <w:rsid w:val="00CD3142"/>
    <w:rsid w:val="00CD3B42"/>
    <w:rsid w:val="00CD3CCD"/>
    <w:rsid w:val="00CD5163"/>
    <w:rsid w:val="00CD537E"/>
    <w:rsid w:val="00CD56B8"/>
    <w:rsid w:val="00CD5D38"/>
    <w:rsid w:val="00CD6516"/>
    <w:rsid w:val="00CD686D"/>
    <w:rsid w:val="00CE0820"/>
    <w:rsid w:val="00CE1764"/>
    <w:rsid w:val="00CE1870"/>
    <w:rsid w:val="00CE1DEB"/>
    <w:rsid w:val="00CE3BFF"/>
    <w:rsid w:val="00CE3F1B"/>
    <w:rsid w:val="00CE46E4"/>
    <w:rsid w:val="00CE49FA"/>
    <w:rsid w:val="00CE4CEB"/>
    <w:rsid w:val="00CE6985"/>
    <w:rsid w:val="00CE69A6"/>
    <w:rsid w:val="00CE6F08"/>
    <w:rsid w:val="00CE6F6B"/>
    <w:rsid w:val="00CE7B9B"/>
    <w:rsid w:val="00CF0483"/>
    <w:rsid w:val="00CF1A80"/>
    <w:rsid w:val="00CF2231"/>
    <w:rsid w:val="00CF5D42"/>
    <w:rsid w:val="00CF615B"/>
    <w:rsid w:val="00CF616A"/>
    <w:rsid w:val="00D02B12"/>
    <w:rsid w:val="00D02BBA"/>
    <w:rsid w:val="00D032D9"/>
    <w:rsid w:val="00D036F5"/>
    <w:rsid w:val="00D03F95"/>
    <w:rsid w:val="00D04649"/>
    <w:rsid w:val="00D04810"/>
    <w:rsid w:val="00D05206"/>
    <w:rsid w:val="00D05D0C"/>
    <w:rsid w:val="00D0645F"/>
    <w:rsid w:val="00D06854"/>
    <w:rsid w:val="00D06A15"/>
    <w:rsid w:val="00D06D03"/>
    <w:rsid w:val="00D07726"/>
    <w:rsid w:val="00D07D17"/>
    <w:rsid w:val="00D07EA8"/>
    <w:rsid w:val="00D11B70"/>
    <w:rsid w:val="00D122CE"/>
    <w:rsid w:val="00D12BF6"/>
    <w:rsid w:val="00D13F42"/>
    <w:rsid w:val="00D154F1"/>
    <w:rsid w:val="00D171DB"/>
    <w:rsid w:val="00D17488"/>
    <w:rsid w:val="00D17839"/>
    <w:rsid w:val="00D20D96"/>
    <w:rsid w:val="00D22483"/>
    <w:rsid w:val="00D22736"/>
    <w:rsid w:val="00D2310F"/>
    <w:rsid w:val="00D241F1"/>
    <w:rsid w:val="00D244BE"/>
    <w:rsid w:val="00D24EA9"/>
    <w:rsid w:val="00D2581A"/>
    <w:rsid w:val="00D25E5E"/>
    <w:rsid w:val="00D26A7F"/>
    <w:rsid w:val="00D26B4C"/>
    <w:rsid w:val="00D26E40"/>
    <w:rsid w:val="00D30446"/>
    <w:rsid w:val="00D30965"/>
    <w:rsid w:val="00D315D0"/>
    <w:rsid w:val="00D3255D"/>
    <w:rsid w:val="00D33090"/>
    <w:rsid w:val="00D33595"/>
    <w:rsid w:val="00D33C60"/>
    <w:rsid w:val="00D33D02"/>
    <w:rsid w:val="00D346BF"/>
    <w:rsid w:val="00D35F14"/>
    <w:rsid w:val="00D36799"/>
    <w:rsid w:val="00D42210"/>
    <w:rsid w:val="00D424B2"/>
    <w:rsid w:val="00D42929"/>
    <w:rsid w:val="00D43428"/>
    <w:rsid w:val="00D444B5"/>
    <w:rsid w:val="00D44D9A"/>
    <w:rsid w:val="00D4611E"/>
    <w:rsid w:val="00D46C1B"/>
    <w:rsid w:val="00D5086C"/>
    <w:rsid w:val="00D51736"/>
    <w:rsid w:val="00D51B4A"/>
    <w:rsid w:val="00D53886"/>
    <w:rsid w:val="00D53ACB"/>
    <w:rsid w:val="00D548A4"/>
    <w:rsid w:val="00D55894"/>
    <w:rsid w:val="00D55E95"/>
    <w:rsid w:val="00D56772"/>
    <w:rsid w:val="00D568CE"/>
    <w:rsid w:val="00D574A3"/>
    <w:rsid w:val="00D6386A"/>
    <w:rsid w:val="00D638E7"/>
    <w:rsid w:val="00D63D03"/>
    <w:rsid w:val="00D63E26"/>
    <w:rsid w:val="00D64C93"/>
    <w:rsid w:val="00D64D45"/>
    <w:rsid w:val="00D656F4"/>
    <w:rsid w:val="00D65DEB"/>
    <w:rsid w:val="00D660C6"/>
    <w:rsid w:val="00D6693E"/>
    <w:rsid w:val="00D66B7F"/>
    <w:rsid w:val="00D66D3B"/>
    <w:rsid w:val="00D66F07"/>
    <w:rsid w:val="00D67655"/>
    <w:rsid w:val="00D71E82"/>
    <w:rsid w:val="00D72AFE"/>
    <w:rsid w:val="00D731A8"/>
    <w:rsid w:val="00D77111"/>
    <w:rsid w:val="00D77670"/>
    <w:rsid w:val="00D80F93"/>
    <w:rsid w:val="00D819A7"/>
    <w:rsid w:val="00D821D7"/>
    <w:rsid w:val="00D84075"/>
    <w:rsid w:val="00D84593"/>
    <w:rsid w:val="00D84624"/>
    <w:rsid w:val="00D90750"/>
    <w:rsid w:val="00D91154"/>
    <w:rsid w:val="00D9149E"/>
    <w:rsid w:val="00D9325E"/>
    <w:rsid w:val="00D93336"/>
    <w:rsid w:val="00D95D39"/>
    <w:rsid w:val="00D96B00"/>
    <w:rsid w:val="00D96B0A"/>
    <w:rsid w:val="00D97BC5"/>
    <w:rsid w:val="00D97E52"/>
    <w:rsid w:val="00DA0C87"/>
    <w:rsid w:val="00DA1FB7"/>
    <w:rsid w:val="00DA32E8"/>
    <w:rsid w:val="00DA3891"/>
    <w:rsid w:val="00DA3ACB"/>
    <w:rsid w:val="00DA3B33"/>
    <w:rsid w:val="00DA3DEA"/>
    <w:rsid w:val="00DA5B7D"/>
    <w:rsid w:val="00DA741F"/>
    <w:rsid w:val="00DB02ED"/>
    <w:rsid w:val="00DB0F09"/>
    <w:rsid w:val="00DB22FB"/>
    <w:rsid w:val="00DB2D3F"/>
    <w:rsid w:val="00DB32E0"/>
    <w:rsid w:val="00DB3460"/>
    <w:rsid w:val="00DB48B7"/>
    <w:rsid w:val="00DB4E96"/>
    <w:rsid w:val="00DB5EB5"/>
    <w:rsid w:val="00DB66E5"/>
    <w:rsid w:val="00DB72C1"/>
    <w:rsid w:val="00DC085B"/>
    <w:rsid w:val="00DC2E2F"/>
    <w:rsid w:val="00DC31D3"/>
    <w:rsid w:val="00DC34F3"/>
    <w:rsid w:val="00DC5D11"/>
    <w:rsid w:val="00DC620F"/>
    <w:rsid w:val="00DC6F93"/>
    <w:rsid w:val="00DC7525"/>
    <w:rsid w:val="00DD0594"/>
    <w:rsid w:val="00DD1475"/>
    <w:rsid w:val="00DD27E6"/>
    <w:rsid w:val="00DD2E89"/>
    <w:rsid w:val="00DD416D"/>
    <w:rsid w:val="00DD4E75"/>
    <w:rsid w:val="00DD5449"/>
    <w:rsid w:val="00DD749C"/>
    <w:rsid w:val="00DD7F3D"/>
    <w:rsid w:val="00DE0CC9"/>
    <w:rsid w:val="00DE144B"/>
    <w:rsid w:val="00DE241A"/>
    <w:rsid w:val="00DE26E1"/>
    <w:rsid w:val="00DE3451"/>
    <w:rsid w:val="00DE35ED"/>
    <w:rsid w:val="00DE43BB"/>
    <w:rsid w:val="00DF0994"/>
    <w:rsid w:val="00DF3DB4"/>
    <w:rsid w:val="00DF449E"/>
    <w:rsid w:val="00DF621D"/>
    <w:rsid w:val="00DF63AF"/>
    <w:rsid w:val="00E000D6"/>
    <w:rsid w:val="00E009A6"/>
    <w:rsid w:val="00E00A4C"/>
    <w:rsid w:val="00E00AE9"/>
    <w:rsid w:val="00E00F0A"/>
    <w:rsid w:val="00E010B7"/>
    <w:rsid w:val="00E01875"/>
    <w:rsid w:val="00E0577E"/>
    <w:rsid w:val="00E058E7"/>
    <w:rsid w:val="00E05B69"/>
    <w:rsid w:val="00E05BCB"/>
    <w:rsid w:val="00E076E3"/>
    <w:rsid w:val="00E07D0C"/>
    <w:rsid w:val="00E07D8A"/>
    <w:rsid w:val="00E1071B"/>
    <w:rsid w:val="00E14BBC"/>
    <w:rsid w:val="00E156D2"/>
    <w:rsid w:val="00E158FE"/>
    <w:rsid w:val="00E15CA6"/>
    <w:rsid w:val="00E164A5"/>
    <w:rsid w:val="00E16575"/>
    <w:rsid w:val="00E16F2E"/>
    <w:rsid w:val="00E2079E"/>
    <w:rsid w:val="00E222DD"/>
    <w:rsid w:val="00E24115"/>
    <w:rsid w:val="00E24EEB"/>
    <w:rsid w:val="00E25C14"/>
    <w:rsid w:val="00E25D7B"/>
    <w:rsid w:val="00E269B0"/>
    <w:rsid w:val="00E27C0A"/>
    <w:rsid w:val="00E27DEF"/>
    <w:rsid w:val="00E30537"/>
    <w:rsid w:val="00E31214"/>
    <w:rsid w:val="00E32433"/>
    <w:rsid w:val="00E32D49"/>
    <w:rsid w:val="00E34A68"/>
    <w:rsid w:val="00E34D14"/>
    <w:rsid w:val="00E353BE"/>
    <w:rsid w:val="00E35CDC"/>
    <w:rsid w:val="00E35D77"/>
    <w:rsid w:val="00E373D8"/>
    <w:rsid w:val="00E375C7"/>
    <w:rsid w:val="00E41EA3"/>
    <w:rsid w:val="00E41F7D"/>
    <w:rsid w:val="00E42686"/>
    <w:rsid w:val="00E44219"/>
    <w:rsid w:val="00E4456A"/>
    <w:rsid w:val="00E45AF9"/>
    <w:rsid w:val="00E5117C"/>
    <w:rsid w:val="00E51D04"/>
    <w:rsid w:val="00E52156"/>
    <w:rsid w:val="00E52DD0"/>
    <w:rsid w:val="00E547A1"/>
    <w:rsid w:val="00E55C0C"/>
    <w:rsid w:val="00E55EC2"/>
    <w:rsid w:val="00E57864"/>
    <w:rsid w:val="00E6004B"/>
    <w:rsid w:val="00E60A97"/>
    <w:rsid w:val="00E60D62"/>
    <w:rsid w:val="00E6312C"/>
    <w:rsid w:val="00E64260"/>
    <w:rsid w:val="00E6469F"/>
    <w:rsid w:val="00E64C28"/>
    <w:rsid w:val="00E64EC7"/>
    <w:rsid w:val="00E6509A"/>
    <w:rsid w:val="00E67071"/>
    <w:rsid w:val="00E70648"/>
    <w:rsid w:val="00E70E30"/>
    <w:rsid w:val="00E72945"/>
    <w:rsid w:val="00E72E6E"/>
    <w:rsid w:val="00E74AA3"/>
    <w:rsid w:val="00E75AB2"/>
    <w:rsid w:val="00E77B95"/>
    <w:rsid w:val="00E821D5"/>
    <w:rsid w:val="00E835E8"/>
    <w:rsid w:val="00E846D9"/>
    <w:rsid w:val="00E84BD5"/>
    <w:rsid w:val="00E85C46"/>
    <w:rsid w:val="00E871B4"/>
    <w:rsid w:val="00E90006"/>
    <w:rsid w:val="00E90CCE"/>
    <w:rsid w:val="00E90D27"/>
    <w:rsid w:val="00E92BED"/>
    <w:rsid w:val="00E939F5"/>
    <w:rsid w:val="00E93A8E"/>
    <w:rsid w:val="00E93F50"/>
    <w:rsid w:val="00E95225"/>
    <w:rsid w:val="00E95367"/>
    <w:rsid w:val="00E957F6"/>
    <w:rsid w:val="00E962E2"/>
    <w:rsid w:val="00E974F3"/>
    <w:rsid w:val="00E97802"/>
    <w:rsid w:val="00E9789F"/>
    <w:rsid w:val="00E97AF2"/>
    <w:rsid w:val="00EA10BA"/>
    <w:rsid w:val="00EA13BA"/>
    <w:rsid w:val="00EA20B3"/>
    <w:rsid w:val="00EA3B82"/>
    <w:rsid w:val="00EA4CB2"/>
    <w:rsid w:val="00EA68E6"/>
    <w:rsid w:val="00EA766E"/>
    <w:rsid w:val="00EA7700"/>
    <w:rsid w:val="00EA7C58"/>
    <w:rsid w:val="00EA7E38"/>
    <w:rsid w:val="00EB2020"/>
    <w:rsid w:val="00EB20A2"/>
    <w:rsid w:val="00EB24B5"/>
    <w:rsid w:val="00EB402F"/>
    <w:rsid w:val="00EB4376"/>
    <w:rsid w:val="00EB5256"/>
    <w:rsid w:val="00EB5B38"/>
    <w:rsid w:val="00EB5DFB"/>
    <w:rsid w:val="00EB5E5C"/>
    <w:rsid w:val="00EB6551"/>
    <w:rsid w:val="00EB6D8E"/>
    <w:rsid w:val="00EB7553"/>
    <w:rsid w:val="00EB7934"/>
    <w:rsid w:val="00EC053B"/>
    <w:rsid w:val="00EC0E40"/>
    <w:rsid w:val="00EC12CD"/>
    <w:rsid w:val="00EC3B99"/>
    <w:rsid w:val="00EC5167"/>
    <w:rsid w:val="00EC5D9E"/>
    <w:rsid w:val="00EC665C"/>
    <w:rsid w:val="00EC7C4D"/>
    <w:rsid w:val="00ED083C"/>
    <w:rsid w:val="00ED0AC1"/>
    <w:rsid w:val="00ED11B0"/>
    <w:rsid w:val="00ED18D7"/>
    <w:rsid w:val="00ED21A6"/>
    <w:rsid w:val="00ED2B7B"/>
    <w:rsid w:val="00ED36EC"/>
    <w:rsid w:val="00ED4087"/>
    <w:rsid w:val="00ED40D1"/>
    <w:rsid w:val="00ED5B9F"/>
    <w:rsid w:val="00ED630C"/>
    <w:rsid w:val="00ED6FDB"/>
    <w:rsid w:val="00ED7203"/>
    <w:rsid w:val="00ED7997"/>
    <w:rsid w:val="00EE01EB"/>
    <w:rsid w:val="00EE084B"/>
    <w:rsid w:val="00EE0F91"/>
    <w:rsid w:val="00EE335B"/>
    <w:rsid w:val="00EE392E"/>
    <w:rsid w:val="00EE3DE2"/>
    <w:rsid w:val="00EE5464"/>
    <w:rsid w:val="00EE5856"/>
    <w:rsid w:val="00EE6474"/>
    <w:rsid w:val="00EE6AB4"/>
    <w:rsid w:val="00EE6C16"/>
    <w:rsid w:val="00EE73AD"/>
    <w:rsid w:val="00EF004D"/>
    <w:rsid w:val="00EF0193"/>
    <w:rsid w:val="00EF0425"/>
    <w:rsid w:val="00EF0E43"/>
    <w:rsid w:val="00EF1DEE"/>
    <w:rsid w:val="00EF2074"/>
    <w:rsid w:val="00EF2619"/>
    <w:rsid w:val="00EF2F38"/>
    <w:rsid w:val="00EF65CD"/>
    <w:rsid w:val="00EF7905"/>
    <w:rsid w:val="00F02487"/>
    <w:rsid w:val="00F0265E"/>
    <w:rsid w:val="00F03329"/>
    <w:rsid w:val="00F03F98"/>
    <w:rsid w:val="00F045AD"/>
    <w:rsid w:val="00F04ABC"/>
    <w:rsid w:val="00F04F87"/>
    <w:rsid w:val="00F069C9"/>
    <w:rsid w:val="00F06BCC"/>
    <w:rsid w:val="00F06F17"/>
    <w:rsid w:val="00F073BB"/>
    <w:rsid w:val="00F074FE"/>
    <w:rsid w:val="00F0788B"/>
    <w:rsid w:val="00F1056B"/>
    <w:rsid w:val="00F106E6"/>
    <w:rsid w:val="00F11055"/>
    <w:rsid w:val="00F11DC9"/>
    <w:rsid w:val="00F130B9"/>
    <w:rsid w:val="00F1454D"/>
    <w:rsid w:val="00F14E56"/>
    <w:rsid w:val="00F15DB6"/>
    <w:rsid w:val="00F16550"/>
    <w:rsid w:val="00F16FC6"/>
    <w:rsid w:val="00F1710B"/>
    <w:rsid w:val="00F177E4"/>
    <w:rsid w:val="00F2181C"/>
    <w:rsid w:val="00F21CE3"/>
    <w:rsid w:val="00F2232B"/>
    <w:rsid w:val="00F240F3"/>
    <w:rsid w:val="00F246E4"/>
    <w:rsid w:val="00F250D6"/>
    <w:rsid w:val="00F25646"/>
    <w:rsid w:val="00F26530"/>
    <w:rsid w:val="00F2670B"/>
    <w:rsid w:val="00F31385"/>
    <w:rsid w:val="00F3258A"/>
    <w:rsid w:val="00F3275F"/>
    <w:rsid w:val="00F330B7"/>
    <w:rsid w:val="00F33CED"/>
    <w:rsid w:val="00F3487C"/>
    <w:rsid w:val="00F349EC"/>
    <w:rsid w:val="00F352C4"/>
    <w:rsid w:val="00F35D23"/>
    <w:rsid w:val="00F3612D"/>
    <w:rsid w:val="00F362F0"/>
    <w:rsid w:val="00F36593"/>
    <w:rsid w:val="00F376D3"/>
    <w:rsid w:val="00F408A6"/>
    <w:rsid w:val="00F4289D"/>
    <w:rsid w:val="00F42E0C"/>
    <w:rsid w:val="00F4436F"/>
    <w:rsid w:val="00F45C88"/>
    <w:rsid w:val="00F46466"/>
    <w:rsid w:val="00F46DB4"/>
    <w:rsid w:val="00F50A2F"/>
    <w:rsid w:val="00F50BAF"/>
    <w:rsid w:val="00F53789"/>
    <w:rsid w:val="00F54335"/>
    <w:rsid w:val="00F545AE"/>
    <w:rsid w:val="00F558F8"/>
    <w:rsid w:val="00F5664E"/>
    <w:rsid w:val="00F56D82"/>
    <w:rsid w:val="00F57B3A"/>
    <w:rsid w:val="00F611EB"/>
    <w:rsid w:val="00F61E33"/>
    <w:rsid w:val="00F649D9"/>
    <w:rsid w:val="00F65725"/>
    <w:rsid w:val="00F65A88"/>
    <w:rsid w:val="00F667DE"/>
    <w:rsid w:val="00F66B0A"/>
    <w:rsid w:val="00F70061"/>
    <w:rsid w:val="00F70330"/>
    <w:rsid w:val="00F70D38"/>
    <w:rsid w:val="00F719E9"/>
    <w:rsid w:val="00F720D7"/>
    <w:rsid w:val="00F72EE0"/>
    <w:rsid w:val="00F73898"/>
    <w:rsid w:val="00F74463"/>
    <w:rsid w:val="00F74C1E"/>
    <w:rsid w:val="00F755C4"/>
    <w:rsid w:val="00F76FF1"/>
    <w:rsid w:val="00F77DB2"/>
    <w:rsid w:val="00F8026D"/>
    <w:rsid w:val="00F8029B"/>
    <w:rsid w:val="00F80AD8"/>
    <w:rsid w:val="00F80D2D"/>
    <w:rsid w:val="00F85A2B"/>
    <w:rsid w:val="00F868F3"/>
    <w:rsid w:val="00F86ABB"/>
    <w:rsid w:val="00F86BA7"/>
    <w:rsid w:val="00F87A79"/>
    <w:rsid w:val="00F87E2B"/>
    <w:rsid w:val="00F90E35"/>
    <w:rsid w:val="00F91A97"/>
    <w:rsid w:val="00F91C63"/>
    <w:rsid w:val="00F921D4"/>
    <w:rsid w:val="00F92DD2"/>
    <w:rsid w:val="00F94017"/>
    <w:rsid w:val="00F94EDA"/>
    <w:rsid w:val="00F95911"/>
    <w:rsid w:val="00F95ACB"/>
    <w:rsid w:val="00F962C6"/>
    <w:rsid w:val="00FA0024"/>
    <w:rsid w:val="00FA0A64"/>
    <w:rsid w:val="00FA1B6E"/>
    <w:rsid w:val="00FA2654"/>
    <w:rsid w:val="00FA26BB"/>
    <w:rsid w:val="00FA2D91"/>
    <w:rsid w:val="00FA30C8"/>
    <w:rsid w:val="00FA381D"/>
    <w:rsid w:val="00FA460D"/>
    <w:rsid w:val="00FA4AD9"/>
    <w:rsid w:val="00FA4D21"/>
    <w:rsid w:val="00FA5616"/>
    <w:rsid w:val="00FA7691"/>
    <w:rsid w:val="00FB0113"/>
    <w:rsid w:val="00FB05C0"/>
    <w:rsid w:val="00FB099C"/>
    <w:rsid w:val="00FB2CE9"/>
    <w:rsid w:val="00FB2EF1"/>
    <w:rsid w:val="00FB371E"/>
    <w:rsid w:val="00FB3FF7"/>
    <w:rsid w:val="00FB4D02"/>
    <w:rsid w:val="00FB5CB8"/>
    <w:rsid w:val="00FB61C8"/>
    <w:rsid w:val="00FB6906"/>
    <w:rsid w:val="00FB6A9A"/>
    <w:rsid w:val="00FB73E3"/>
    <w:rsid w:val="00FB7906"/>
    <w:rsid w:val="00FC0D30"/>
    <w:rsid w:val="00FC1B15"/>
    <w:rsid w:val="00FC2357"/>
    <w:rsid w:val="00FC54FF"/>
    <w:rsid w:val="00FC5FAC"/>
    <w:rsid w:val="00FC659A"/>
    <w:rsid w:val="00FD0F2D"/>
    <w:rsid w:val="00FD27D5"/>
    <w:rsid w:val="00FD2B85"/>
    <w:rsid w:val="00FD2F25"/>
    <w:rsid w:val="00FD40AB"/>
    <w:rsid w:val="00FD495D"/>
    <w:rsid w:val="00FD53A2"/>
    <w:rsid w:val="00FD5957"/>
    <w:rsid w:val="00FD5FDC"/>
    <w:rsid w:val="00FD600B"/>
    <w:rsid w:val="00FD667E"/>
    <w:rsid w:val="00FD6F4C"/>
    <w:rsid w:val="00FD7C55"/>
    <w:rsid w:val="00FE03EF"/>
    <w:rsid w:val="00FE10B0"/>
    <w:rsid w:val="00FE2557"/>
    <w:rsid w:val="00FE437B"/>
    <w:rsid w:val="00FE44D7"/>
    <w:rsid w:val="00FE4787"/>
    <w:rsid w:val="00FE504A"/>
    <w:rsid w:val="00FE6A5F"/>
    <w:rsid w:val="00FE6FAB"/>
    <w:rsid w:val="00FF2C6E"/>
    <w:rsid w:val="00FF44F0"/>
    <w:rsid w:val="00FF453A"/>
    <w:rsid w:val="00FF4A3F"/>
    <w:rsid w:val="00FF7D8C"/>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9DC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802"/>
    <w:pPr>
      <w:spacing w:line="360" w:lineRule="auto"/>
      <w:jc w:val="both"/>
    </w:pPr>
    <w:rPr>
      <w:rFonts w:ascii="Times New Roman" w:eastAsiaTheme="minorHAnsi" w:hAnsi="Times New Roman"/>
      <w:sz w:val="24"/>
      <w:lang w:eastAsia="en-US"/>
    </w:rPr>
  </w:style>
  <w:style w:type="paragraph" w:styleId="Heading1">
    <w:name w:val="heading 1"/>
    <w:basedOn w:val="Normal"/>
    <w:next w:val="Normal"/>
    <w:link w:val="Heading1Char"/>
    <w:autoRedefine/>
    <w:uiPriority w:val="9"/>
    <w:qFormat/>
    <w:rsid w:val="007D1AEA"/>
    <w:pPr>
      <w:keepNext/>
      <w:keepLines/>
      <w:spacing w:after="0"/>
      <w:outlineLvl w:val="0"/>
    </w:pPr>
    <w:rPr>
      <w:rFonts w:eastAsiaTheme="majorEastAsia" w:cstheme="majorBidi"/>
      <w:b/>
      <w:sz w:val="28"/>
      <w:szCs w:val="40"/>
      <w:lang w:eastAsia="zh-CN"/>
    </w:rPr>
  </w:style>
  <w:style w:type="paragraph" w:styleId="Heading2">
    <w:name w:val="heading 2"/>
    <w:basedOn w:val="Normal"/>
    <w:next w:val="Normal"/>
    <w:link w:val="Heading2Char"/>
    <w:autoRedefine/>
    <w:uiPriority w:val="9"/>
    <w:unhideWhenUsed/>
    <w:qFormat/>
    <w:rsid w:val="006F6769"/>
    <w:pPr>
      <w:keepNext/>
      <w:keepLines/>
      <w:spacing w:after="0"/>
      <w:outlineLvl w:val="1"/>
    </w:pPr>
    <w:rPr>
      <w:rFonts w:eastAsiaTheme="majorEastAsia" w:cstheme="majorBidi"/>
      <w:b/>
      <w:sz w:val="26"/>
      <w:szCs w:val="26"/>
      <w:lang w:eastAsia="zh-CN"/>
    </w:rPr>
  </w:style>
  <w:style w:type="paragraph" w:styleId="Heading3">
    <w:name w:val="heading 3"/>
    <w:basedOn w:val="Normal"/>
    <w:next w:val="Normal"/>
    <w:link w:val="Heading3Char"/>
    <w:autoRedefine/>
    <w:uiPriority w:val="9"/>
    <w:unhideWhenUsed/>
    <w:qFormat/>
    <w:rsid w:val="007D1AEA"/>
    <w:pPr>
      <w:keepNext/>
      <w:keepLines/>
      <w:spacing w:before="40" w:after="0"/>
      <w:outlineLvl w:val="2"/>
    </w:pPr>
    <w:rPr>
      <w:rFonts w:eastAsiaTheme="majorEastAsia" w:cstheme="majorBidi"/>
      <w:b/>
      <w:szCs w:val="24"/>
      <w:lang w:eastAsia="zh-CN"/>
    </w:rPr>
  </w:style>
  <w:style w:type="paragraph" w:styleId="Heading4">
    <w:name w:val="heading 4"/>
    <w:basedOn w:val="Normal"/>
    <w:next w:val="Normal"/>
    <w:link w:val="Heading4Char"/>
    <w:autoRedefine/>
    <w:uiPriority w:val="9"/>
    <w:unhideWhenUsed/>
    <w:qFormat/>
    <w:rsid w:val="000E75D7"/>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7D1AEA"/>
    <w:pPr>
      <w:keepNext/>
      <w:keepLines/>
      <w:spacing w:before="80" w:after="40"/>
      <w:outlineLvl w:val="4"/>
    </w:pPr>
    <w:rPr>
      <w:rFonts w:asciiTheme="minorHAnsi" w:eastAsiaTheme="majorEastAsia" w:hAnsiTheme="minorHAnsi" w:cstheme="majorBidi"/>
      <w:color w:val="878772" w:themeColor="accent1" w:themeShade="BF"/>
    </w:rPr>
  </w:style>
  <w:style w:type="paragraph" w:styleId="Heading6">
    <w:name w:val="heading 6"/>
    <w:basedOn w:val="Normal"/>
    <w:next w:val="Normal"/>
    <w:link w:val="Heading6Char"/>
    <w:uiPriority w:val="9"/>
    <w:semiHidden/>
    <w:unhideWhenUsed/>
    <w:qFormat/>
    <w:rsid w:val="007D1AEA"/>
    <w:pPr>
      <w:keepNext/>
      <w:keepLines/>
      <w:spacing w:before="40" w:after="0"/>
      <w:outlineLvl w:val="5"/>
    </w:pPr>
    <w:rPr>
      <w:rFonts w:asciiTheme="minorHAnsi" w:eastAsiaTheme="majorEastAsia" w:hAnsiTheme="minorHAnsi" w:cstheme="majorBidi"/>
      <w:i/>
      <w:iCs/>
      <w:color w:val="7A7A7A" w:themeColor="text1" w:themeTint="A6"/>
    </w:rPr>
  </w:style>
  <w:style w:type="paragraph" w:styleId="Heading7">
    <w:name w:val="heading 7"/>
    <w:basedOn w:val="Normal"/>
    <w:next w:val="Normal"/>
    <w:link w:val="Heading7Char"/>
    <w:uiPriority w:val="9"/>
    <w:semiHidden/>
    <w:unhideWhenUsed/>
    <w:qFormat/>
    <w:rsid w:val="007D1AEA"/>
    <w:pPr>
      <w:keepNext/>
      <w:keepLines/>
      <w:spacing w:before="40" w:after="0"/>
      <w:outlineLvl w:val="6"/>
    </w:pPr>
    <w:rPr>
      <w:rFonts w:asciiTheme="minorHAnsi" w:eastAsiaTheme="majorEastAsia" w:hAnsiTheme="minorHAnsi" w:cstheme="majorBidi"/>
      <w:color w:val="7A7A7A" w:themeColor="text1" w:themeTint="A6"/>
    </w:rPr>
  </w:style>
  <w:style w:type="paragraph" w:styleId="Heading8">
    <w:name w:val="heading 8"/>
    <w:basedOn w:val="Normal"/>
    <w:next w:val="Normal"/>
    <w:link w:val="Heading8Char"/>
    <w:uiPriority w:val="9"/>
    <w:semiHidden/>
    <w:unhideWhenUsed/>
    <w:qFormat/>
    <w:rsid w:val="007D1AEA"/>
    <w:pPr>
      <w:keepNext/>
      <w:keepLines/>
      <w:spacing w:after="0"/>
      <w:outlineLvl w:val="7"/>
    </w:pPr>
    <w:rPr>
      <w:rFonts w:asciiTheme="minorHAnsi" w:eastAsiaTheme="majorEastAsia" w:hAnsiTheme="minorHAnsi" w:cstheme="majorBidi"/>
      <w:i/>
      <w:iCs/>
      <w:color w:val="525252" w:themeColor="text1" w:themeTint="D8"/>
    </w:rPr>
  </w:style>
  <w:style w:type="paragraph" w:styleId="Heading9">
    <w:name w:val="heading 9"/>
    <w:basedOn w:val="Normal"/>
    <w:next w:val="Normal"/>
    <w:link w:val="Heading9Char"/>
    <w:uiPriority w:val="9"/>
    <w:semiHidden/>
    <w:unhideWhenUsed/>
    <w:qFormat/>
    <w:rsid w:val="007D1AEA"/>
    <w:pPr>
      <w:keepNext/>
      <w:keepLines/>
      <w:spacing w:after="0"/>
      <w:outlineLvl w:val="8"/>
    </w:pPr>
    <w:rPr>
      <w:rFonts w:asciiTheme="minorHAnsi" w:eastAsiaTheme="majorEastAsia" w:hAnsiTheme="minorHAnsi" w:cstheme="majorBidi"/>
      <w:color w:val="52525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D1D"/>
    <w:pPr>
      <w:ind w:left="720"/>
      <w:contextualSpacing/>
    </w:pPr>
  </w:style>
  <w:style w:type="character" w:customStyle="1" w:styleId="Heading1Char">
    <w:name w:val="Heading 1 Char"/>
    <w:basedOn w:val="DefaultParagraphFont"/>
    <w:link w:val="Heading1"/>
    <w:uiPriority w:val="9"/>
    <w:rsid w:val="007D1AEA"/>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6F6769"/>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233902"/>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33902"/>
    <w:rPr>
      <w:rFonts w:ascii="Arial" w:eastAsiaTheme="majorEastAsia" w:hAnsi="Arial" w:cstheme="majorBidi"/>
      <w:color w:val="333333" w:themeColor="text1"/>
      <w:spacing w:val="-10"/>
      <w:kern w:val="28"/>
      <w:sz w:val="56"/>
      <w:szCs w:val="56"/>
    </w:rPr>
  </w:style>
  <w:style w:type="paragraph" w:styleId="Subtitle">
    <w:name w:val="Subtitle"/>
    <w:basedOn w:val="Normal"/>
    <w:next w:val="Normal"/>
    <w:link w:val="SubtitleChar"/>
    <w:uiPriority w:val="11"/>
    <w:qFormat/>
    <w:rsid w:val="00233902"/>
    <w:pPr>
      <w:numPr>
        <w:ilvl w:val="1"/>
      </w:numPr>
      <w:ind w:firstLine="720"/>
    </w:pPr>
    <w:rPr>
      <w:spacing w:val="15"/>
    </w:rPr>
  </w:style>
  <w:style w:type="character" w:customStyle="1" w:styleId="SubtitleChar">
    <w:name w:val="Subtitle Char"/>
    <w:basedOn w:val="DefaultParagraphFont"/>
    <w:link w:val="Subtitle"/>
    <w:uiPriority w:val="11"/>
    <w:rsid w:val="00233902"/>
    <w:rPr>
      <w:rFonts w:eastAsiaTheme="minorEastAsia"/>
      <w:color w:val="333333" w:themeColor="text1"/>
      <w:spacing w:val="15"/>
    </w:rPr>
  </w:style>
  <w:style w:type="paragraph" w:customStyle="1" w:styleId="Header2">
    <w:name w:val="Header 2"/>
    <w:basedOn w:val="Heading2"/>
    <w:link w:val="Header2Char"/>
    <w:autoRedefine/>
    <w:qFormat/>
    <w:rsid w:val="000C2C3D"/>
    <w:rPr>
      <w:rFonts w:eastAsia="Arial"/>
    </w:rPr>
  </w:style>
  <w:style w:type="character" w:customStyle="1" w:styleId="Header2Char">
    <w:name w:val="Header 2 Char"/>
    <w:basedOn w:val="DefaultParagraphFont"/>
    <w:link w:val="Header2"/>
    <w:rsid w:val="000C2C3D"/>
    <w:rPr>
      <w:rFonts w:ascii="Arial" w:eastAsia="Arial" w:hAnsi="Arial" w:cstheme="majorBidi"/>
      <w:b/>
      <w:sz w:val="26"/>
      <w:szCs w:val="26"/>
    </w:rPr>
  </w:style>
  <w:style w:type="character" w:customStyle="1" w:styleId="Heading3Char">
    <w:name w:val="Heading 3 Char"/>
    <w:basedOn w:val="DefaultParagraphFont"/>
    <w:link w:val="Heading3"/>
    <w:uiPriority w:val="9"/>
    <w:rsid w:val="007D1AEA"/>
    <w:rPr>
      <w:rFonts w:ascii="Times New Roman" w:eastAsiaTheme="majorEastAsia" w:hAnsi="Times New Roman" w:cstheme="majorBidi"/>
      <w:b/>
      <w:sz w:val="24"/>
      <w:szCs w:val="24"/>
    </w:rPr>
  </w:style>
  <w:style w:type="paragraph" w:styleId="NoSpacing">
    <w:name w:val="No Spacing"/>
    <w:autoRedefine/>
    <w:uiPriority w:val="1"/>
    <w:qFormat/>
    <w:rsid w:val="00642F65"/>
    <w:pPr>
      <w:spacing w:after="0" w:line="360" w:lineRule="auto"/>
      <w:jc w:val="both"/>
    </w:pPr>
    <w:rPr>
      <w:rFonts w:ascii="Times New Roman" w:eastAsiaTheme="minorHAnsi" w:hAnsi="Times New Roman"/>
      <w:color w:val="333333" w:themeColor="text1"/>
      <w:kern w:val="2"/>
      <w:sz w:val="24"/>
      <w:lang w:val="en-US" w:eastAsia="en-US"/>
      <w14:ligatures w14:val="standardContextual"/>
    </w:rPr>
  </w:style>
  <w:style w:type="character" w:customStyle="1" w:styleId="Heading4Char">
    <w:name w:val="Heading 4 Char"/>
    <w:basedOn w:val="DefaultParagraphFont"/>
    <w:link w:val="Heading4"/>
    <w:uiPriority w:val="9"/>
    <w:rsid w:val="000E75D7"/>
    <w:rPr>
      <w:rFonts w:ascii="Times New Roman" w:eastAsiaTheme="majorEastAsia" w:hAnsi="Times New Roman" w:cstheme="majorBidi"/>
      <w:b/>
      <w:iCs/>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7D1AEA"/>
    <w:rPr>
      <w:rFonts w:eastAsiaTheme="majorEastAsia" w:cstheme="majorBidi"/>
      <w:color w:val="878772" w:themeColor="accent1" w:themeShade="BF"/>
      <w:sz w:val="24"/>
      <w:lang w:eastAsia="en-US"/>
    </w:rPr>
  </w:style>
  <w:style w:type="character" w:customStyle="1" w:styleId="Heading6Char">
    <w:name w:val="Heading 6 Char"/>
    <w:basedOn w:val="DefaultParagraphFont"/>
    <w:link w:val="Heading6"/>
    <w:uiPriority w:val="9"/>
    <w:semiHidden/>
    <w:rsid w:val="007D1AEA"/>
    <w:rPr>
      <w:rFonts w:eastAsiaTheme="majorEastAsia" w:cstheme="majorBidi"/>
      <w:i/>
      <w:iCs/>
      <w:color w:val="7A7A7A" w:themeColor="text1" w:themeTint="A6"/>
      <w:sz w:val="24"/>
      <w:lang w:eastAsia="en-US"/>
    </w:rPr>
  </w:style>
  <w:style w:type="character" w:customStyle="1" w:styleId="Heading7Char">
    <w:name w:val="Heading 7 Char"/>
    <w:basedOn w:val="DefaultParagraphFont"/>
    <w:link w:val="Heading7"/>
    <w:uiPriority w:val="9"/>
    <w:semiHidden/>
    <w:rsid w:val="007D1AEA"/>
    <w:rPr>
      <w:rFonts w:eastAsiaTheme="majorEastAsia" w:cstheme="majorBidi"/>
      <w:color w:val="7A7A7A" w:themeColor="text1" w:themeTint="A6"/>
      <w:sz w:val="24"/>
      <w:lang w:eastAsia="en-US"/>
    </w:rPr>
  </w:style>
  <w:style w:type="character" w:customStyle="1" w:styleId="Heading8Char">
    <w:name w:val="Heading 8 Char"/>
    <w:basedOn w:val="DefaultParagraphFont"/>
    <w:link w:val="Heading8"/>
    <w:uiPriority w:val="9"/>
    <w:semiHidden/>
    <w:rsid w:val="007D1AEA"/>
    <w:rPr>
      <w:rFonts w:eastAsiaTheme="majorEastAsia" w:cstheme="majorBidi"/>
      <w:i/>
      <w:iCs/>
      <w:color w:val="525252" w:themeColor="text1" w:themeTint="D8"/>
      <w:sz w:val="24"/>
      <w:lang w:eastAsia="en-US"/>
    </w:rPr>
  </w:style>
  <w:style w:type="character" w:customStyle="1" w:styleId="Heading9Char">
    <w:name w:val="Heading 9 Char"/>
    <w:basedOn w:val="DefaultParagraphFont"/>
    <w:link w:val="Heading9"/>
    <w:uiPriority w:val="9"/>
    <w:semiHidden/>
    <w:rsid w:val="007D1AEA"/>
    <w:rPr>
      <w:rFonts w:eastAsiaTheme="majorEastAsia" w:cstheme="majorBidi"/>
      <w:color w:val="525252" w:themeColor="text1" w:themeTint="D8"/>
      <w:sz w:val="24"/>
      <w:lang w:eastAsia="en-US"/>
    </w:rPr>
  </w:style>
  <w:style w:type="paragraph" w:styleId="Quote">
    <w:name w:val="Quote"/>
    <w:basedOn w:val="Normal"/>
    <w:next w:val="Normal"/>
    <w:link w:val="QuoteChar"/>
    <w:uiPriority w:val="29"/>
    <w:qFormat/>
    <w:rsid w:val="007D1AEA"/>
    <w:pPr>
      <w:spacing w:before="160"/>
      <w:jc w:val="center"/>
    </w:pPr>
    <w:rPr>
      <w:i/>
      <w:iCs/>
      <w:color w:val="666666" w:themeColor="text1" w:themeTint="BF"/>
    </w:rPr>
  </w:style>
  <w:style w:type="character" w:customStyle="1" w:styleId="QuoteChar">
    <w:name w:val="Quote Char"/>
    <w:basedOn w:val="DefaultParagraphFont"/>
    <w:link w:val="Quote"/>
    <w:uiPriority w:val="29"/>
    <w:rsid w:val="007D1AEA"/>
    <w:rPr>
      <w:rFonts w:ascii="Times New Roman" w:eastAsiaTheme="minorHAnsi" w:hAnsi="Times New Roman"/>
      <w:i/>
      <w:iCs/>
      <w:color w:val="666666" w:themeColor="text1" w:themeTint="BF"/>
      <w:sz w:val="24"/>
      <w:lang w:eastAsia="en-US"/>
    </w:rPr>
  </w:style>
  <w:style w:type="character" w:styleId="IntenseEmphasis">
    <w:name w:val="Intense Emphasis"/>
    <w:basedOn w:val="DefaultParagraphFont"/>
    <w:uiPriority w:val="21"/>
    <w:qFormat/>
    <w:rsid w:val="007D1AEA"/>
    <w:rPr>
      <w:i/>
      <w:iCs/>
      <w:color w:val="878772" w:themeColor="accent1" w:themeShade="BF"/>
    </w:rPr>
  </w:style>
  <w:style w:type="paragraph" w:styleId="IntenseQuote">
    <w:name w:val="Intense Quote"/>
    <w:basedOn w:val="Normal"/>
    <w:next w:val="Normal"/>
    <w:link w:val="IntenseQuoteChar"/>
    <w:uiPriority w:val="30"/>
    <w:qFormat/>
    <w:rsid w:val="007D1AEA"/>
    <w:pPr>
      <w:pBdr>
        <w:top w:val="single" w:sz="4" w:space="10" w:color="878772" w:themeColor="accent1" w:themeShade="BF"/>
        <w:bottom w:val="single" w:sz="4" w:space="10" w:color="878772" w:themeColor="accent1" w:themeShade="BF"/>
      </w:pBdr>
      <w:spacing w:before="360" w:after="360"/>
      <w:ind w:left="864" w:right="864"/>
      <w:jc w:val="center"/>
    </w:pPr>
    <w:rPr>
      <w:i/>
      <w:iCs/>
      <w:color w:val="878772" w:themeColor="accent1" w:themeShade="BF"/>
    </w:rPr>
  </w:style>
  <w:style w:type="character" w:customStyle="1" w:styleId="IntenseQuoteChar">
    <w:name w:val="Intense Quote Char"/>
    <w:basedOn w:val="DefaultParagraphFont"/>
    <w:link w:val="IntenseQuote"/>
    <w:uiPriority w:val="30"/>
    <w:rsid w:val="007D1AEA"/>
    <w:rPr>
      <w:rFonts w:ascii="Times New Roman" w:eastAsiaTheme="minorHAnsi" w:hAnsi="Times New Roman"/>
      <w:i/>
      <w:iCs/>
      <w:color w:val="878772" w:themeColor="accent1" w:themeShade="BF"/>
      <w:sz w:val="24"/>
      <w:lang w:eastAsia="en-US"/>
    </w:rPr>
  </w:style>
  <w:style w:type="character" w:styleId="IntenseReference">
    <w:name w:val="Intense Reference"/>
    <w:basedOn w:val="DefaultParagraphFont"/>
    <w:uiPriority w:val="32"/>
    <w:qFormat/>
    <w:rsid w:val="007D1AEA"/>
    <w:rPr>
      <w:b/>
      <w:bCs/>
      <w:smallCaps/>
      <w:color w:val="878772" w:themeColor="accent1" w:themeShade="BF"/>
      <w:spacing w:val="5"/>
    </w:rPr>
  </w:style>
  <w:style w:type="paragraph" w:styleId="TOCHeading">
    <w:name w:val="TOC Heading"/>
    <w:basedOn w:val="Heading1"/>
    <w:next w:val="Normal"/>
    <w:uiPriority w:val="39"/>
    <w:unhideWhenUsed/>
    <w:qFormat/>
    <w:rsid w:val="00FA0A64"/>
    <w:pPr>
      <w:spacing w:before="240" w:line="259" w:lineRule="auto"/>
      <w:jc w:val="left"/>
      <w:outlineLvl w:val="9"/>
    </w:pPr>
    <w:rPr>
      <w:rFonts w:asciiTheme="majorHAnsi" w:hAnsiTheme="majorHAnsi"/>
      <w:b w:val="0"/>
      <w:color w:val="878772" w:themeColor="accent1" w:themeShade="BF"/>
      <w:sz w:val="32"/>
      <w:szCs w:val="32"/>
      <w:lang w:val="en-US" w:eastAsia="en-US"/>
    </w:rPr>
  </w:style>
  <w:style w:type="paragraph" w:styleId="TOC1">
    <w:name w:val="toc 1"/>
    <w:basedOn w:val="Normal"/>
    <w:next w:val="Normal"/>
    <w:autoRedefine/>
    <w:uiPriority w:val="39"/>
    <w:unhideWhenUsed/>
    <w:rsid w:val="00FA0A64"/>
    <w:pPr>
      <w:spacing w:after="100"/>
    </w:pPr>
  </w:style>
  <w:style w:type="paragraph" w:styleId="TOC2">
    <w:name w:val="toc 2"/>
    <w:basedOn w:val="Normal"/>
    <w:next w:val="Normal"/>
    <w:autoRedefine/>
    <w:uiPriority w:val="39"/>
    <w:unhideWhenUsed/>
    <w:rsid w:val="00FA0A64"/>
    <w:pPr>
      <w:spacing w:after="100"/>
      <w:ind w:left="240"/>
    </w:pPr>
  </w:style>
  <w:style w:type="paragraph" w:styleId="TOC3">
    <w:name w:val="toc 3"/>
    <w:basedOn w:val="Normal"/>
    <w:next w:val="Normal"/>
    <w:autoRedefine/>
    <w:uiPriority w:val="39"/>
    <w:unhideWhenUsed/>
    <w:rsid w:val="00FA0A64"/>
    <w:pPr>
      <w:spacing w:after="100"/>
      <w:ind w:left="480"/>
    </w:pPr>
  </w:style>
  <w:style w:type="character" w:styleId="Hyperlink">
    <w:name w:val="Hyperlink"/>
    <w:basedOn w:val="DefaultParagraphFont"/>
    <w:uiPriority w:val="99"/>
    <w:unhideWhenUsed/>
    <w:rsid w:val="00FA0A64"/>
    <w:rPr>
      <w:color w:val="0060FF" w:themeColor="hyperlink"/>
      <w:u w:val="single"/>
    </w:rPr>
  </w:style>
  <w:style w:type="paragraph" w:styleId="Header">
    <w:name w:val="header"/>
    <w:basedOn w:val="Normal"/>
    <w:link w:val="HeaderChar"/>
    <w:uiPriority w:val="99"/>
    <w:unhideWhenUsed/>
    <w:rsid w:val="00285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52"/>
    <w:rPr>
      <w:rFonts w:ascii="Times New Roman" w:eastAsiaTheme="minorHAnsi" w:hAnsi="Times New Roman"/>
      <w:sz w:val="24"/>
      <w:lang w:eastAsia="en-US"/>
    </w:rPr>
  </w:style>
  <w:style w:type="paragraph" w:styleId="Footer">
    <w:name w:val="footer"/>
    <w:basedOn w:val="Normal"/>
    <w:link w:val="FooterChar"/>
    <w:uiPriority w:val="99"/>
    <w:unhideWhenUsed/>
    <w:rsid w:val="00285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52"/>
    <w:rPr>
      <w:rFonts w:ascii="Times New Roman" w:eastAsiaTheme="minorHAnsi"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Kantar colour theme">
      <a:dk1>
        <a:srgbClr val="333333"/>
      </a:dk1>
      <a:lt1>
        <a:srgbClr val="FFFFFF"/>
      </a:lt1>
      <a:dk2>
        <a:srgbClr val="0060FF"/>
      </a:dk2>
      <a:lt2>
        <a:srgbClr val="802AB7"/>
      </a:lt2>
      <a:accent1>
        <a:srgbClr val="AEAE9F"/>
      </a:accent1>
      <a:accent2>
        <a:srgbClr val="00E5BA"/>
      </a:accent2>
      <a:accent3>
        <a:srgbClr val="00B600"/>
      </a:accent3>
      <a:accent4>
        <a:srgbClr val="FEDB00"/>
      </a:accent4>
      <a:accent5>
        <a:srgbClr val="FF5000"/>
      </a:accent5>
      <a:accent6>
        <a:srgbClr val="FA0028"/>
      </a:accent6>
      <a:hlink>
        <a:srgbClr val="0060FF"/>
      </a:hlink>
      <a:folHlink>
        <a:srgbClr val="802AB7"/>
      </a:folHlink>
    </a:clrScheme>
    <a:fontScheme name="TNS Master Fonts">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9BDFA-F2EB-4C8F-8DD4-BF744808C786}">
  <ds:schemaRefs>
    <ds:schemaRef ds:uri="http://schemas.openxmlformats.org/officeDocument/2006/bibliography"/>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2226</Words>
  <Characters>12693</Characters>
  <Application>Microsoft Office Word</Application>
  <DocSecurity>0</DocSecurity>
  <Lines>105</Lines>
  <Paragraphs>29</Paragraphs>
  <ScaleCrop>false</ScaleCrop>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2025-02-22T00:18:00Z</dcterms:created>
  <dcterms:modified xsi:type="dcterms:W3CDTF">2025-02-22T00:18:00Z</dcterms:modified>
</cp:coreProperties>
</file>