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6FA" w:rsidRDefault="009656FA" w:rsidP="009656FA">
      <w:r>
        <w:t>The separation of powers is basically dividing the authority of any state into three bodies to avoid the control of any of these bodies over the others and the state, and create a dictatorship of any single body controlling the state. These bodies are divided into legislative, and that is to make and amend the law.  Executive is to implement the law created by the legislative and Juridical to judge and resolve any legal matters. “none of the three branches may exercise the powers of the other, nor should any person be a member of more than one of the branches. (law.gov.wales).(Lord  Acton 1834 – 1902) expressed his opinion that power should not be held under the control of one body or persom in  a letter to bishop Mandell Creighton in 1887, “Power tends to corrupt, and absolute power corrupts absolutely”.</w:t>
      </w:r>
    </w:p>
    <w:p w:rsidR="009656FA" w:rsidRDefault="009656FA" w:rsidP="009656FA">
      <w:r>
        <w:t xml:space="preserve">In the United Kingdom where there is no written constitution the roles are distributed between the bodies and the separation of powers is essential, while in other countries like the United States there is flexibility in the roles divided in their written constitution.  (law.gov.wales). </w:t>
      </w:r>
    </w:p>
    <w:p w:rsidR="009656FA" w:rsidRDefault="009656FA" w:rsidP="009656FA">
      <w:r>
        <w:t xml:space="preserve">To understand the nature of the process and how the separation of powers mechanism works, there is a need to look at the relationship between the three bodies and how they interact and, in some cases, overlaps with each other, </w:t>
      </w:r>
    </w:p>
    <w:p w:rsidR="009656FA" w:rsidRPr="00C57D82" w:rsidRDefault="009656FA" w:rsidP="009656FA">
      <w:pPr>
        <w:rPr>
          <w:b/>
          <w:u w:val="single"/>
        </w:rPr>
      </w:pPr>
      <w:r w:rsidRPr="00C57D82">
        <w:rPr>
          <w:b/>
          <w:u w:val="single"/>
        </w:rPr>
        <w:t>Separation of the executive and the legislature</w:t>
      </w:r>
    </w:p>
    <w:p w:rsidR="009656FA" w:rsidRDefault="009656FA" w:rsidP="009656FA">
      <w:r>
        <w:t>here is a study that looks at the separation and the overlaps between the executive and the legislative bodies and the act that was created to endure the separation.</w:t>
      </w:r>
    </w:p>
    <w:p w:rsidR="009656FA" w:rsidRPr="00C57D82" w:rsidRDefault="009656FA" w:rsidP="009656FA">
      <w:pPr>
        <w:rPr>
          <w:b/>
        </w:rPr>
      </w:pPr>
      <w:r w:rsidRPr="00C57D82">
        <w:rPr>
          <w:b/>
        </w:rPr>
        <w:t>House of Commons (Disqualification) Act 1975</w:t>
      </w:r>
    </w:p>
    <w:p w:rsidR="009656FA" w:rsidRDefault="009656FA" w:rsidP="009656FA">
      <w:r>
        <w:t xml:space="preserve">This act was created to limit the overlapping of the powers between the two bodies and prevent following to become members of the house of commons under section 1 of the 1975 Act: - </w:t>
      </w:r>
    </w:p>
    <w:p w:rsidR="009656FA" w:rsidRDefault="009656FA" w:rsidP="009656FA">
      <w:pPr>
        <w:pStyle w:val="ListParagraph"/>
        <w:numPr>
          <w:ilvl w:val="0"/>
          <w:numId w:val="1"/>
        </w:numPr>
      </w:pPr>
      <w:r>
        <w:t>Members of the Judiciary as listed in part 1 of schedule 1 of the 1975 Act. This includes (district judges, circuit judges, judges of the high court, court of appeal and supreme court.</w:t>
      </w:r>
    </w:p>
    <w:p w:rsidR="009656FA" w:rsidRDefault="009656FA" w:rsidP="009656FA">
      <w:pPr>
        <w:pStyle w:val="ListParagraph"/>
        <w:numPr>
          <w:ilvl w:val="0"/>
          <w:numId w:val="1"/>
        </w:numPr>
      </w:pPr>
      <w:r>
        <w:t xml:space="preserve">Civil servants; </w:t>
      </w:r>
    </w:p>
    <w:p w:rsidR="009656FA" w:rsidRDefault="009656FA" w:rsidP="009656FA">
      <w:pPr>
        <w:pStyle w:val="ListParagraph"/>
        <w:numPr>
          <w:ilvl w:val="0"/>
          <w:numId w:val="1"/>
        </w:numPr>
      </w:pPr>
      <w:r>
        <w:t>Members of the “regular” armed forces, including the British Army, Royal Navy, Royal Marine and Royal Air Force;</w:t>
      </w:r>
    </w:p>
    <w:p w:rsidR="009656FA" w:rsidRDefault="009656FA" w:rsidP="009656FA">
      <w:pPr>
        <w:pStyle w:val="ListParagraph"/>
        <w:numPr>
          <w:ilvl w:val="0"/>
          <w:numId w:val="1"/>
        </w:numPr>
      </w:pPr>
      <w:r>
        <w:t>Members of a police force;</w:t>
      </w:r>
    </w:p>
    <w:p w:rsidR="009656FA" w:rsidRDefault="009656FA" w:rsidP="009656FA">
      <w:pPr>
        <w:pStyle w:val="ListParagraph"/>
        <w:numPr>
          <w:ilvl w:val="0"/>
          <w:numId w:val="1"/>
        </w:numPr>
      </w:pPr>
      <w:r>
        <w:t>Members of Parliaments or the legislature outside the Commonwealth or Ireland. This includes the European Parliament;</w:t>
      </w:r>
    </w:p>
    <w:p w:rsidR="009656FA" w:rsidRDefault="009656FA" w:rsidP="009656FA">
      <w:pPr>
        <w:pStyle w:val="ListParagraph"/>
        <w:numPr>
          <w:ilvl w:val="0"/>
          <w:numId w:val="1"/>
        </w:numPr>
      </w:pPr>
      <w:r>
        <w:t>Members or office holders of a range of public bodies listed on parts II and III of schedule 1 to the 1975 Act. Usually these are bodies which are required to be independent from Parliament and / or government (</w:t>
      </w:r>
      <w:r w:rsidRPr="00A32BE4">
        <w:t>John Stanton and Craig Prescott</w:t>
      </w:r>
      <w:r>
        <w:t xml:space="preserve">) </w:t>
      </w:r>
    </w:p>
    <w:p w:rsidR="009656FA" w:rsidRPr="00C57D82" w:rsidRDefault="009656FA" w:rsidP="009656FA">
      <w:pPr>
        <w:rPr>
          <w:b/>
        </w:rPr>
      </w:pPr>
      <w:r w:rsidRPr="00C57D82">
        <w:rPr>
          <w:b/>
        </w:rPr>
        <w:t>Parliamentary voting system and constituencies Act 2011</w:t>
      </w:r>
    </w:p>
    <w:p w:rsidR="009656FA" w:rsidRDefault="009656FA" w:rsidP="009656FA">
      <w:r>
        <w:t>During the 2005 to 2010 coalition, the government managed to introduce and pass section 11 of the Parliamentary voting system and constituencies Act 2011 to have “fewer and more equal constituencies”, this act replaced the 1986 Act, which led to having 600 MP’s in the house of Commons, this will automatically lead to the government being almost unquestionable. Due to the number and function of MP’s.</w:t>
      </w:r>
    </w:p>
    <w:p w:rsidR="009656FA" w:rsidRDefault="009656FA" w:rsidP="009656FA">
      <w:r>
        <w:t>“Since there is no proportionate reduction in the number of MP’s on the government payroll) which means the number of ministerial positions will remain the same. (Neil Parpworth 2020).</w:t>
      </w:r>
    </w:p>
    <w:p w:rsidR="009656FA" w:rsidRDefault="009656FA" w:rsidP="009656FA">
      <w:r>
        <w:lastRenderedPageBreak/>
        <w:t xml:space="preserve">After the reform in 1979 the Select Committee have become the main tool to scrutinise the government’s business, according to the Hansard society, “a body dedicated to promoting the parliamentary system of government”. (B Thomson &amp; M Gordon 2017). </w:t>
      </w:r>
    </w:p>
    <w:p w:rsidR="009656FA" w:rsidRDefault="009656FA" w:rsidP="009656FA">
      <w:r>
        <w:t>To further separate the parliament from the government came the establishment of the Backbench Business Committee in 2010. It is believed that the Backbench business committee will liberate the MP’s and put them in the driving seat when it comes to Parliament as well s empowers and give more weight to the Select Committee. And allow for it to gain more time “on the floor of the house”.  (House of Commons reform Committee).</w:t>
      </w:r>
    </w:p>
    <w:p w:rsidR="009656FA" w:rsidRDefault="009656FA" w:rsidP="009656FA"/>
    <w:p w:rsidR="009656FA" w:rsidRPr="00D550FC" w:rsidRDefault="009656FA" w:rsidP="009656FA">
      <w:pPr>
        <w:rPr>
          <w:b/>
          <w:u w:val="single"/>
        </w:rPr>
      </w:pPr>
      <w:r w:rsidRPr="00D550FC">
        <w:rPr>
          <w:b/>
          <w:u w:val="single"/>
        </w:rPr>
        <w:t>Separation of the legislature and the Judiciary</w:t>
      </w:r>
    </w:p>
    <w:p w:rsidR="009656FA" w:rsidRDefault="009656FA" w:rsidP="009656FA"/>
    <w:p w:rsidR="009656FA" w:rsidRPr="00991365" w:rsidRDefault="009656FA" w:rsidP="009656FA">
      <w:pPr>
        <w:rPr>
          <w:b/>
        </w:rPr>
      </w:pPr>
      <w:r>
        <w:t xml:space="preserve"> </w:t>
      </w:r>
      <w:r w:rsidRPr="00991365">
        <w:rPr>
          <w:b/>
        </w:rPr>
        <w:t>Jackson v Her Majesty Attorney General (2005)</w:t>
      </w:r>
      <w:r w:rsidRPr="00991365">
        <w:rPr>
          <w:b/>
        </w:rPr>
        <w:br/>
      </w:r>
    </w:p>
    <w:p w:rsidR="009656FA" w:rsidRDefault="009656FA" w:rsidP="009656FA">
      <w:r>
        <w:t>This case was a true test of the powers and separation of them, it was also a test to the independence of both the Legislative and the Judiciary bodies of the power triangle, “which questioned the relationship between Parliamentary sovereignty and the rule of the in a novel manner, suggesting that there were limits to sovereignty where constitutional fundamentals were at risk”. (R Benwell &amp; O. Gay).</w:t>
      </w:r>
    </w:p>
    <w:p w:rsidR="009656FA" w:rsidRPr="00991365" w:rsidRDefault="009656FA" w:rsidP="009656FA">
      <w:pPr>
        <w:rPr>
          <w:b/>
        </w:rPr>
      </w:pPr>
      <w:r w:rsidRPr="00991365">
        <w:rPr>
          <w:b/>
        </w:rPr>
        <w:t>Parliamentary Privilege and the sub judice rule.</w:t>
      </w:r>
    </w:p>
    <w:p w:rsidR="009656FA" w:rsidRDefault="009656FA" w:rsidP="009656FA">
      <w:r>
        <w:t>Members of both the House of Commons and the house of Lords benefit from parliamentary privilege in the form of legal immunity to independently exercise their duties without any external pressure, that includes their freedom of speech and the independency in organising the work of both houses. (UK Parliament).</w:t>
      </w:r>
    </w:p>
    <w:p w:rsidR="009656FA" w:rsidRDefault="009656FA" w:rsidP="009656FA">
      <w:r>
        <w:t>Despite their liability as individuals to the criminal and civil law and apart from very few occasions in relation to parliamentary proceedings, Members of the parliament are exempted from disclosing or referring to words or proceedings from the house in court and the court has no power to influence the house. (L Webley &amp; H Samuels 2018).</w:t>
      </w:r>
    </w:p>
    <w:p w:rsidR="009656FA" w:rsidRDefault="009656FA" w:rsidP="009656FA">
      <w:r>
        <w:t>The sub judice rule is means that there is a live court case that has not been determined or judged, in this case even the parliament can not discuss this case and it has immunity until it has been determined and that the house cannot interfere in these cases otherwise it will be “setting itself as an alternative forum in which a case might be tried” *select committee on procedure).</w:t>
      </w:r>
    </w:p>
    <w:p w:rsidR="009656FA" w:rsidRDefault="009656FA" w:rsidP="009656FA"/>
    <w:p w:rsidR="009656FA" w:rsidRPr="00EB06A3" w:rsidRDefault="009656FA" w:rsidP="009656FA">
      <w:pPr>
        <w:rPr>
          <w:b/>
        </w:rPr>
      </w:pPr>
      <w:r w:rsidRPr="00EB06A3">
        <w:rPr>
          <w:b/>
        </w:rPr>
        <w:t xml:space="preserve">Burmah Oil v Lord Advocate (1965) </w:t>
      </w:r>
    </w:p>
    <w:p w:rsidR="009656FA" w:rsidRDefault="009656FA" w:rsidP="009656FA">
      <w:r>
        <w:t xml:space="preserve">In this case it shows very clearly that although legislature can not interfere in court decisions, the parliament can still pass bills and acts that override court decision, which takes the entire process back to the parliament to decide on issues and denies the Juridical it’s (independence). This case was considered a good law and cited in the Miller v Secretary of state for Exiting the European Union (2017). </w:t>
      </w:r>
    </w:p>
    <w:p w:rsidR="009656FA" w:rsidRDefault="009656FA" w:rsidP="009656FA">
      <w:r>
        <w:lastRenderedPageBreak/>
        <w:t>In lord Neuberger’s observations, explained that “in a country which has no constitution and does have a Parliamentary sovereignty, the judges traditionally enjoy a relatively limited function as against the Legislature”. (Lord Neuberger)</w:t>
      </w:r>
    </w:p>
    <w:p w:rsidR="009656FA" w:rsidRDefault="009656FA" w:rsidP="009656FA">
      <w:r>
        <w:t xml:space="preserve">Judges are aware that a simple majority of 50% +1 by the Parliament has the power to override their decision, but they can not change any bills or acts from the Legislature. </w:t>
      </w:r>
    </w:p>
    <w:p w:rsidR="009656FA" w:rsidRDefault="009656FA" w:rsidP="009656FA"/>
    <w:p w:rsidR="009656FA" w:rsidRPr="00991365" w:rsidRDefault="009656FA" w:rsidP="009656FA">
      <w:pPr>
        <w:rPr>
          <w:b/>
          <w:u w:val="single"/>
        </w:rPr>
      </w:pPr>
      <w:r w:rsidRPr="00991365">
        <w:rPr>
          <w:b/>
          <w:u w:val="single"/>
        </w:rPr>
        <w:t xml:space="preserve">Separation of the executive and Judiciary </w:t>
      </w:r>
    </w:p>
    <w:p w:rsidR="009656FA" w:rsidRPr="00991365" w:rsidRDefault="009656FA" w:rsidP="009656FA">
      <w:pPr>
        <w:rPr>
          <w:b/>
        </w:rPr>
      </w:pPr>
      <w:r w:rsidRPr="00991365">
        <w:rPr>
          <w:b/>
        </w:rPr>
        <w:t xml:space="preserve">A v Secretary of State for home department (2004) </w:t>
      </w:r>
    </w:p>
    <w:p w:rsidR="009656FA" w:rsidRDefault="009656FA" w:rsidP="009656FA">
      <w:r>
        <w:t>Again in this case the house of Lords admits that the s23 of the anti-terrorism, crime and security act was unlawful under the human rights act 1988, as it was designed to be used against nationals of other countries residing in the UK. Lord Bingham” The Attorney General if fully entitled to insist on the proper limits of Judicial authority, but he is wrong to stigmatise Judicial decision-making as somehow undemocratic.</w:t>
      </w:r>
    </w:p>
    <w:p w:rsidR="009656FA" w:rsidRDefault="009656FA" w:rsidP="009656FA">
      <w:r>
        <w:t xml:space="preserve">The government saw that the judges interfered in the executive business and misused their authority which led to the government passing the 2005 act. “It can be suggested that the HRA may (sometimes) constitute an effective bulwark against executive and legislative excess”. (T. Webb) </w:t>
      </w:r>
    </w:p>
    <w:p w:rsidR="009656FA" w:rsidRPr="00B33827" w:rsidRDefault="009656FA" w:rsidP="009656FA">
      <w:pPr>
        <w:rPr>
          <w:b/>
        </w:rPr>
      </w:pPr>
      <w:r w:rsidRPr="00B33827">
        <w:rPr>
          <w:b/>
        </w:rPr>
        <w:t xml:space="preserve">Constitutional Reform Act (2005) </w:t>
      </w:r>
    </w:p>
    <w:p w:rsidR="009656FA" w:rsidRDefault="009656FA" w:rsidP="009656FA">
      <w:r>
        <w:t xml:space="preserve">It was finally mandatory to the government minsters to keep Judges independent and not to allow any interaction with them to maintain the independence of the judicial decisions. The reform has made some changes to the role of the Lord Chancellor and the President of the courts in England and Wales, the Lord Chief Justice, and transferred the responsibilities to the Chief justice to overlook the training, guidance and development of judges in addition to representing the views of the Judiciary of England and Wales to the Parliament and ministers. </w:t>
      </w:r>
    </w:p>
    <w:p w:rsidR="009656FA" w:rsidRDefault="009656FA" w:rsidP="009656FA">
      <w:r>
        <w:t xml:space="preserve">A newly established Supreme court was established to be completely independent from the Legislative financially and administratively and even a new building. </w:t>
      </w:r>
    </w:p>
    <w:p w:rsidR="009656FA" w:rsidRDefault="009656FA" w:rsidP="009656FA">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w:t>
      </w:r>
      <w:r w:rsidRPr="00C44B16">
        <w:rPr>
          <w:rFonts w:eastAsia="Times New Roman" w:cstheme="minorHAnsi"/>
          <w:color w:val="000000"/>
          <w:lang w:eastAsia="en-GB"/>
        </w:rPr>
        <w:t xml:space="preserve">An independent Judicial Appointments Commission, responsible for selecting candidates to recommend for judicial appointment to the Secretary of State for Justice. The Judicial Appointments Commission ensures that merit remains the sole criterion for appointment and the appointments </w:t>
      </w:r>
      <w:r>
        <w:rPr>
          <w:rFonts w:eastAsia="Times New Roman" w:cstheme="minorHAnsi"/>
          <w:color w:val="000000"/>
          <w:lang w:eastAsia="en-GB"/>
        </w:rPr>
        <w:t>system is modern open and transparent).</w:t>
      </w:r>
    </w:p>
    <w:p w:rsidR="009656FA" w:rsidRDefault="009656FA" w:rsidP="009656FA">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w:t>
      </w:r>
      <w:r w:rsidRPr="00A32BE4">
        <w:rPr>
          <w:rFonts w:eastAsia="Times New Roman" w:cstheme="minorHAnsi"/>
          <w:color w:val="000000"/>
          <w:lang w:eastAsia="en-GB"/>
        </w:rPr>
        <w:t>A Judicial Appointments and Conduct Ombudsman, responsible for investigating and making recommendations concerning complaints about the judicial appointments process, and the handling of judicial conduct complaints within the scope of the Constitutional Reform Act</w:t>
      </w:r>
      <w:r>
        <w:rPr>
          <w:rFonts w:eastAsia="Times New Roman" w:cstheme="minorHAnsi"/>
          <w:color w:val="000000"/>
          <w:lang w:eastAsia="en-GB"/>
        </w:rPr>
        <w:t xml:space="preserve">”. (Judiciary.uk). </w:t>
      </w:r>
    </w:p>
    <w:p w:rsidR="009656FA" w:rsidRPr="00B33827" w:rsidRDefault="009656FA" w:rsidP="009656FA">
      <w:pPr>
        <w:spacing w:before="100" w:beforeAutospacing="1" w:after="100" w:afterAutospacing="1" w:line="240" w:lineRule="auto"/>
        <w:rPr>
          <w:rFonts w:eastAsia="Times New Roman" w:cstheme="minorHAnsi"/>
          <w:b/>
          <w:color w:val="000000"/>
          <w:lang w:eastAsia="en-GB"/>
        </w:rPr>
      </w:pPr>
      <w:r w:rsidRPr="00B33827">
        <w:rPr>
          <w:rFonts w:eastAsia="Times New Roman" w:cstheme="minorHAnsi"/>
          <w:b/>
          <w:color w:val="000000"/>
          <w:lang w:eastAsia="en-GB"/>
        </w:rPr>
        <w:t xml:space="preserve">S11 Senior Courts Act </w:t>
      </w:r>
    </w:p>
    <w:p w:rsidR="009656FA" w:rsidRDefault="009656FA" w:rsidP="009656FA">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w:t>
      </w:r>
      <w:r w:rsidRPr="00A32BE4">
        <w:rPr>
          <w:rFonts w:eastAsia="Times New Roman" w:cstheme="minorHAnsi"/>
          <w:color w:val="000000"/>
          <w:lang w:eastAsia="en-GB"/>
        </w:rPr>
        <w:t>A person appointed to an office to which this section applies shall vacate it on the day on which he attains the age of [seventy] years unless by virtue of this section he has ceased to hold it before then</w:t>
      </w:r>
      <w:r>
        <w:rPr>
          <w:rFonts w:eastAsia="Times New Roman" w:cstheme="minorHAnsi"/>
          <w:color w:val="000000"/>
          <w:lang w:eastAsia="en-GB"/>
        </w:rPr>
        <w:t>)</w:t>
      </w:r>
      <w:r w:rsidRPr="00A32BE4">
        <w:rPr>
          <w:rFonts w:eastAsia="Times New Roman" w:cstheme="minorHAnsi"/>
          <w:color w:val="000000"/>
          <w:lang w:eastAsia="en-GB"/>
        </w:rPr>
        <w:t>.</w:t>
      </w:r>
      <w:r>
        <w:rPr>
          <w:rFonts w:eastAsia="Times New Roman" w:cstheme="minorHAnsi"/>
          <w:color w:val="000000"/>
          <w:lang w:eastAsia="en-GB"/>
        </w:rPr>
        <w:t xml:space="preserve"> (judiciary uk)</w:t>
      </w:r>
    </w:p>
    <w:p w:rsidR="009656FA" w:rsidRDefault="009656FA" w:rsidP="009656FA">
      <w:pPr>
        <w:spacing w:before="100" w:beforeAutospacing="1" w:after="100" w:afterAutospacing="1" w:line="240" w:lineRule="auto"/>
        <w:rPr>
          <w:rFonts w:eastAsia="Times New Roman" w:cstheme="minorHAnsi"/>
          <w:color w:val="000000"/>
          <w:lang w:eastAsia="en-GB"/>
        </w:rPr>
      </w:pPr>
    </w:p>
    <w:p w:rsidR="009656FA" w:rsidRPr="005F3426" w:rsidRDefault="009656FA" w:rsidP="009656FA">
      <w:pPr>
        <w:spacing w:before="100" w:beforeAutospacing="1" w:after="100" w:afterAutospacing="1" w:line="240" w:lineRule="auto"/>
        <w:rPr>
          <w:rFonts w:eastAsia="Times New Roman" w:cstheme="minorHAnsi"/>
          <w:b/>
          <w:color w:val="000000"/>
          <w:lang w:eastAsia="en-GB"/>
        </w:rPr>
      </w:pPr>
      <w:r w:rsidRPr="005F3426">
        <w:rPr>
          <w:rFonts w:eastAsia="Times New Roman" w:cstheme="minorHAnsi"/>
          <w:b/>
          <w:color w:val="000000"/>
          <w:lang w:eastAsia="en-GB"/>
        </w:rPr>
        <w:t>McGonnel V UK (2000)</w:t>
      </w:r>
    </w:p>
    <w:p w:rsidR="009656FA" w:rsidRDefault="009656FA" w:rsidP="009656FA">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lastRenderedPageBreak/>
        <w:t xml:space="preserve">This case shows that the court (European court of human rights) ruled in the claimant favour when there was a conflict between the powers of two “branches” and the court acted as an independent body against the two other (branches). </w:t>
      </w:r>
    </w:p>
    <w:p w:rsidR="009656FA" w:rsidRDefault="009656FA" w:rsidP="009656FA">
      <w:pPr>
        <w:spacing w:before="100" w:beforeAutospacing="1" w:after="100" w:afterAutospacing="1" w:line="240" w:lineRule="auto"/>
        <w:rPr>
          <w:rFonts w:eastAsia="Times New Roman" w:cstheme="minorHAnsi"/>
          <w:color w:val="000000"/>
          <w:lang w:eastAsia="en-GB"/>
        </w:rPr>
      </w:pPr>
    </w:p>
    <w:p w:rsidR="009656FA" w:rsidRDefault="009656FA" w:rsidP="009656FA">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Bearing in mind all the above, the question still remains as to what extent, if any, does the UK adhere to a strict and effective separation of powers doctrine.</w:t>
      </w:r>
    </w:p>
    <w:p w:rsidR="009656FA" w:rsidRDefault="009656FA" w:rsidP="009656FA">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Historically the branches were in continuous overlapping and there was a great need for reform and use of case laws; However now after the implementation of constitutional statues and case laws the separation between the three “branches” has become (more) distinct and detached.  </w:t>
      </w:r>
    </w:p>
    <w:p w:rsidR="005C753C" w:rsidRDefault="005C753C">
      <w:bookmarkStart w:id="0" w:name="_GoBack"/>
      <w:bookmarkEnd w:id="0"/>
    </w:p>
    <w:sectPr w:rsidR="005C7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7479C1"/>
    <w:multiLevelType w:val="hybridMultilevel"/>
    <w:tmpl w:val="EF8207EC"/>
    <w:lvl w:ilvl="0" w:tplc="1BD082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6FA"/>
    <w:rsid w:val="005C753C"/>
    <w:rsid w:val="00965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D5A322-09DC-43A0-B075-0BDAF9419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56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6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7965</Characters>
  <Application>Microsoft Office Word</Application>
  <DocSecurity>0</DocSecurity>
  <Lines>66</Lines>
  <Paragraphs>18</Paragraphs>
  <ScaleCrop>false</ScaleCrop>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1</cp:revision>
  <dcterms:created xsi:type="dcterms:W3CDTF">2021-06-25T12:49:00Z</dcterms:created>
  <dcterms:modified xsi:type="dcterms:W3CDTF">2021-06-25T12:49:00Z</dcterms:modified>
</cp:coreProperties>
</file>