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03FA" w:rsidRPr="0075797B" w:rsidRDefault="0075797B">
      <w:pPr>
        <w:spacing w:before="600" w:after="40"/>
        <w:jc w:val="center"/>
        <w:rPr>
          <w:color w:val="auto"/>
        </w:rPr>
      </w:pPr>
      <w:r w:rsidRPr="0075797B">
        <w:rPr>
          <w:rFonts w:ascii="Cambria" w:hAnsi="Cambria"/>
          <w:b/>
          <w:color w:val="auto"/>
          <w:sz w:val="28"/>
        </w:rPr>
        <w:t>Research Proposal</w:t>
      </w:r>
    </w:p>
    <w:p w:rsidR="000203FA" w:rsidRPr="0075797B" w:rsidRDefault="0075797B">
      <w:pPr>
        <w:spacing w:after="120"/>
        <w:jc w:val="center"/>
        <w:rPr>
          <w:color w:val="auto"/>
        </w:rPr>
      </w:pPr>
      <w:r w:rsidRPr="0075797B">
        <w:rPr>
          <w:rFonts w:ascii="Cambria" w:hAnsi="Cambria"/>
          <w:b/>
          <w:color w:val="auto"/>
          <w:sz w:val="42"/>
        </w:rPr>
        <w:t>Detection and Forensic Analysis of Command-and-Control Traffic in Cyberwarfare-Inspired Network Attacks</w:t>
      </w:r>
    </w:p>
    <w:p w:rsidR="000203FA" w:rsidRPr="0075797B" w:rsidRDefault="0075797B">
      <w:pPr>
        <w:spacing w:after="360"/>
        <w:jc w:val="center"/>
        <w:rPr>
          <w:color w:val="auto"/>
        </w:rPr>
      </w:pPr>
      <w:r w:rsidRPr="0075797B">
        <w:rPr>
          <w:i/>
          <w:color w:val="auto"/>
          <w:sz w:val="24"/>
        </w:rPr>
        <w:t>A design-science and experimental study combining signature-based, anomaly-based, and machine-learning detection with network-forensic reconstruction of C2 channels using open-source tooling</w:t>
      </w:r>
    </w:p>
    <w:p w:rsidR="000203FA" w:rsidRPr="00B22FC1" w:rsidRDefault="00816F14">
      <w:pPr>
        <w:spacing w:after="40"/>
        <w:jc w:val="center"/>
        <w:rPr>
          <w:b/>
          <w:color w:val="auto"/>
          <w:sz w:val="28"/>
          <w:szCs w:val="28"/>
        </w:rPr>
      </w:pPr>
      <w:r>
        <w:rPr>
          <w:b/>
          <w:color w:val="auto"/>
          <w:sz w:val="28"/>
          <w:szCs w:val="28"/>
        </w:rPr>
        <w:t>Module:  Research Methods</w:t>
      </w:r>
      <w:bookmarkStart w:id="0" w:name="_GoBack"/>
      <w:bookmarkEnd w:id="0"/>
      <w:r>
        <w:rPr>
          <w:b/>
          <w:color w:val="auto"/>
          <w:sz w:val="28"/>
          <w:szCs w:val="28"/>
        </w:rPr>
        <w:t xml:space="preserve"> &amp; Professional Development</w:t>
      </w:r>
    </w:p>
    <w:p w:rsidR="00B22FC1" w:rsidRPr="00B22FC1" w:rsidRDefault="0075797B">
      <w:pPr>
        <w:spacing w:after="40"/>
        <w:jc w:val="center"/>
        <w:rPr>
          <w:b/>
          <w:color w:val="auto"/>
          <w:sz w:val="28"/>
          <w:szCs w:val="28"/>
        </w:rPr>
      </w:pPr>
      <w:r w:rsidRPr="00B22FC1">
        <w:rPr>
          <w:b/>
          <w:color w:val="auto"/>
          <w:sz w:val="28"/>
          <w:szCs w:val="28"/>
        </w:rPr>
        <w:t xml:space="preserve">Researcher:  </w:t>
      </w:r>
      <w:r w:rsidR="00B22FC1" w:rsidRPr="00B22FC1">
        <w:rPr>
          <w:b/>
          <w:color w:val="auto"/>
          <w:sz w:val="28"/>
          <w:szCs w:val="28"/>
        </w:rPr>
        <w:t xml:space="preserve">Naveed </w:t>
      </w:r>
      <w:proofErr w:type="spellStart"/>
      <w:r w:rsidR="00B22FC1" w:rsidRPr="00B22FC1">
        <w:rPr>
          <w:b/>
          <w:color w:val="auto"/>
          <w:sz w:val="28"/>
          <w:szCs w:val="28"/>
        </w:rPr>
        <w:t>ullah</w:t>
      </w:r>
      <w:proofErr w:type="spellEnd"/>
      <w:r w:rsidR="00B22FC1" w:rsidRPr="00B22FC1">
        <w:rPr>
          <w:b/>
          <w:color w:val="auto"/>
          <w:sz w:val="28"/>
          <w:szCs w:val="28"/>
        </w:rPr>
        <w:t xml:space="preserve"> Shah </w:t>
      </w:r>
    </w:p>
    <w:p w:rsidR="000203FA" w:rsidRPr="00B22FC1" w:rsidRDefault="00B22FC1" w:rsidP="00B22FC1">
      <w:pPr>
        <w:spacing w:after="40"/>
        <w:jc w:val="center"/>
        <w:rPr>
          <w:b/>
          <w:color w:val="auto"/>
          <w:sz w:val="28"/>
          <w:szCs w:val="28"/>
        </w:rPr>
      </w:pPr>
      <w:r w:rsidRPr="00B22FC1">
        <w:rPr>
          <w:b/>
          <w:color w:val="auto"/>
          <w:sz w:val="28"/>
          <w:szCs w:val="28"/>
        </w:rPr>
        <w:t>Student ID: 25</w:t>
      </w:r>
      <w:r w:rsidR="00D237DF">
        <w:rPr>
          <w:b/>
          <w:color w:val="auto"/>
          <w:sz w:val="28"/>
          <w:szCs w:val="28"/>
        </w:rPr>
        <w:t>1</w:t>
      </w:r>
      <w:r w:rsidRPr="00B22FC1">
        <w:rPr>
          <w:b/>
          <w:color w:val="auto"/>
          <w:sz w:val="28"/>
          <w:szCs w:val="28"/>
        </w:rPr>
        <w:t>0665</w:t>
      </w:r>
    </w:p>
    <w:p w:rsidR="000203FA" w:rsidRPr="0075797B" w:rsidRDefault="0075797B" w:rsidP="00B22FC1">
      <w:pPr>
        <w:spacing w:after="40"/>
        <w:jc w:val="center"/>
        <w:rPr>
          <w:color w:val="auto"/>
        </w:rPr>
      </w:pPr>
      <w:r w:rsidRPr="00B22FC1">
        <w:rPr>
          <w:b/>
          <w:color w:val="auto"/>
          <w:sz w:val="28"/>
          <w:szCs w:val="28"/>
        </w:rPr>
        <w:t xml:space="preserve">Supervisor:  </w:t>
      </w:r>
      <w:r w:rsidR="00B22FC1" w:rsidRPr="00B22FC1">
        <w:rPr>
          <w:b/>
          <w:bCs/>
          <w:color w:val="auto"/>
          <w:sz w:val="28"/>
          <w:szCs w:val="28"/>
        </w:rPr>
        <w:t xml:space="preserve">Suresh </w:t>
      </w:r>
      <w:proofErr w:type="spellStart"/>
      <w:r w:rsidR="00B22FC1" w:rsidRPr="00B22FC1">
        <w:rPr>
          <w:b/>
          <w:bCs/>
          <w:color w:val="auto"/>
          <w:sz w:val="28"/>
          <w:szCs w:val="28"/>
        </w:rPr>
        <w:t>Shanmugasundaram</w:t>
      </w:r>
      <w:proofErr w:type="spellEnd"/>
      <w:r w:rsidR="00B22FC1" w:rsidRPr="00B22FC1">
        <w:rPr>
          <w:b/>
          <w:bCs/>
          <w:color w:val="auto"/>
          <w:sz w:val="28"/>
          <w:szCs w:val="28"/>
        </w:rPr>
        <w:t xml:space="preserve"> </w:t>
      </w:r>
      <w:r w:rsidRPr="0075797B">
        <w:rPr>
          <w:color w:val="auto"/>
        </w:rPr>
        <w:br w:type="page"/>
      </w:r>
    </w:p>
    <w:p w:rsidR="000203FA" w:rsidRPr="0075797B" w:rsidRDefault="0075797B">
      <w:pPr>
        <w:pStyle w:val="Heading1"/>
        <w:spacing w:before="280"/>
        <w:rPr>
          <w:color w:val="auto"/>
        </w:rPr>
      </w:pPr>
      <w:r w:rsidRPr="0075797B">
        <w:rPr>
          <w:color w:val="auto"/>
        </w:rPr>
        <w:lastRenderedPageBreak/>
        <w:t>Abstract</w:t>
      </w:r>
    </w:p>
    <w:p w:rsidR="000203FA" w:rsidRPr="0075797B" w:rsidRDefault="0075797B">
      <w:pPr>
        <w:spacing w:after="160"/>
        <w:jc w:val="both"/>
        <w:rPr>
          <w:color w:val="auto"/>
        </w:rPr>
      </w:pPr>
      <w:r w:rsidRPr="0075797B">
        <w:rPr>
          <w:color w:val="auto"/>
        </w:rPr>
        <w:t>Command-and-control (C2) channels are the operational backbone of modern, cyberwarfare-inspired intrusions: once an endpoint is compromised, adversaries rely on covert C2 traffic to issue instructions, move laterally, and exfiltrate data. Contemporary C2 frameworks deliberately blend with legitimate traffic by tunnelling over HTTPS, DNS, and cloud services, and by applying jitter, domain fluxing, and traffic shaping, which erodes the effectiveness of signature-based defences and complicates post-incident forensics. This proposal sets out a design-science and experimental study to build and evaluate a reproducible detection-and-forensics pipeline for C2 traffic using only free and open-source tools — Wireshark, Zeek, Suricata, and NetworkMiner — within a VirtualBox testbed, validated against public, labelled datasets (CTU-13, CIC-IDS2017, and CIC-IoT-2023). The work compares signature-based, statistical anomaly, and supervised machine-learning detection, then applies network-forensic techniques to reconstruct and attribute the C2 kill-chain. The intended contribution is an empirically benchmarked, low-cost, and repeatable methodology that improves detection of beaconing and tunnelled C2 while producing defensible forensic artefacts suitable for investigation.</w:t>
      </w:r>
    </w:p>
    <w:p w:rsidR="000203FA" w:rsidRPr="0075797B" w:rsidRDefault="0075797B">
      <w:pPr>
        <w:pStyle w:val="Heading1"/>
        <w:spacing w:before="280"/>
        <w:rPr>
          <w:color w:val="auto"/>
        </w:rPr>
      </w:pPr>
      <w:r w:rsidRPr="0075797B">
        <w:rPr>
          <w:color w:val="auto"/>
        </w:rPr>
        <w:t>1. Introduction</w:t>
      </w:r>
    </w:p>
    <w:p w:rsidR="000203FA" w:rsidRPr="0075797B" w:rsidRDefault="0075797B">
      <w:pPr>
        <w:pStyle w:val="Heading2"/>
        <w:rPr>
          <w:color w:val="auto"/>
        </w:rPr>
      </w:pPr>
      <w:r w:rsidRPr="0075797B">
        <w:rPr>
          <w:color w:val="auto"/>
        </w:rPr>
        <w:t xml:space="preserve">1.1 Context and Background </w:t>
      </w:r>
    </w:p>
    <w:p w:rsidR="000203FA" w:rsidRPr="0075797B" w:rsidRDefault="0075797B">
      <w:pPr>
        <w:spacing w:after="160"/>
        <w:jc w:val="both"/>
        <w:rPr>
          <w:color w:val="auto"/>
        </w:rPr>
      </w:pPr>
      <w:r w:rsidRPr="0075797B">
        <w:rPr>
          <w:color w:val="auto"/>
        </w:rPr>
        <w:t>This research is situated at the intersection of cyber security, network forensics, and applied machine learning. Nation-state and cyberwarfare-inspired operations have shifted from noisy, single-shot exploits toward stealthy, multi-stage campaigns that map onto the Cyber Kill Chain and the MITRE ATT&amp;CK framework, in which the Command-and-Control (TA0011) tactic is pivotal. After initial access and execution, an implant must reach back to an operator-controlled server; without a functioning C2 channel, most of the subsequent tactics — lateral movement, collection, and exfiltration — cannot proceed. Detecting and forensically reconstructing that channel therefore offers defenders a high-value point of intervention.</w:t>
      </w:r>
    </w:p>
    <w:p w:rsidR="000203FA" w:rsidRPr="0075797B" w:rsidRDefault="0075797B">
      <w:pPr>
        <w:spacing w:after="160"/>
        <w:jc w:val="both"/>
        <w:rPr>
          <w:color w:val="auto"/>
        </w:rPr>
      </w:pPr>
      <w:r w:rsidRPr="0075797B">
        <w:rPr>
          <w:color w:val="auto"/>
        </w:rPr>
        <w:t>Recent developments have made C2 markedly harder to observe. Offensive tooling such as Cobalt Strike, Sliver, Mythic, and Empire supports malleable, encrypted profiles that imitate ordinary web traffic; adversaries increasingly tunnel C2 over HTTPS, DNS-over-HTTPS, and trusted cloud and CDN infrastructure (‘living-off-trusted-sites’), and apply beacon jitter and domain generation algorithms (DGAs) to defeat static indicators. In parallel, the defensive field has moved from purely signature-based intrusion detection toward behavioural analytics, encrypted-traffic analysis using flow and TLS metadata, and machine-learning classifiers, while network-forensic practice has matured around tools such as Zeek and NetworkMiner for artefact extraction. The current state of the art is thus a contest between traffic that is engineered to look normal and detection that must reason from side-channel and statistical evidence rather than payload content. This study engages directly with that contest.</w:t>
      </w:r>
    </w:p>
    <w:p w:rsidR="000203FA" w:rsidRPr="0075797B" w:rsidRDefault="0075797B">
      <w:pPr>
        <w:spacing w:after="160"/>
        <w:jc w:val="both"/>
        <w:rPr>
          <w:color w:val="auto"/>
        </w:rPr>
      </w:pPr>
      <w:r w:rsidRPr="0075797B">
        <w:rPr>
          <w:color w:val="auto"/>
        </w:rPr>
        <w:t xml:space="preserve">The framing of ‘cyberwarfare-inspired’ attacks is deliberate. While the study does not claim to reproduce classified state tooling, publicly documented campaigns — from SolarWinds-style supply-chain intrusions to attacks on energy and telecommunications providers — share a common operational signature: patient, low-and-slow C2 that prioritises stealth and persistence over speed. The techniques used to hide such traffic (encryption, tunnelling, beacon jitter, and infrastructure that rotates faster than </w:t>
      </w:r>
      <w:r w:rsidRPr="0075797B">
        <w:rPr>
          <w:color w:val="auto"/>
        </w:rPr>
        <w:lastRenderedPageBreak/>
        <w:t>blocklists can be updated) are precisely those that are freely documented and reproducible in a laboratory using open frameworks. This makes the problem both academically tractable and practically important: the same detection logic that catches a red-team Cobalt Strike beacon is the logic a defender needs against a real intrusion. By grounding the work in open datasets and open tooling, the research keeps the study reproducible and ethically contained while remaining representative of the threat class it targets.</w:t>
      </w:r>
    </w:p>
    <w:p w:rsidR="000203FA" w:rsidRPr="0075797B" w:rsidRDefault="0075797B">
      <w:pPr>
        <w:pStyle w:val="Heading2"/>
        <w:rPr>
          <w:color w:val="auto"/>
        </w:rPr>
      </w:pPr>
      <w:r w:rsidRPr="0075797B">
        <w:rPr>
          <w:color w:val="auto"/>
        </w:rPr>
        <w:t xml:space="preserve">1.2 Research Problem </w:t>
      </w:r>
    </w:p>
    <w:p w:rsidR="000203FA" w:rsidRPr="0075797B" w:rsidRDefault="0075797B">
      <w:pPr>
        <w:spacing w:after="160"/>
        <w:jc w:val="both"/>
        <w:rPr>
          <w:color w:val="auto"/>
        </w:rPr>
      </w:pPr>
      <w:r w:rsidRPr="0075797B">
        <w:rPr>
          <w:b/>
          <w:color w:val="auto"/>
        </w:rPr>
        <w:t xml:space="preserve">Problem statement. </w:t>
      </w:r>
      <w:r w:rsidRPr="0075797B">
        <w:rPr>
          <w:color w:val="auto"/>
        </w:rPr>
        <w:t>The specific problem this research addresses is that existing, freely available detection methods struggle to reliably identify and forensically reconstruct modern C2 traffic that is encrypted, tunnelled, and behaviourally camouflaged, and that the few reproducible, low-cost pipelines combining detection with forensic attribution are poorly benchmarked against one another on common data.</w:t>
      </w:r>
    </w:p>
    <w:p w:rsidR="000203FA" w:rsidRPr="0075797B" w:rsidRDefault="0075797B">
      <w:pPr>
        <w:spacing w:after="160"/>
        <w:jc w:val="both"/>
        <w:rPr>
          <w:color w:val="auto"/>
        </w:rPr>
      </w:pPr>
      <w:r w:rsidRPr="0075797B">
        <w:rPr>
          <w:b/>
          <w:color w:val="auto"/>
        </w:rPr>
        <w:t xml:space="preserve">Current challenges. </w:t>
      </w:r>
      <w:r w:rsidRPr="0075797B">
        <w:rPr>
          <w:color w:val="auto"/>
        </w:rPr>
        <w:t>Three limitations in current approaches motivate the study. First, signature-based intrusion detection (for example, Suricata with community rulesets) is effective against known indicators but is systematically evaded by malleable profiles, encryption, and domain fluxing, producing high false-negative rates against novel C2 [1]. Second, anomaly- and machine-learning-based detectors reported in the literature are frequently trained and tested on a single dataset, which inflates accuracy and leaves open questions of generalisation, class imbalance, and concept drift when models meet traffic unlike their training distribution [2], [3]. Third, detection research and digital-forensic research are largely siloed: papers report classifier metrics but seldom demonstrate how a flagged flow is reconstructed into court-defensible evidence, nor how encrypted C2 can be attributed without payload access. These gaps — evasion of static signatures, weak cross-dataset validation, and the detection–forensics divide — are the challenges this research confronts, with literature support developed in Section 2.</w:t>
      </w:r>
    </w:p>
    <w:p w:rsidR="000203FA" w:rsidRPr="0075797B" w:rsidRDefault="0075797B">
      <w:pPr>
        <w:pStyle w:val="Heading2"/>
        <w:rPr>
          <w:color w:val="auto"/>
        </w:rPr>
      </w:pPr>
      <w:r w:rsidRPr="0075797B">
        <w:rPr>
          <w:color w:val="auto"/>
        </w:rPr>
        <w:t xml:space="preserve">1.3 Research Aim and SMART Objectives </w:t>
      </w:r>
    </w:p>
    <w:p w:rsidR="000203FA" w:rsidRPr="0075797B" w:rsidRDefault="0075797B">
      <w:pPr>
        <w:spacing w:after="160"/>
        <w:jc w:val="both"/>
        <w:rPr>
          <w:color w:val="auto"/>
        </w:rPr>
      </w:pPr>
      <w:r w:rsidRPr="0075797B">
        <w:rPr>
          <w:b/>
          <w:color w:val="auto"/>
        </w:rPr>
        <w:t xml:space="preserve">Aim. </w:t>
      </w:r>
      <w:r w:rsidRPr="0075797B">
        <w:rPr>
          <w:color w:val="auto"/>
        </w:rPr>
        <w:t>To design, implement, and empirically evaluate a reproducible, fully open-source pipeline that detects command-and-control traffic in cyberwarfare-inspired network attacks and forensically reconstructs the associated C2 activity, and to benchmark signature-based, anomaly-based, and machine-learning detection on common public datasets.</w:t>
      </w:r>
    </w:p>
    <w:p w:rsidR="000203FA" w:rsidRPr="0075797B" w:rsidRDefault="0075797B">
      <w:pPr>
        <w:spacing w:after="160"/>
        <w:jc w:val="both"/>
        <w:rPr>
          <w:color w:val="auto"/>
        </w:rPr>
      </w:pPr>
      <w:r w:rsidRPr="0075797B">
        <w:rPr>
          <w:b/>
          <w:color w:val="auto"/>
        </w:rPr>
        <w:t xml:space="preserve">Objectives. </w:t>
      </w:r>
      <w:r w:rsidRPr="0075797B">
        <w:rPr>
          <w:color w:val="auto"/>
        </w:rPr>
        <w:t>The aim is decomposed into six SMART objectives — each Specific (a defined task), Measurable (a numeric or artefact-based target), Achievable (open-source tools on a standard workstation), Relevant (mapped to an identified gap and to the aim), and Time-bound (tied to a phase of the 16-week plan in Section 5).</w:t>
      </w:r>
    </w:p>
    <w:tbl>
      <w:tblPr>
        <w:tblStyle w:val="TableGrid"/>
        <w:tblW w:w="0" w:type="auto"/>
        <w:jc w:val="center"/>
        <w:tblLook w:val="04A0" w:firstRow="1" w:lastRow="0" w:firstColumn="1" w:lastColumn="0" w:noHBand="0" w:noVBand="1"/>
      </w:tblPr>
      <w:tblGrid>
        <w:gridCol w:w="504"/>
        <w:gridCol w:w="3816"/>
        <w:gridCol w:w="3960"/>
        <w:gridCol w:w="1224"/>
      </w:tblGrid>
      <w:tr w:rsidR="0075797B" w:rsidRPr="0075797B">
        <w:trPr>
          <w:jc w:val="center"/>
        </w:trPr>
        <w:tc>
          <w:tcPr>
            <w:tcW w:w="504" w:type="dxa"/>
            <w:shd w:val="clear" w:color="auto" w:fill="0E1A38"/>
          </w:tcPr>
          <w:p w:rsidR="000203FA" w:rsidRPr="0075797B" w:rsidRDefault="000203FA">
            <w:pPr>
              <w:rPr>
                <w:color w:val="auto"/>
              </w:rPr>
            </w:pPr>
          </w:p>
        </w:tc>
        <w:tc>
          <w:tcPr>
            <w:tcW w:w="3816" w:type="dxa"/>
            <w:shd w:val="clear" w:color="auto" w:fill="0E1A38"/>
          </w:tcPr>
          <w:p w:rsidR="000203FA" w:rsidRPr="0075797B" w:rsidRDefault="0075797B">
            <w:pPr>
              <w:rPr>
                <w:color w:val="auto"/>
              </w:rPr>
            </w:pPr>
            <w:r w:rsidRPr="0075797B">
              <w:rPr>
                <w:b/>
                <w:color w:val="auto"/>
                <w:sz w:val="18"/>
              </w:rPr>
              <w:t>Specific — objective</w:t>
            </w:r>
          </w:p>
        </w:tc>
        <w:tc>
          <w:tcPr>
            <w:tcW w:w="3960" w:type="dxa"/>
            <w:shd w:val="clear" w:color="auto" w:fill="0E1A38"/>
          </w:tcPr>
          <w:p w:rsidR="000203FA" w:rsidRPr="0075797B" w:rsidRDefault="0075797B">
            <w:pPr>
              <w:rPr>
                <w:color w:val="auto"/>
              </w:rPr>
            </w:pPr>
            <w:r w:rsidRPr="0075797B">
              <w:rPr>
                <w:b/>
                <w:color w:val="auto"/>
                <w:sz w:val="18"/>
              </w:rPr>
              <w:t>Measurable — target</w:t>
            </w:r>
          </w:p>
        </w:tc>
        <w:tc>
          <w:tcPr>
            <w:tcW w:w="1224" w:type="dxa"/>
            <w:shd w:val="clear" w:color="auto" w:fill="0E1A38"/>
          </w:tcPr>
          <w:p w:rsidR="000203FA" w:rsidRPr="0075797B" w:rsidRDefault="0075797B">
            <w:pPr>
              <w:rPr>
                <w:color w:val="auto"/>
              </w:rPr>
            </w:pPr>
            <w:r w:rsidRPr="0075797B">
              <w:rPr>
                <w:b/>
                <w:color w:val="auto"/>
                <w:sz w:val="18"/>
              </w:rPr>
              <w:t>Time-bound</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t>O1</w:t>
            </w:r>
          </w:p>
        </w:tc>
        <w:tc>
          <w:tcPr>
            <w:tcW w:w="3816" w:type="dxa"/>
          </w:tcPr>
          <w:p w:rsidR="000203FA" w:rsidRPr="0075797B" w:rsidRDefault="0075797B">
            <w:pPr>
              <w:spacing w:after="20"/>
              <w:rPr>
                <w:color w:val="auto"/>
              </w:rPr>
            </w:pPr>
            <w:r w:rsidRPr="0075797B">
              <w:rPr>
                <w:color w:val="auto"/>
                <w:sz w:val="17"/>
              </w:rPr>
              <w:t>Conduct a systematic literature review of C2 techniques, evasion, detection and network-forensic practice.</w:t>
            </w:r>
          </w:p>
        </w:tc>
        <w:tc>
          <w:tcPr>
            <w:tcW w:w="3960" w:type="dxa"/>
          </w:tcPr>
          <w:p w:rsidR="000203FA" w:rsidRPr="0075797B" w:rsidRDefault="0075797B">
            <w:pPr>
              <w:spacing w:after="20"/>
              <w:rPr>
                <w:color w:val="auto"/>
              </w:rPr>
            </w:pPr>
            <w:r w:rsidRPr="0075797B">
              <w:rPr>
                <w:color w:val="auto"/>
                <w:sz w:val="17"/>
              </w:rPr>
              <w:t>≥ 22 peer-reviewed studies screened via PRISMA; synthesised into 4 themes and ≥ 2 explicit gaps.</w:t>
            </w:r>
          </w:p>
        </w:tc>
        <w:tc>
          <w:tcPr>
            <w:tcW w:w="1224" w:type="dxa"/>
          </w:tcPr>
          <w:p w:rsidR="000203FA" w:rsidRPr="0075797B" w:rsidRDefault="0075797B">
            <w:pPr>
              <w:spacing w:after="20"/>
              <w:rPr>
                <w:color w:val="auto"/>
              </w:rPr>
            </w:pPr>
            <w:r w:rsidRPr="0075797B">
              <w:rPr>
                <w:color w:val="auto"/>
                <w:sz w:val="17"/>
              </w:rPr>
              <w:t>Weeks 1–3</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t>O2</w:t>
            </w:r>
          </w:p>
        </w:tc>
        <w:tc>
          <w:tcPr>
            <w:tcW w:w="3816" w:type="dxa"/>
          </w:tcPr>
          <w:p w:rsidR="000203FA" w:rsidRPr="0075797B" w:rsidRDefault="0075797B">
            <w:pPr>
              <w:spacing w:after="20"/>
              <w:rPr>
                <w:color w:val="auto"/>
              </w:rPr>
            </w:pPr>
            <w:r w:rsidRPr="0075797B">
              <w:rPr>
                <w:color w:val="auto"/>
                <w:sz w:val="17"/>
              </w:rPr>
              <w:t>Design and deploy an isolated VirtualBox host-only testbed and ingest three public datasets (CTU-13, CIC-IDS2017, CIC-IoT-2023).</w:t>
            </w:r>
          </w:p>
        </w:tc>
        <w:tc>
          <w:tcPr>
            <w:tcW w:w="3960" w:type="dxa"/>
          </w:tcPr>
          <w:p w:rsidR="000203FA" w:rsidRPr="0075797B" w:rsidRDefault="0075797B">
            <w:pPr>
              <w:spacing w:after="20"/>
              <w:rPr>
                <w:color w:val="auto"/>
              </w:rPr>
            </w:pPr>
            <w:r w:rsidRPr="0075797B">
              <w:rPr>
                <w:color w:val="auto"/>
                <w:sz w:val="17"/>
              </w:rPr>
              <w:t>Testbed operational; ≥ 95% of dataset flows successfully parsed into Zeek logs.</w:t>
            </w:r>
          </w:p>
        </w:tc>
        <w:tc>
          <w:tcPr>
            <w:tcW w:w="1224" w:type="dxa"/>
          </w:tcPr>
          <w:p w:rsidR="000203FA" w:rsidRPr="0075797B" w:rsidRDefault="0075797B">
            <w:pPr>
              <w:spacing w:after="20"/>
              <w:rPr>
                <w:color w:val="auto"/>
              </w:rPr>
            </w:pPr>
            <w:r w:rsidRPr="0075797B">
              <w:rPr>
                <w:color w:val="auto"/>
                <w:sz w:val="17"/>
              </w:rPr>
              <w:t>Weeks 3–6</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t>O3</w:t>
            </w:r>
          </w:p>
        </w:tc>
        <w:tc>
          <w:tcPr>
            <w:tcW w:w="3816" w:type="dxa"/>
          </w:tcPr>
          <w:p w:rsidR="000203FA" w:rsidRPr="0075797B" w:rsidRDefault="0075797B">
            <w:pPr>
              <w:spacing w:after="20"/>
              <w:rPr>
                <w:color w:val="auto"/>
              </w:rPr>
            </w:pPr>
            <w:r w:rsidRPr="0075797B">
              <w:rPr>
                <w:color w:val="auto"/>
                <w:sz w:val="17"/>
              </w:rPr>
              <w:t>Implement three detection approaches — signature (Suricata), anomaly (Zeek flow features) and supervised ML — over a common feature set.</w:t>
            </w:r>
          </w:p>
        </w:tc>
        <w:tc>
          <w:tcPr>
            <w:tcW w:w="3960" w:type="dxa"/>
          </w:tcPr>
          <w:p w:rsidR="000203FA" w:rsidRPr="0075797B" w:rsidRDefault="0075797B">
            <w:pPr>
              <w:spacing w:after="20"/>
              <w:rPr>
                <w:color w:val="auto"/>
              </w:rPr>
            </w:pPr>
            <w:r w:rsidRPr="0075797B">
              <w:rPr>
                <w:color w:val="auto"/>
                <w:sz w:val="17"/>
              </w:rPr>
              <w:t>3 detectors running; ≥ 15 behavioural features extracted (flow, DNS, TLS); ≥ 3 ML models trained.</w:t>
            </w:r>
          </w:p>
        </w:tc>
        <w:tc>
          <w:tcPr>
            <w:tcW w:w="1224" w:type="dxa"/>
          </w:tcPr>
          <w:p w:rsidR="000203FA" w:rsidRPr="0075797B" w:rsidRDefault="0075797B">
            <w:pPr>
              <w:spacing w:after="20"/>
              <w:rPr>
                <w:color w:val="auto"/>
              </w:rPr>
            </w:pPr>
            <w:r w:rsidRPr="0075797B">
              <w:rPr>
                <w:color w:val="auto"/>
                <w:sz w:val="17"/>
              </w:rPr>
              <w:t>Weeks 6–10</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lastRenderedPageBreak/>
              <w:t>O4</w:t>
            </w:r>
          </w:p>
        </w:tc>
        <w:tc>
          <w:tcPr>
            <w:tcW w:w="3816" w:type="dxa"/>
          </w:tcPr>
          <w:p w:rsidR="000203FA" w:rsidRPr="0075797B" w:rsidRDefault="0075797B">
            <w:pPr>
              <w:spacing w:after="20"/>
              <w:rPr>
                <w:color w:val="auto"/>
              </w:rPr>
            </w:pPr>
            <w:r w:rsidRPr="0075797B">
              <w:rPr>
                <w:color w:val="auto"/>
                <w:sz w:val="17"/>
              </w:rPr>
              <w:t>Evaluate and compare the approaches within and across datasets to quantify generalisation.</w:t>
            </w:r>
          </w:p>
        </w:tc>
        <w:tc>
          <w:tcPr>
            <w:tcW w:w="3960" w:type="dxa"/>
          </w:tcPr>
          <w:p w:rsidR="000203FA" w:rsidRPr="0075797B" w:rsidRDefault="0075797B">
            <w:pPr>
              <w:spacing w:after="20"/>
              <w:rPr>
                <w:color w:val="auto"/>
              </w:rPr>
            </w:pPr>
            <w:r w:rsidRPr="0075797B">
              <w:rPr>
                <w:color w:val="auto"/>
                <w:sz w:val="17"/>
              </w:rPr>
              <w:t>Accuracy, precision, recall, F1, FPR and ROC-AUC reported with stratified k-fold; cross-dataset drop measured.</w:t>
            </w:r>
          </w:p>
        </w:tc>
        <w:tc>
          <w:tcPr>
            <w:tcW w:w="1224" w:type="dxa"/>
          </w:tcPr>
          <w:p w:rsidR="000203FA" w:rsidRPr="0075797B" w:rsidRDefault="0075797B">
            <w:pPr>
              <w:spacing w:after="20"/>
              <w:rPr>
                <w:color w:val="auto"/>
              </w:rPr>
            </w:pPr>
            <w:r w:rsidRPr="0075797B">
              <w:rPr>
                <w:color w:val="auto"/>
                <w:sz w:val="17"/>
              </w:rPr>
              <w:t>Weeks 10–13</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t>O5</w:t>
            </w:r>
          </w:p>
        </w:tc>
        <w:tc>
          <w:tcPr>
            <w:tcW w:w="3816" w:type="dxa"/>
          </w:tcPr>
          <w:p w:rsidR="000203FA" w:rsidRPr="0075797B" w:rsidRDefault="0075797B">
            <w:pPr>
              <w:spacing w:after="20"/>
              <w:rPr>
                <w:color w:val="auto"/>
              </w:rPr>
            </w:pPr>
            <w:r w:rsidRPr="0075797B">
              <w:rPr>
                <w:color w:val="auto"/>
                <w:sz w:val="17"/>
              </w:rPr>
              <w:t>Develop and validate a network-forensic procedure that reconstructs the C2 kill-chain.</w:t>
            </w:r>
          </w:p>
        </w:tc>
        <w:tc>
          <w:tcPr>
            <w:tcW w:w="3960" w:type="dxa"/>
          </w:tcPr>
          <w:p w:rsidR="000203FA" w:rsidRPr="0075797B" w:rsidRDefault="0075797B">
            <w:pPr>
              <w:spacing w:after="20"/>
              <w:rPr>
                <w:color w:val="auto"/>
              </w:rPr>
            </w:pPr>
            <w:r w:rsidRPr="0075797B">
              <w:rPr>
                <w:color w:val="auto"/>
                <w:sz w:val="17"/>
              </w:rPr>
              <w:t>≥ 4 artefact types recovered (C2 endpoints, timeline, beacon interval, exfiltration evidence) on ≥ 3 cases.</w:t>
            </w:r>
          </w:p>
        </w:tc>
        <w:tc>
          <w:tcPr>
            <w:tcW w:w="1224" w:type="dxa"/>
          </w:tcPr>
          <w:p w:rsidR="000203FA" w:rsidRPr="0075797B" w:rsidRDefault="0075797B">
            <w:pPr>
              <w:spacing w:after="20"/>
              <w:rPr>
                <w:color w:val="auto"/>
              </w:rPr>
            </w:pPr>
            <w:r w:rsidRPr="0075797B">
              <w:rPr>
                <w:color w:val="auto"/>
                <w:sz w:val="17"/>
              </w:rPr>
              <w:t>Weeks 13–15</w:t>
            </w:r>
          </w:p>
        </w:tc>
      </w:tr>
      <w:tr w:rsidR="0075797B" w:rsidRPr="0075797B">
        <w:trPr>
          <w:jc w:val="center"/>
        </w:trPr>
        <w:tc>
          <w:tcPr>
            <w:tcW w:w="504" w:type="dxa"/>
          </w:tcPr>
          <w:p w:rsidR="000203FA" w:rsidRPr="0075797B" w:rsidRDefault="0075797B">
            <w:pPr>
              <w:spacing w:after="20"/>
              <w:rPr>
                <w:color w:val="auto"/>
              </w:rPr>
            </w:pPr>
            <w:r w:rsidRPr="0075797B">
              <w:rPr>
                <w:color w:val="auto"/>
                <w:sz w:val="17"/>
              </w:rPr>
              <w:t>O6</w:t>
            </w:r>
          </w:p>
        </w:tc>
        <w:tc>
          <w:tcPr>
            <w:tcW w:w="3816" w:type="dxa"/>
          </w:tcPr>
          <w:p w:rsidR="000203FA" w:rsidRPr="0075797B" w:rsidRDefault="0075797B">
            <w:pPr>
              <w:spacing w:after="20"/>
              <w:rPr>
                <w:color w:val="auto"/>
              </w:rPr>
            </w:pPr>
            <w:r w:rsidRPr="0075797B">
              <w:rPr>
                <w:color w:val="auto"/>
                <w:sz w:val="17"/>
              </w:rPr>
              <w:t>Synthesise findings into a reproducible, low-cost methodology and practical recommendations.</w:t>
            </w:r>
          </w:p>
        </w:tc>
        <w:tc>
          <w:tcPr>
            <w:tcW w:w="3960" w:type="dxa"/>
          </w:tcPr>
          <w:p w:rsidR="000203FA" w:rsidRPr="0075797B" w:rsidRDefault="0075797B">
            <w:pPr>
              <w:spacing w:after="20"/>
              <w:rPr>
                <w:color w:val="auto"/>
              </w:rPr>
            </w:pPr>
            <w:r w:rsidRPr="0075797B">
              <w:rPr>
                <w:color w:val="auto"/>
                <w:sz w:val="17"/>
              </w:rPr>
              <w:t>1 documented methodology + benchmark table + open analysis scripts released.</w:t>
            </w:r>
          </w:p>
        </w:tc>
        <w:tc>
          <w:tcPr>
            <w:tcW w:w="1224" w:type="dxa"/>
          </w:tcPr>
          <w:p w:rsidR="000203FA" w:rsidRPr="0075797B" w:rsidRDefault="0075797B">
            <w:pPr>
              <w:spacing w:after="20"/>
              <w:rPr>
                <w:color w:val="auto"/>
              </w:rPr>
            </w:pPr>
            <w:r w:rsidRPr="0075797B">
              <w:rPr>
                <w:color w:val="auto"/>
                <w:sz w:val="17"/>
              </w:rPr>
              <w:t>Weeks 15–16</w:t>
            </w:r>
          </w:p>
        </w:tc>
      </w:tr>
    </w:tbl>
    <w:p w:rsidR="000203FA" w:rsidRPr="0075797B" w:rsidRDefault="0075797B">
      <w:pPr>
        <w:spacing w:before="80" w:after="160"/>
        <w:rPr>
          <w:color w:val="auto"/>
        </w:rPr>
      </w:pPr>
      <w:r w:rsidRPr="0075797B">
        <w:rPr>
          <w:b/>
          <w:color w:val="auto"/>
          <w:sz w:val="20"/>
        </w:rPr>
        <w:t xml:space="preserve">Achievable &amp; Relevant (all objectives): </w:t>
      </w:r>
      <w:r w:rsidRPr="0075797B">
        <w:rPr>
          <w:i/>
          <w:color w:val="auto"/>
          <w:sz w:val="20"/>
        </w:rPr>
        <w:t>each uses only free, open-source tools on a standard 8–16 GB workstation, and maps directly to a gap identified in Section 2 and to the research aim.</w:t>
      </w:r>
    </w:p>
    <w:p w:rsidR="000203FA" w:rsidRPr="0075797B" w:rsidRDefault="0075797B">
      <w:pPr>
        <w:pStyle w:val="Heading2"/>
        <w:rPr>
          <w:color w:val="auto"/>
        </w:rPr>
      </w:pPr>
      <w:r w:rsidRPr="0075797B">
        <w:rPr>
          <w:color w:val="auto"/>
        </w:rPr>
        <w:t xml:space="preserve">1.4 Significance of the Research </w:t>
      </w:r>
    </w:p>
    <w:p w:rsidR="000203FA" w:rsidRPr="0075797B" w:rsidRDefault="0075797B">
      <w:pPr>
        <w:spacing w:after="160"/>
        <w:jc w:val="both"/>
        <w:rPr>
          <w:color w:val="auto"/>
        </w:rPr>
      </w:pPr>
      <w:r w:rsidRPr="0075797B">
        <w:rPr>
          <w:b/>
          <w:color w:val="auto"/>
        </w:rPr>
        <w:t xml:space="preserve">Importance of the research. </w:t>
      </w:r>
      <w:r w:rsidRPr="0075797B">
        <w:rPr>
          <w:color w:val="auto"/>
        </w:rPr>
        <w:t>Solving this problem benefits both the research community and practice. For researchers, a rigorously benchmarked, cross-dataset comparison of detection approaches on shared, open data addresses a recognised reproducibility weakness in network-intrusion-detection research and provides a baseline others can extend. For society and industry, C2 detection is a cost-effective choke point: disrupting the channel neutralises intrusions before data theft or destructive action, which is directly relevant to protecting critical national infrastructure targeted in cyberwarfare-style operations. Because the entire pipeline uses free and open-source tools, the outcomes are accessible to universities, small organisations, and security teams in low-resource environments.</w:t>
      </w:r>
    </w:p>
    <w:p w:rsidR="000203FA" w:rsidRPr="0075797B" w:rsidRDefault="0075797B">
      <w:pPr>
        <w:spacing w:after="160"/>
        <w:jc w:val="both"/>
        <w:rPr>
          <w:color w:val="auto"/>
        </w:rPr>
      </w:pPr>
      <w:r w:rsidRPr="0075797B">
        <w:rPr>
          <w:b/>
          <w:color w:val="auto"/>
        </w:rPr>
        <w:t xml:space="preserve">Potential applications. </w:t>
      </w:r>
      <w:r w:rsidRPr="0075797B">
        <w:rPr>
          <w:color w:val="auto"/>
        </w:rPr>
        <w:t>Practical outputs include a documented detection-and-forensics pipeline that a security operations centre could adapt; a labelled feature set and reusable analysis scripts for beaconing and tunnelling detection; and a forensic playbook for reconstructing C2 activity during incident response. The methodology also has pedagogical value as a safe, licence-free laboratory for teaching network forensics and threat detection.</w:t>
      </w:r>
    </w:p>
    <w:p w:rsidR="000203FA" w:rsidRPr="0075797B" w:rsidRDefault="0075797B">
      <w:pPr>
        <w:pStyle w:val="Heading1"/>
        <w:spacing w:before="280"/>
        <w:rPr>
          <w:color w:val="auto"/>
        </w:rPr>
      </w:pPr>
      <w:r w:rsidRPr="0075797B">
        <w:rPr>
          <w:color w:val="auto"/>
        </w:rPr>
        <w:t xml:space="preserve">2. Systematic Literature Review </w:t>
      </w:r>
    </w:p>
    <w:p w:rsidR="000203FA" w:rsidRPr="0075797B" w:rsidRDefault="0075797B">
      <w:pPr>
        <w:spacing w:after="160"/>
        <w:jc w:val="both"/>
        <w:rPr>
          <w:color w:val="auto"/>
        </w:rPr>
      </w:pPr>
      <w:r w:rsidRPr="0075797B">
        <w:rPr>
          <w:color w:val="auto"/>
        </w:rPr>
        <w:t>The purpose of this review is to systematically survey the existing body of knowledge on C2 traffic and its detection and forensic analysis, to establish what is known, identify the most important contributions, and expose the gaps this research addresses. Unlike a narrative review, the process below is explicit and repeatable.</w:t>
      </w:r>
    </w:p>
    <w:p w:rsidR="000203FA" w:rsidRPr="0075797B" w:rsidRDefault="0075797B">
      <w:pPr>
        <w:pStyle w:val="Heading2"/>
        <w:rPr>
          <w:color w:val="auto"/>
        </w:rPr>
      </w:pPr>
      <w:r w:rsidRPr="0075797B">
        <w:rPr>
          <w:color w:val="auto"/>
        </w:rPr>
        <w:t>2.1 Review method and protocol</w:t>
      </w:r>
    </w:p>
    <w:p w:rsidR="000203FA" w:rsidRPr="0075797B" w:rsidRDefault="0075797B">
      <w:pPr>
        <w:spacing w:after="160"/>
        <w:jc w:val="both"/>
        <w:rPr>
          <w:color w:val="auto"/>
        </w:rPr>
      </w:pPr>
      <w:r w:rsidRPr="0075797B">
        <w:rPr>
          <w:color w:val="auto"/>
        </w:rPr>
        <w:t>The review follows established systematic-review guidance for computing research [4] and is reported in line with the PRISMA 2020 statement [5]. A protocol was defined in advance covering the review questions, search strategy, selection criteria, quality assessment, and synthesis method, so that the review is transparent and reproducible.</w:t>
      </w:r>
    </w:p>
    <w:p w:rsidR="000203FA" w:rsidRPr="0075797B" w:rsidRDefault="0075797B">
      <w:pPr>
        <w:pStyle w:val="Heading2"/>
        <w:rPr>
          <w:color w:val="auto"/>
        </w:rPr>
      </w:pPr>
      <w:r w:rsidRPr="0075797B">
        <w:rPr>
          <w:color w:val="auto"/>
        </w:rPr>
        <w:t>2.2 Review questions</w:t>
      </w:r>
    </w:p>
    <w:p w:rsidR="000203FA" w:rsidRPr="0075797B" w:rsidRDefault="0075797B">
      <w:pPr>
        <w:pStyle w:val="ListBullet"/>
        <w:spacing w:after="60"/>
        <w:jc w:val="both"/>
        <w:rPr>
          <w:color w:val="auto"/>
        </w:rPr>
      </w:pPr>
      <w:r w:rsidRPr="0075797B">
        <w:rPr>
          <w:b/>
          <w:color w:val="auto"/>
        </w:rPr>
        <w:t xml:space="preserve">RQ1:  </w:t>
      </w:r>
      <w:r w:rsidRPr="0075797B">
        <w:rPr>
          <w:color w:val="auto"/>
        </w:rPr>
        <w:t>What techniques do modern C2 frameworks use to evade detection?</w:t>
      </w:r>
    </w:p>
    <w:p w:rsidR="000203FA" w:rsidRPr="0075797B" w:rsidRDefault="0075797B">
      <w:pPr>
        <w:pStyle w:val="ListBullet"/>
        <w:spacing w:after="60"/>
        <w:jc w:val="both"/>
        <w:rPr>
          <w:color w:val="auto"/>
        </w:rPr>
      </w:pPr>
      <w:r w:rsidRPr="0075797B">
        <w:rPr>
          <w:b/>
          <w:color w:val="auto"/>
        </w:rPr>
        <w:t xml:space="preserve">RQ2:  </w:t>
      </w:r>
      <w:r w:rsidRPr="0075797B">
        <w:rPr>
          <w:color w:val="auto"/>
        </w:rPr>
        <w:t>How effective are signature-, anomaly- and machine-learning-based approaches at detecting C2, and how well do they generalise across data?</w:t>
      </w:r>
    </w:p>
    <w:p w:rsidR="000203FA" w:rsidRPr="0075797B" w:rsidRDefault="0075797B">
      <w:pPr>
        <w:pStyle w:val="ListBullet"/>
        <w:spacing w:after="60"/>
        <w:jc w:val="both"/>
        <w:rPr>
          <w:color w:val="auto"/>
        </w:rPr>
      </w:pPr>
      <w:r w:rsidRPr="0075797B">
        <w:rPr>
          <w:b/>
          <w:color w:val="auto"/>
        </w:rPr>
        <w:t xml:space="preserve">RQ3:  </w:t>
      </w:r>
      <w:r w:rsidRPr="0075797B">
        <w:rPr>
          <w:color w:val="auto"/>
        </w:rPr>
        <w:t>What features and datasets are used, and what methodological pitfalls affect reported performance?</w:t>
      </w:r>
    </w:p>
    <w:p w:rsidR="000203FA" w:rsidRPr="0075797B" w:rsidRDefault="0075797B">
      <w:pPr>
        <w:pStyle w:val="ListBullet"/>
        <w:spacing w:after="60"/>
        <w:jc w:val="both"/>
        <w:rPr>
          <w:color w:val="auto"/>
        </w:rPr>
      </w:pPr>
      <w:r w:rsidRPr="0075797B">
        <w:rPr>
          <w:b/>
          <w:color w:val="auto"/>
        </w:rPr>
        <w:lastRenderedPageBreak/>
        <w:t xml:space="preserve">RQ4:  </w:t>
      </w:r>
      <w:r w:rsidRPr="0075797B">
        <w:rPr>
          <w:color w:val="auto"/>
        </w:rPr>
        <w:t>How is network forensics used to reconstruct C2 activity, and how well is it integrated with detection?</w:t>
      </w:r>
    </w:p>
    <w:p w:rsidR="000203FA" w:rsidRPr="0075797B" w:rsidRDefault="0075797B">
      <w:pPr>
        <w:pStyle w:val="Heading2"/>
        <w:rPr>
          <w:color w:val="auto"/>
        </w:rPr>
      </w:pPr>
      <w:r w:rsidRPr="0075797B">
        <w:rPr>
          <w:color w:val="auto"/>
        </w:rPr>
        <w:t>2.3 Search strategy</w:t>
      </w:r>
    </w:p>
    <w:p w:rsidR="000203FA" w:rsidRPr="0075797B" w:rsidRDefault="0075797B">
      <w:pPr>
        <w:spacing w:after="80"/>
        <w:jc w:val="both"/>
        <w:rPr>
          <w:color w:val="auto"/>
        </w:rPr>
      </w:pPr>
      <w:r w:rsidRPr="0075797B">
        <w:rPr>
          <w:color w:val="auto"/>
        </w:rPr>
        <w:t>Five academic databases were searched (IEEE Xplore, ACM Digital Library, ScienceDirect, Scopus, and the USENIX proceedings), supplemented by backward/forward snowballing and a small amount of authoritative grey literature (e.g. MITRE ATT&amp;CK). The search covered 2010–2024, with seminal earlier work included where foundational (e.g., [6]). The core Boolean search string was:</w:t>
      </w:r>
    </w:p>
    <w:p w:rsidR="000203FA" w:rsidRPr="0075797B" w:rsidRDefault="0075797B">
      <w:pPr>
        <w:spacing w:after="160"/>
        <w:ind w:left="432"/>
        <w:rPr>
          <w:color w:val="auto"/>
        </w:rPr>
      </w:pPr>
      <w:r w:rsidRPr="0075797B">
        <w:rPr>
          <w:rFonts w:ascii="Consolas" w:hAnsi="Consolas"/>
          <w:color w:val="auto"/>
          <w:sz w:val="19"/>
        </w:rPr>
        <w:t>("command and control" OR "C2" OR botnet OR beaconing) AND (detection OR "intrusion detection" OR "network forensics") AND ("machine learning" OR anomaly OR "encrypted traffic" OR "DNS tunnel*")</w:t>
      </w:r>
    </w:p>
    <w:p w:rsidR="000203FA" w:rsidRPr="0075797B" w:rsidRDefault="0075797B">
      <w:pPr>
        <w:pStyle w:val="Heading2"/>
        <w:rPr>
          <w:color w:val="auto"/>
        </w:rPr>
      </w:pPr>
      <w:r w:rsidRPr="0075797B">
        <w:rPr>
          <w:color w:val="auto"/>
        </w:rPr>
        <w:t>2.4 Inclusion and exclusion criteria</w:t>
      </w:r>
    </w:p>
    <w:tbl>
      <w:tblPr>
        <w:tblStyle w:val="TableGrid"/>
        <w:tblW w:w="0" w:type="auto"/>
        <w:jc w:val="center"/>
        <w:tblLook w:val="04A0" w:firstRow="1" w:lastRow="0" w:firstColumn="1" w:lastColumn="0" w:noHBand="0" w:noVBand="1"/>
      </w:tblPr>
      <w:tblGrid>
        <w:gridCol w:w="4752"/>
        <w:gridCol w:w="4752"/>
      </w:tblGrid>
      <w:tr w:rsidR="0075797B" w:rsidRPr="0075797B">
        <w:trPr>
          <w:jc w:val="center"/>
        </w:trPr>
        <w:tc>
          <w:tcPr>
            <w:tcW w:w="4752" w:type="dxa"/>
            <w:shd w:val="clear" w:color="auto" w:fill="0E7C74"/>
          </w:tcPr>
          <w:p w:rsidR="000203FA" w:rsidRPr="0075797B" w:rsidRDefault="0075797B">
            <w:pPr>
              <w:rPr>
                <w:color w:val="auto"/>
              </w:rPr>
            </w:pPr>
            <w:r w:rsidRPr="0075797B">
              <w:rPr>
                <w:b/>
                <w:color w:val="auto"/>
                <w:sz w:val="19"/>
              </w:rPr>
              <w:t>Included if…</w:t>
            </w:r>
          </w:p>
        </w:tc>
        <w:tc>
          <w:tcPr>
            <w:tcW w:w="4752" w:type="dxa"/>
            <w:shd w:val="clear" w:color="auto" w:fill="0E7C74"/>
          </w:tcPr>
          <w:p w:rsidR="000203FA" w:rsidRPr="0075797B" w:rsidRDefault="0075797B">
            <w:pPr>
              <w:rPr>
                <w:color w:val="auto"/>
              </w:rPr>
            </w:pPr>
            <w:r w:rsidRPr="0075797B">
              <w:rPr>
                <w:b/>
                <w:color w:val="auto"/>
                <w:sz w:val="19"/>
              </w:rPr>
              <w:t>Excluded if…</w:t>
            </w:r>
          </w:p>
        </w:tc>
      </w:tr>
      <w:tr w:rsidR="0075797B" w:rsidRPr="0075797B">
        <w:trPr>
          <w:jc w:val="center"/>
        </w:trPr>
        <w:tc>
          <w:tcPr>
            <w:tcW w:w="4752" w:type="dxa"/>
          </w:tcPr>
          <w:p w:rsidR="000203FA" w:rsidRPr="0075797B" w:rsidRDefault="0075797B">
            <w:pPr>
              <w:spacing w:after="20"/>
              <w:rPr>
                <w:color w:val="auto"/>
              </w:rPr>
            </w:pPr>
            <w:r w:rsidRPr="0075797B">
              <w:rPr>
                <w:color w:val="auto"/>
                <w:sz w:val="18"/>
              </w:rPr>
              <w:t>Peer-reviewed and published 2010–2024 (or seminal earlier).</w:t>
            </w:r>
          </w:p>
        </w:tc>
        <w:tc>
          <w:tcPr>
            <w:tcW w:w="4752" w:type="dxa"/>
          </w:tcPr>
          <w:p w:rsidR="000203FA" w:rsidRPr="0075797B" w:rsidRDefault="0075797B">
            <w:pPr>
              <w:spacing w:after="20"/>
              <w:rPr>
                <w:color w:val="auto"/>
              </w:rPr>
            </w:pPr>
            <w:r w:rsidRPr="0075797B">
              <w:rPr>
                <w:color w:val="auto"/>
                <w:sz w:val="18"/>
              </w:rPr>
              <w:t>Not peer-reviewed (except key standards / industry reports).</w:t>
            </w:r>
          </w:p>
        </w:tc>
      </w:tr>
      <w:tr w:rsidR="0075797B" w:rsidRPr="0075797B">
        <w:trPr>
          <w:jc w:val="center"/>
        </w:trPr>
        <w:tc>
          <w:tcPr>
            <w:tcW w:w="4752" w:type="dxa"/>
          </w:tcPr>
          <w:p w:rsidR="000203FA" w:rsidRPr="0075797B" w:rsidRDefault="0075797B">
            <w:pPr>
              <w:spacing w:after="20"/>
              <w:rPr>
                <w:color w:val="auto"/>
              </w:rPr>
            </w:pPr>
            <w:r w:rsidRPr="0075797B">
              <w:rPr>
                <w:color w:val="auto"/>
                <w:sz w:val="18"/>
              </w:rPr>
              <w:t>Addresses C2 detection, evasion, or network-forensic reconstruction.</w:t>
            </w:r>
          </w:p>
        </w:tc>
        <w:tc>
          <w:tcPr>
            <w:tcW w:w="4752" w:type="dxa"/>
          </w:tcPr>
          <w:p w:rsidR="000203FA" w:rsidRPr="0075797B" w:rsidRDefault="0075797B">
            <w:pPr>
              <w:spacing w:after="20"/>
              <w:rPr>
                <w:color w:val="auto"/>
              </w:rPr>
            </w:pPr>
            <w:r w:rsidRPr="0075797B">
              <w:rPr>
                <w:color w:val="auto"/>
                <w:sz w:val="18"/>
              </w:rPr>
              <w:t>Purely host-based malware analysis with no network C2 dimension.</w:t>
            </w:r>
          </w:p>
        </w:tc>
      </w:tr>
      <w:tr w:rsidR="0075797B" w:rsidRPr="0075797B">
        <w:trPr>
          <w:jc w:val="center"/>
        </w:trPr>
        <w:tc>
          <w:tcPr>
            <w:tcW w:w="4752" w:type="dxa"/>
          </w:tcPr>
          <w:p w:rsidR="000203FA" w:rsidRPr="0075797B" w:rsidRDefault="0075797B">
            <w:pPr>
              <w:spacing w:after="20"/>
              <w:rPr>
                <w:color w:val="auto"/>
              </w:rPr>
            </w:pPr>
            <w:r w:rsidRPr="0075797B">
              <w:rPr>
                <w:color w:val="auto"/>
                <w:sz w:val="18"/>
              </w:rPr>
              <w:t>Reports an empirical evaluation or an authoritative framework.</w:t>
            </w:r>
          </w:p>
        </w:tc>
        <w:tc>
          <w:tcPr>
            <w:tcW w:w="4752" w:type="dxa"/>
          </w:tcPr>
          <w:p w:rsidR="000203FA" w:rsidRPr="0075797B" w:rsidRDefault="0075797B">
            <w:pPr>
              <w:spacing w:after="20"/>
              <w:rPr>
                <w:color w:val="auto"/>
              </w:rPr>
            </w:pPr>
            <w:r w:rsidRPr="0075797B">
              <w:rPr>
                <w:color w:val="auto"/>
                <w:sz w:val="18"/>
              </w:rPr>
              <w:t>No empirical evaluation and no methodological relevance.</w:t>
            </w:r>
          </w:p>
        </w:tc>
      </w:tr>
      <w:tr w:rsidR="0075797B" w:rsidRPr="0075797B">
        <w:trPr>
          <w:jc w:val="center"/>
        </w:trPr>
        <w:tc>
          <w:tcPr>
            <w:tcW w:w="4752" w:type="dxa"/>
          </w:tcPr>
          <w:p w:rsidR="000203FA" w:rsidRPr="0075797B" w:rsidRDefault="0075797B">
            <w:pPr>
              <w:spacing w:after="20"/>
              <w:rPr>
                <w:color w:val="auto"/>
              </w:rPr>
            </w:pPr>
            <w:r w:rsidRPr="0075797B">
              <w:rPr>
                <w:color w:val="auto"/>
                <w:sz w:val="18"/>
              </w:rPr>
              <w:t>Written in English; full text available.</w:t>
            </w:r>
          </w:p>
        </w:tc>
        <w:tc>
          <w:tcPr>
            <w:tcW w:w="4752" w:type="dxa"/>
          </w:tcPr>
          <w:p w:rsidR="000203FA" w:rsidRPr="0075797B" w:rsidRDefault="0075797B">
            <w:pPr>
              <w:spacing w:after="20"/>
              <w:rPr>
                <w:color w:val="auto"/>
              </w:rPr>
            </w:pPr>
            <w:r w:rsidRPr="0075797B">
              <w:rPr>
                <w:color w:val="auto"/>
                <w:sz w:val="18"/>
              </w:rPr>
              <w:t>Not in English, duplicate, or full text unavailable.</w:t>
            </w:r>
          </w:p>
        </w:tc>
      </w:tr>
    </w:tbl>
    <w:p w:rsidR="000203FA" w:rsidRPr="0075797B" w:rsidRDefault="0075797B">
      <w:pPr>
        <w:pStyle w:val="Heading2"/>
        <w:rPr>
          <w:color w:val="auto"/>
        </w:rPr>
      </w:pPr>
      <w:r w:rsidRPr="0075797B">
        <w:rPr>
          <w:color w:val="auto"/>
        </w:rPr>
        <w:t>2.5 Study selection (PRISMA)</w:t>
      </w:r>
    </w:p>
    <w:p w:rsidR="000203FA" w:rsidRPr="0075797B" w:rsidRDefault="0075797B">
      <w:pPr>
        <w:spacing w:after="120"/>
        <w:jc w:val="both"/>
        <w:rPr>
          <w:color w:val="auto"/>
        </w:rPr>
      </w:pPr>
      <w:r w:rsidRPr="0075797B">
        <w:rPr>
          <w:color w:val="auto"/>
        </w:rPr>
        <w:t>Applying the protocol, 420 records were identified; after de-duplication and two-stage screening, 22 studies were retained for synthesis, of which 14 were rated high-quality ‘core’ studies. The selection is shown in Figure 1.</w:t>
      </w:r>
    </w:p>
    <w:p w:rsidR="000203FA" w:rsidRPr="0075797B" w:rsidRDefault="0075797B">
      <w:pPr>
        <w:jc w:val="center"/>
        <w:rPr>
          <w:color w:val="auto"/>
        </w:rPr>
      </w:pPr>
      <w:r w:rsidRPr="0075797B">
        <w:rPr>
          <w:noProof/>
          <w:color w:val="auto"/>
        </w:rPr>
        <w:lastRenderedPageBreak/>
        <w:drawing>
          <wp:inline distT="0" distB="0" distL="0" distR="0">
            <wp:extent cx="5029200" cy="589907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isma.png"/>
                    <pic:cNvPicPr/>
                  </pic:nvPicPr>
                  <pic:blipFill>
                    <a:blip r:embed="rId6"/>
                    <a:stretch>
                      <a:fillRect/>
                    </a:stretch>
                  </pic:blipFill>
                  <pic:spPr>
                    <a:xfrm>
                      <a:off x="0" y="0"/>
                      <a:ext cx="5029200" cy="5899076"/>
                    </a:xfrm>
                    <a:prstGeom prst="rect">
                      <a:avLst/>
                    </a:prstGeom>
                  </pic:spPr>
                </pic:pic>
              </a:graphicData>
            </a:graphic>
          </wp:inline>
        </w:drawing>
      </w:r>
    </w:p>
    <w:p w:rsidR="000203FA" w:rsidRPr="0075797B" w:rsidRDefault="0075797B">
      <w:pPr>
        <w:spacing w:after="160"/>
        <w:jc w:val="center"/>
        <w:rPr>
          <w:color w:val="auto"/>
        </w:rPr>
      </w:pPr>
      <w:r w:rsidRPr="0075797B">
        <w:rPr>
          <w:i/>
          <w:color w:val="auto"/>
          <w:sz w:val="19"/>
        </w:rPr>
        <w:t>Figure 1 — PRISMA study-selection flow.</w:t>
      </w:r>
    </w:p>
    <w:p w:rsidR="000203FA" w:rsidRPr="0075797B" w:rsidRDefault="0075797B">
      <w:pPr>
        <w:pStyle w:val="Heading2"/>
        <w:rPr>
          <w:color w:val="auto"/>
        </w:rPr>
      </w:pPr>
      <w:r w:rsidRPr="0075797B">
        <w:rPr>
          <w:color w:val="auto"/>
        </w:rPr>
        <w:t>2.6 Quality assessment</w:t>
      </w:r>
    </w:p>
    <w:p w:rsidR="000203FA" w:rsidRPr="0075797B" w:rsidRDefault="0075797B">
      <w:pPr>
        <w:spacing w:after="160"/>
        <w:jc w:val="both"/>
        <w:rPr>
          <w:color w:val="auto"/>
        </w:rPr>
      </w:pPr>
      <w:r w:rsidRPr="0075797B">
        <w:rPr>
          <w:color w:val="auto"/>
        </w:rPr>
        <w:t>Each included study was scored 0/0.5/1 on four criteria — clarity of method, dataset transparency, reproducibility, and validity of the evaluation protocol (maximum 4). Studies scoring ≥ 2.5 were treated as high-quality ‘core’ evidence and form the primary basis for the synthesis; lower-scoring studies were used for context only. This step guards against over-weighting results with weak or non-reproducible evaluation.</w:t>
      </w:r>
    </w:p>
    <w:p w:rsidR="000203FA" w:rsidRPr="0075797B" w:rsidRDefault="0075797B">
      <w:pPr>
        <w:pStyle w:val="Heading2"/>
        <w:rPr>
          <w:color w:val="auto"/>
        </w:rPr>
      </w:pPr>
      <w:r w:rsidRPr="0075797B">
        <w:rPr>
          <w:color w:val="auto"/>
        </w:rPr>
        <w:t>2.7 Thematic synthesis</w:t>
      </w:r>
    </w:p>
    <w:p w:rsidR="000203FA" w:rsidRPr="0075797B" w:rsidRDefault="0075797B">
      <w:pPr>
        <w:spacing w:after="40"/>
        <w:jc w:val="both"/>
        <w:rPr>
          <w:color w:val="auto"/>
        </w:rPr>
      </w:pPr>
      <w:r w:rsidRPr="0075797B">
        <w:rPr>
          <w:b/>
          <w:color w:val="auto"/>
        </w:rPr>
        <w:t xml:space="preserve">Theme 1 — C2 techniques and evasion (RQ1).  </w:t>
      </w:r>
      <w:r w:rsidRPr="0075797B">
        <w:rPr>
          <w:color w:val="auto"/>
        </w:rPr>
        <w:t xml:space="preserve">The literature shows a clear shift toward traffic engineered to be indistinguishable from legitimate activity — malleable C2 profiles, domain fronting, </w:t>
      </w:r>
      <w:r w:rsidRPr="0075797B">
        <w:rPr>
          <w:color w:val="auto"/>
        </w:rPr>
        <w:lastRenderedPageBreak/>
        <w:t>beacon jitter, DNS tunnelling, and domain-generation algorithms. The consensus is that payload-centric, indicator-based defences degrade quickly because static artefacts are cheap for adversaries to rotate.</w:t>
      </w:r>
    </w:p>
    <w:p w:rsidR="000203FA" w:rsidRPr="0075797B" w:rsidRDefault="0075797B">
      <w:pPr>
        <w:spacing w:after="120"/>
        <w:ind w:left="432"/>
        <w:rPr>
          <w:color w:val="auto"/>
        </w:rPr>
      </w:pPr>
      <w:r w:rsidRPr="0075797B">
        <w:rPr>
          <w:i/>
          <w:color w:val="auto"/>
          <w:sz w:val="20"/>
        </w:rPr>
        <w:t>Key evidence: [7], [8], [9].</w:t>
      </w:r>
    </w:p>
    <w:p w:rsidR="000203FA" w:rsidRPr="0075797B" w:rsidRDefault="0075797B">
      <w:pPr>
        <w:spacing w:after="40"/>
        <w:jc w:val="both"/>
        <w:rPr>
          <w:color w:val="auto"/>
        </w:rPr>
      </w:pPr>
      <w:r w:rsidRPr="0075797B">
        <w:rPr>
          <w:b/>
          <w:color w:val="auto"/>
        </w:rPr>
        <w:t xml:space="preserve">Theme 2 — Signature and anomaly detection (RQ2).  </w:t>
      </w:r>
      <w:r w:rsidRPr="0075797B">
        <w:rPr>
          <w:color w:val="auto"/>
        </w:rPr>
        <w:t>Signature NIDS (Snort, Suricata) are reliable against known threats but systematically evaded by obfuscated C2; anomaly detection extends coverage but suffers the base-rate problem and high false-positive rates. The recurring gap is the absence of head-to-head, reproducible comparison on common data.</w:t>
      </w:r>
    </w:p>
    <w:p w:rsidR="000203FA" w:rsidRPr="0075797B" w:rsidRDefault="0075797B">
      <w:pPr>
        <w:spacing w:after="120"/>
        <w:ind w:left="432"/>
        <w:rPr>
          <w:color w:val="auto"/>
        </w:rPr>
      </w:pPr>
      <w:r w:rsidRPr="0075797B">
        <w:rPr>
          <w:i/>
          <w:color w:val="auto"/>
          <w:sz w:val="20"/>
        </w:rPr>
        <w:t>Key evidence: [10], [2].</w:t>
      </w:r>
    </w:p>
    <w:p w:rsidR="000203FA" w:rsidRPr="0075797B" w:rsidRDefault="0075797B">
      <w:pPr>
        <w:spacing w:after="40"/>
        <w:jc w:val="both"/>
        <w:rPr>
          <w:color w:val="auto"/>
        </w:rPr>
      </w:pPr>
      <w:r w:rsidRPr="0075797B">
        <w:rPr>
          <w:b/>
          <w:color w:val="auto"/>
        </w:rPr>
        <w:t xml:space="preserve">Theme 3 — Machine learning and encrypted-traffic analysis (RQ2, RQ3).  </w:t>
      </w:r>
      <w:r w:rsidRPr="0075797B">
        <w:rPr>
          <w:color w:val="auto"/>
        </w:rPr>
        <w:t>Classical and deep classifiers applied to flow and TLS metadata report high accuracy without decryption, but multiple authors document pervasive methodological pitfalls — data leakage, unrealistic class balance, single-dataset and non-temporal evaluation — that inflate performance and undermine generalisation.</w:t>
      </w:r>
    </w:p>
    <w:p w:rsidR="000203FA" w:rsidRPr="0075797B" w:rsidRDefault="0075797B">
      <w:pPr>
        <w:spacing w:after="120"/>
        <w:ind w:left="432"/>
        <w:rPr>
          <w:color w:val="auto"/>
        </w:rPr>
      </w:pPr>
      <w:r w:rsidRPr="0075797B">
        <w:rPr>
          <w:i/>
          <w:color w:val="auto"/>
          <w:sz w:val="20"/>
        </w:rPr>
        <w:t>Key evidence: [11], [12], [3], [13], [14].</w:t>
      </w:r>
    </w:p>
    <w:p w:rsidR="000203FA" w:rsidRPr="0075797B" w:rsidRDefault="0075797B">
      <w:pPr>
        <w:spacing w:after="40"/>
        <w:jc w:val="both"/>
        <w:rPr>
          <w:color w:val="auto"/>
        </w:rPr>
      </w:pPr>
      <w:r w:rsidRPr="0075797B">
        <w:rPr>
          <w:b/>
          <w:color w:val="auto"/>
        </w:rPr>
        <w:t xml:space="preserve">Theme 4 — Network forensics and datasets (RQ4, RQ3).  </w:t>
      </w:r>
      <w:r w:rsidRPr="0075797B">
        <w:rPr>
          <w:color w:val="auto"/>
        </w:rPr>
        <w:t>Zeek and NetworkMiner are mature for turning captures into structured, investigable artefacts, but forensic studies rarely integrate quantitative detection metrics, and much of the field relies on a single labelled corpus, reinforcing the generalisation problem.</w:t>
      </w:r>
    </w:p>
    <w:p w:rsidR="000203FA" w:rsidRPr="0075797B" w:rsidRDefault="0075797B">
      <w:pPr>
        <w:spacing w:after="120"/>
        <w:ind w:left="432"/>
        <w:rPr>
          <w:color w:val="auto"/>
        </w:rPr>
      </w:pPr>
      <w:r w:rsidRPr="0075797B">
        <w:rPr>
          <w:i/>
          <w:color w:val="auto"/>
          <w:sz w:val="20"/>
        </w:rPr>
        <w:t>Key evidence: [6], [15], [16].</w:t>
      </w:r>
    </w:p>
    <w:p w:rsidR="000203FA" w:rsidRPr="0075797B" w:rsidRDefault="0075797B">
      <w:pPr>
        <w:pStyle w:val="Heading3"/>
        <w:rPr>
          <w:color w:val="auto"/>
        </w:rPr>
      </w:pPr>
      <w:r w:rsidRPr="0075797B">
        <w:rPr>
          <w:color w:val="auto"/>
        </w:rPr>
        <w:t>Summary of core studies</w:t>
      </w:r>
    </w:p>
    <w:tbl>
      <w:tblPr>
        <w:tblStyle w:val="TableGrid"/>
        <w:tblW w:w="0" w:type="auto"/>
        <w:jc w:val="center"/>
        <w:tblLook w:val="04A0" w:firstRow="1" w:lastRow="0" w:firstColumn="1" w:lastColumn="0" w:noHBand="0" w:noVBand="1"/>
      </w:tblPr>
      <w:tblGrid>
        <w:gridCol w:w="2556"/>
        <w:gridCol w:w="788"/>
        <w:gridCol w:w="2632"/>
        <w:gridCol w:w="3600"/>
      </w:tblGrid>
      <w:tr w:rsidR="0075797B" w:rsidRPr="0075797B">
        <w:trPr>
          <w:jc w:val="center"/>
        </w:trPr>
        <w:tc>
          <w:tcPr>
            <w:tcW w:w="2664" w:type="dxa"/>
            <w:shd w:val="clear" w:color="auto" w:fill="0E7C74"/>
          </w:tcPr>
          <w:p w:rsidR="000203FA" w:rsidRPr="0075797B" w:rsidRDefault="0075797B">
            <w:pPr>
              <w:rPr>
                <w:color w:val="auto"/>
              </w:rPr>
            </w:pPr>
            <w:r w:rsidRPr="0075797B">
              <w:rPr>
                <w:b/>
                <w:color w:val="auto"/>
                <w:sz w:val="18"/>
              </w:rPr>
              <w:t>Study</w:t>
            </w:r>
          </w:p>
        </w:tc>
        <w:tc>
          <w:tcPr>
            <w:tcW w:w="792" w:type="dxa"/>
            <w:shd w:val="clear" w:color="auto" w:fill="0E7C74"/>
          </w:tcPr>
          <w:p w:rsidR="000203FA" w:rsidRPr="0075797B" w:rsidRDefault="0075797B">
            <w:pPr>
              <w:rPr>
                <w:color w:val="auto"/>
              </w:rPr>
            </w:pPr>
            <w:r w:rsidRPr="0075797B">
              <w:rPr>
                <w:b/>
                <w:color w:val="auto"/>
                <w:sz w:val="18"/>
              </w:rPr>
              <w:t>Theme</w:t>
            </w:r>
          </w:p>
        </w:tc>
        <w:tc>
          <w:tcPr>
            <w:tcW w:w="2736" w:type="dxa"/>
            <w:shd w:val="clear" w:color="auto" w:fill="0E7C74"/>
          </w:tcPr>
          <w:p w:rsidR="000203FA" w:rsidRPr="0075797B" w:rsidRDefault="0075797B">
            <w:pPr>
              <w:rPr>
                <w:color w:val="auto"/>
              </w:rPr>
            </w:pPr>
            <w:r w:rsidRPr="0075797B">
              <w:rPr>
                <w:b/>
                <w:color w:val="auto"/>
                <w:sz w:val="18"/>
              </w:rPr>
              <w:t>Focus / method</w:t>
            </w:r>
          </w:p>
        </w:tc>
        <w:tc>
          <w:tcPr>
            <w:tcW w:w="3744" w:type="dxa"/>
            <w:shd w:val="clear" w:color="auto" w:fill="0E7C74"/>
          </w:tcPr>
          <w:p w:rsidR="000203FA" w:rsidRPr="0075797B" w:rsidRDefault="0075797B">
            <w:pPr>
              <w:rPr>
                <w:color w:val="auto"/>
              </w:rPr>
            </w:pPr>
            <w:r w:rsidRPr="0075797B">
              <w:rPr>
                <w:b/>
                <w:color w:val="auto"/>
                <w:sz w:val="18"/>
              </w:rPr>
              <w:t>Contribution &amp; gap noted</w:t>
            </w:r>
          </w:p>
        </w:tc>
      </w:tr>
      <w:tr w:rsidR="0075797B" w:rsidRPr="0075797B">
        <w:trPr>
          <w:jc w:val="center"/>
        </w:trPr>
        <w:tc>
          <w:tcPr>
            <w:tcW w:w="2664" w:type="dxa"/>
          </w:tcPr>
          <w:p w:rsidR="000203FA" w:rsidRPr="0075797B" w:rsidRDefault="0075797B">
            <w:pPr>
              <w:spacing w:after="20"/>
              <w:rPr>
                <w:color w:val="auto"/>
              </w:rPr>
            </w:pPr>
            <w:proofErr w:type="spellStart"/>
            <w:r w:rsidRPr="0075797B">
              <w:rPr>
                <w:color w:val="auto"/>
                <w:sz w:val="17"/>
              </w:rPr>
              <w:t>Sommer</w:t>
            </w:r>
            <w:proofErr w:type="spellEnd"/>
            <w:r w:rsidRPr="0075797B">
              <w:rPr>
                <w:color w:val="auto"/>
                <w:sz w:val="17"/>
              </w:rPr>
              <w:t xml:space="preserve"> &amp; </w:t>
            </w:r>
            <w:proofErr w:type="spellStart"/>
            <w:r w:rsidRPr="0075797B">
              <w:rPr>
                <w:color w:val="auto"/>
                <w:sz w:val="17"/>
              </w:rPr>
              <w:t>Paxson</w:t>
            </w:r>
            <w:proofErr w:type="spellEnd"/>
            <w:r w:rsidRPr="0075797B">
              <w:rPr>
                <w:color w:val="auto"/>
                <w:sz w:val="17"/>
              </w:rPr>
              <w:t xml:space="preserve"> [2]</w:t>
            </w:r>
          </w:p>
        </w:tc>
        <w:tc>
          <w:tcPr>
            <w:tcW w:w="792" w:type="dxa"/>
          </w:tcPr>
          <w:p w:rsidR="000203FA" w:rsidRPr="0075797B" w:rsidRDefault="0075797B">
            <w:pPr>
              <w:spacing w:after="20"/>
              <w:rPr>
                <w:color w:val="auto"/>
              </w:rPr>
            </w:pPr>
            <w:r w:rsidRPr="0075797B">
              <w:rPr>
                <w:color w:val="auto"/>
                <w:sz w:val="17"/>
              </w:rPr>
              <w:t>2</w:t>
            </w:r>
          </w:p>
        </w:tc>
        <w:tc>
          <w:tcPr>
            <w:tcW w:w="2736" w:type="dxa"/>
          </w:tcPr>
          <w:p w:rsidR="000203FA" w:rsidRPr="0075797B" w:rsidRDefault="0075797B">
            <w:pPr>
              <w:spacing w:after="20"/>
              <w:rPr>
                <w:color w:val="auto"/>
              </w:rPr>
            </w:pPr>
            <w:r w:rsidRPr="0075797B">
              <w:rPr>
                <w:color w:val="auto"/>
                <w:sz w:val="17"/>
              </w:rPr>
              <w:t>Critique of ML-based NIDS</w:t>
            </w:r>
          </w:p>
        </w:tc>
        <w:tc>
          <w:tcPr>
            <w:tcW w:w="3744" w:type="dxa"/>
          </w:tcPr>
          <w:p w:rsidR="000203FA" w:rsidRPr="0075797B" w:rsidRDefault="0075797B">
            <w:pPr>
              <w:spacing w:after="20"/>
              <w:rPr>
                <w:color w:val="auto"/>
              </w:rPr>
            </w:pPr>
            <w:r w:rsidRPr="0075797B">
              <w:rPr>
                <w:color w:val="auto"/>
                <w:sz w:val="17"/>
              </w:rPr>
              <w:t>Base-rate &amp; semantic-gap limits; motivates reproducible comparison.</w:t>
            </w:r>
          </w:p>
        </w:tc>
      </w:tr>
      <w:tr w:rsidR="0075797B" w:rsidRPr="0075797B">
        <w:trPr>
          <w:jc w:val="center"/>
        </w:trPr>
        <w:tc>
          <w:tcPr>
            <w:tcW w:w="2664" w:type="dxa"/>
          </w:tcPr>
          <w:p w:rsidR="000203FA" w:rsidRPr="0075797B" w:rsidRDefault="0075797B">
            <w:pPr>
              <w:spacing w:after="20"/>
              <w:rPr>
                <w:color w:val="auto"/>
              </w:rPr>
            </w:pPr>
            <w:r w:rsidRPr="0075797B">
              <w:rPr>
                <w:color w:val="auto"/>
                <w:sz w:val="17"/>
              </w:rPr>
              <w:t>Garcia et al. [15]</w:t>
            </w:r>
          </w:p>
        </w:tc>
        <w:tc>
          <w:tcPr>
            <w:tcW w:w="792" w:type="dxa"/>
          </w:tcPr>
          <w:p w:rsidR="000203FA" w:rsidRPr="0075797B" w:rsidRDefault="0075797B">
            <w:pPr>
              <w:spacing w:after="20"/>
              <w:rPr>
                <w:color w:val="auto"/>
              </w:rPr>
            </w:pPr>
            <w:r w:rsidRPr="0075797B">
              <w:rPr>
                <w:color w:val="auto"/>
                <w:sz w:val="17"/>
              </w:rPr>
              <w:t>4</w:t>
            </w:r>
          </w:p>
        </w:tc>
        <w:tc>
          <w:tcPr>
            <w:tcW w:w="2736" w:type="dxa"/>
          </w:tcPr>
          <w:p w:rsidR="000203FA" w:rsidRPr="0075797B" w:rsidRDefault="0075797B">
            <w:pPr>
              <w:spacing w:after="20"/>
              <w:rPr>
                <w:color w:val="auto"/>
              </w:rPr>
            </w:pPr>
            <w:r w:rsidRPr="0075797B">
              <w:rPr>
                <w:color w:val="auto"/>
                <w:sz w:val="17"/>
              </w:rPr>
              <w:t>CTU-13 botnet dataset</w:t>
            </w:r>
          </w:p>
        </w:tc>
        <w:tc>
          <w:tcPr>
            <w:tcW w:w="3744" w:type="dxa"/>
          </w:tcPr>
          <w:p w:rsidR="000203FA" w:rsidRPr="0075797B" w:rsidRDefault="0075797B">
            <w:pPr>
              <w:spacing w:after="20"/>
              <w:rPr>
                <w:color w:val="auto"/>
              </w:rPr>
            </w:pPr>
            <w:r w:rsidRPr="0075797B">
              <w:rPr>
                <w:color w:val="auto"/>
                <w:sz w:val="17"/>
              </w:rPr>
              <w:t>Widely-used labelled C2 data; single-dataset reliance.</w:t>
            </w:r>
          </w:p>
        </w:tc>
      </w:tr>
      <w:tr w:rsidR="0075797B" w:rsidRPr="0075797B">
        <w:trPr>
          <w:jc w:val="center"/>
        </w:trPr>
        <w:tc>
          <w:tcPr>
            <w:tcW w:w="2664" w:type="dxa"/>
          </w:tcPr>
          <w:p w:rsidR="000203FA" w:rsidRPr="0075797B" w:rsidRDefault="0075797B">
            <w:pPr>
              <w:spacing w:after="20"/>
              <w:rPr>
                <w:color w:val="auto"/>
              </w:rPr>
            </w:pPr>
            <w:r w:rsidRPr="0075797B">
              <w:rPr>
                <w:color w:val="auto"/>
                <w:sz w:val="17"/>
              </w:rPr>
              <w:t>Anderson &amp; McGrew [11]</w:t>
            </w:r>
          </w:p>
        </w:tc>
        <w:tc>
          <w:tcPr>
            <w:tcW w:w="792" w:type="dxa"/>
          </w:tcPr>
          <w:p w:rsidR="000203FA" w:rsidRPr="0075797B" w:rsidRDefault="0075797B">
            <w:pPr>
              <w:spacing w:after="20"/>
              <w:rPr>
                <w:color w:val="auto"/>
              </w:rPr>
            </w:pPr>
            <w:r w:rsidRPr="0075797B">
              <w:rPr>
                <w:color w:val="auto"/>
                <w:sz w:val="17"/>
              </w:rPr>
              <w:t>3</w:t>
            </w:r>
          </w:p>
        </w:tc>
        <w:tc>
          <w:tcPr>
            <w:tcW w:w="2736" w:type="dxa"/>
          </w:tcPr>
          <w:p w:rsidR="000203FA" w:rsidRPr="0075797B" w:rsidRDefault="0075797B">
            <w:pPr>
              <w:spacing w:after="20"/>
              <w:rPr>
                <w:color w:val="auto"/>
              </w:rPr>
            </w:pPr>
            <w:r w:rsidRPr="0075797B">
              <w:rPr>
                <w:color w:val="auto"/>
                <w:sz w:val="17"/>
              </w:rPr>
              <w:t>Encrypted-traffic ML</w:t>
            </w:r>
          </w:p>
        </w:tc>
        <w:tc>
          <w:tcPr>
            <w:tcW w:w="3744" w:type="dxa"/>
          </w:tcPr>
          <w:p w:rsidR="000203FA" w:rsidRPr="0075797B" w:rsidRDefault="0075797B">
            <w:pPr>
              <w:spacing w:after="20"/>
              <w:rPr>
                <w:color w:val="auto"/>
              </w:rPr>
            </w:pPr>
            <w:r w:rsidRPr="0075797B">
              <w:rPr>
                <w:color w:val="auto"/>
                <w:sz w:val="17"/>
              </w:rPr>
              <w:t>Detection without decryption; generalisation untested.</w:t>
            </w:r>
          </w:p>
        </w:tc>
      </w:tr>
      <w:tr w:rsidR="0075797B" w:rsidRPr="0075797B">
        <w:trPr>
          <w:jc w:val="center"/>
        </w:trPr>
        <w:tc>
          <w:tcPr>
            <w:tcW w:w="2664" w:type="dxa"/>
          </w:tcPr>
          <w:p w:rsidR="000203FA" w:rsidRPr="0075797B" w:rsidRDefault="0075797B">
            <w:pPr>
              <w:spacing w:after="20"/>
              <w:rPr>
                <w:color w:val="auto"/>
              </w:rPr>
            </w:pPr>
            <w:proofErr w:type="spellStart"/>
            <w:r w:rsidRPr="0075797B">
              <w:rPr>
                <w:color w:val="auto"/>
                <w:sz w:val="17"/>
              </w:rPr>
              <w:t>Sharafaldin</w:t>
            </w:r>
            <w:proofErr w:type="spellEnd"/>
            <w:r w:rsidRPr="0075797B">
              <w:rPr>
                <w:color w:val="auto"/>
                <w:sz w:val="17"/>
              </w:rPr>
              <w:t xml:space="preserve"> et al. [16]</w:t>
            </w:r>
          </w:p>
        </w:tc>
        <w:tc>
          <w:tcPr>
            <w:tcW w:w="792" w:type="dxa"/>
          </w:tcPr>
          <w:p w:rsidR="000203FA" w:rsidRPr="0075797B" w:rsidRDefault="0075797B">
            <w:pPr>
              <w:spacing w:after="20"/>
              <w:rPr>
                <w:color w:val="auto"/>
              </w:rPr>
            </w:pPr>
            <w:r w:rsidRPr="0075797B">
              <w:rPr>
                <w:color w:val="auto"/>
                <w:sz w:val="17"/>
              </w:rPr>
              <w:t>4</w:t>
            </w:r>
          </w:p>
        </w:tc>
        <w:tc>
          <w:tcPr>
            <w:tcW w:w="2736" w:type="dxa"/>
          </w:tcPr>
          <w:p w:rsidR="000203FA" w:rsidRPr="0075797B" w:rsidRDefault="0075797B">
            <w:pPr>
              <w:spacing w:after="20"/>
              <w:rPr>
                <w:color w:val="auto"/>
              </w:rPr>
            </w:pPr>
            <w:r w:rsidRPr="0075797B">
              <w:rPr>
                <w:color w:val="auto"/>
                <w:sz w:val="17"/>
              </w:rPr>
              <w:t>CIC-IDS2017 dataset</w:t>
            </w:r>
          </w:p>
        </w:tc>
        <w:tc>
          <w:tcPr>
            <w:tcW w:w="3744" w:type="dxa"/>
          </w:tcPr>
          <w:p w:rsidR="000203FA" w:rsidRPr="0075797B" w:rsidRDefault="0075797B">
            <w:pPr>
              <w:spacing w:after="20"/>
              <w:rPr>
                <w:color w:val="auto"/>
              </w:rPr>
            </w:pPr>
            <w:r w:rsidRPr="0075797B">
              <w:rPr>
                <w:color w:val="auto"/>
                <w:sz w:val="17"/>
              </w:rPr>
              <w:t>Labelled botnet/infiltration; realism limits.</w:t>
            </w:r>
          </w:p>
        </w:tc>
      </w:tr>
      <w:tr w:rsidR="0075797B" w:rsidRPr="0075797B">
        <w:trPr>
          <w:jc w:val="center"/>
        </w:trPr>
        <w:tc>
          <w:tcPr>
            <w:tcW w:w="2664" w:type="dxa"/>
          </w:tcPr>
          <w:p w:rsidR="000203FA" w:rsidRPr="0075797B" w:rsidRDefault="0075797B">
            <w:pPr>
              <w:spacing w:after="20"/>
              <w:rPr>
                <w:color w:val="auto"/>
              </w:rPr>
            </w:pPr>
            <w:proofErr w:type="spellStart"/>
            <w:r w:rsidRPr="0075797B">
              <w:rPr>
                <w:color w:val="auto"/>
                <w:sz w:val="17"/>
              </w:rPr>
              <w:t>Pendlebury</w:t>
            </w:r>
            <w:proofErr w:type="spellEnd"/>
            <w:r w:rsidRPr="0075797B">
              <w:rPr>
                <w:color w:val="auto"/>
                <w:sz w:val="17"/>
              </w:rPr>
              <w:t xml:space="preserve"> et al. [14]</w:t>
            </w:r>
          </w:p>
        </w:tc>
        <w:tc>
          <w:tcPr>
            <w:tcW w:w="792" w:type="dxa"/>
          </w:tcPr>
          <w:p w:rsidR="000203FA" w:rsidRPr="0075797B" w:rsidRDefault="0075797B">
            <w:pPr>
              <w:spacing w:after="20"/>
              <w:rPr>
                <w:color w:val="auto"/>
              </w:rPr>
            </w:pPr>
            <w:r w:rsidRPr="0075797B">
              <w:rPr>
                <w:color w:val="auto"/>
                <w:sz w:val="17"/>
              </w:rPr>
              <w:t>3</w:t>
            </w:r>
          </w:p>
        </w:tc>
        <w:tc>
          <w:tcPr>
            <w:tcW w:w="2736" w:type="dxa"/>
          </w:tcPr>
          <w:p w:rsidR="000203FA" w:rsidRPr="0075797B" w:rsidRDefault="0075797B">
            <w:pPr>
              <w:spacing w:after="20"/>
              <w:rPr>
                <w:color w:val="auto"/>
              </w:rPr>
            </w:pPr>
            <w:r w:rsidRPr="0075797B">
              <w:rPr>
                <w:color w:val="auto"/>
                <w:sz w:val="17"/>
              </w:rPr>
              <w:t>Temporal experimental bias</w:t>
            </w:r>
          </w:p>
        </w:tc>
        <w:tc>
          <w:tcPr>
            <w:tcW w:w="3744" w:type="dxa"/>
          </w:tcPr>
          <w:p w:rsidR="000203FA" w:rsidRPr="0075797B" w:rsidRDefault="0075797B">
            <w:pPr>
              <w:spacing w:after="20"/>
              <w:rPr>
                <w:color w:val="auto"/>
              </w:rPr>
            </w:pPr>
            <w:r w:rsidRPr="0075797B">
              <w:rPr>
                <w:color w:val="auto"/>
                <w:sz w:val="17"/>
              </w:rPr>
              <w:t>Time-aware splits collapse inflated accuracy.</w:t>
            </w:r>
          </w:p>
        </w:tc>
      </w:tr>
      <w:tr w:rsidR="0075797B" w:rsidRPr="0075797B">
        <w:trPr>
          <w:jc w:val="center"/>
        </w:trPr>
        <w:tc>
          <w:tcPr>
            <w:tcW w:w="2664" w:type="dxa"/>
          </w:tcPr>
          <w:p w:rsidR="000203FA" w:rsidRPr="0075797B" w:rsidRDefault="0075797B">
            <w:pPr>
              <w:spacing w:after="20"/>
              <w:rPr>
                <w:color w:val="auto"/>
              </w:rPr>
            </w:pPr>
            <w:r w:rsidRPr="0075797B">
              <w:rPr>
                <w:color w:val="auto"/>
                <w:sz w:val="17"/>
              </w:rPr>
              <w:t>Arp et al. [13]</w:t>
            </w:r>
          </w:p>
        </w:tc>
        <w:tc>
          <w:tcPr>
            <w:tcW w:w="792" w:type="dxa"/>
          </w:tcPr>
          <w:p w:rsidR="000203FA" w:rsidRPr="0075797B" w:rsidRDefault="0075797B">
            <w:pPr>
              <w:spacing w:after="20"/>
              <w:rPr>
                <w:color w:val="auto"/>
              </w:rPr>
            </w:pPr>
            <w:r w:rsidRPr="0075797B">
              <w:rPr>
                <w:color w:val="auto"/>
                <w:sz w:val="17"/>
              </w:rPr>
              <w:t>3</w:t>
            </w:r>
          </w:p>
        </w:tc>
        <w:tc>
          <w:tcPr>
            <w:tcW w:w="2736" w:type="dxa"/>
          </w:tcPr>
          <w:p w:rsidR="000203FA" w:rsidRPr="0075797B" w:rsidRDefault="0075797B">
            <w:pPr>
              <w:spacing w:after="20"/>
              <w:rPr>
                <w:color w:val="auto"/>
              </w:rPr>
            </w:pPr>
            <w:r w:rsidRPr="0075797B">
              <w:rPr>
                <w:color w:val="auto"/>
                <w:sz w:val="17"/>
              </w:rPr>
              <w:t>ML security pitfalls</w:t>
            </w:r>
          </w:p>
        </w:tc>
        <w:tc>
          <w:tcPr>
            <w:tcW w:w="3744" w:type="dxa"/>
          </w:tcPr>
          <w:p w:rsidR="000203FA" w:rsidRPr="0075797B" w:rsidRDefault="0075797B">
            <w:pPr>
              <w:spacing w:after="20"/>
              <w:rPr>
                <w:color w:val="auto"/>
              </w:rPr>
            </w:pPr>
            <w:r w:rsidRPr="0075797B">
              <w:rPr>
                <w:color w:val="auto"/>
                <w:sz w:val="17"/>
              </w:rPr>
              <w:t>Catalogues leakage/eval errors; adopted as controls.</w:t>
            </w:r>
          </w:p>
        </w:tc>
      </w:tr>
      <w:tr w:rsidR="0075797B" w:rsidRPr="0075797B">
        <w:trPr>
          <w:jc w:val="center"/>
        </w:trPr>
        <w:tc>
          <w:tcPr>
            <w:tcW w:w="2664" w:type="dxa"/>
          </w:tcPr>
          <w:p w:rsidR="000203FA" w:rsidRPr="0075797B" w:rsidRDefault="0075797B">
            <w:pPr>
              <w:spacing w:after="20"/>
              <w:rPr>
                <w:color w:val="auto"/>
              </w:rPr>
            </w:pPr>
            <w:proofErr w:type="spellStart"/>
            <w:r w:rsidRPr="0075797B">
              <w:rPr>
                <w:color w:val="auto"/>
                <w:sz w:val="17"/>
              </w:rPr>
              <w:t>Apruzzese</w:t>
            </w:r>
            <w:proofErr w:type="spellEnd"/>
            <w:r w:rsidRPr="0075797B">
              <w:rPr>
                <w:color w:val="auto"/>
                <w:sz w:val="17"/>
              </w:rPr>
              <w:t xml:space="preserve"> et al. [3]</w:t>
            </w:r>
          </w:p>
        </w:tc>
        <w:tc>
          <w:tcPr>
            <w:tcW w:w="792" w:type="dxa"/>
          </w:tcPr>
          <w:p w:rsidR="000203FA" w:rsidRPr="0075797B" w:rsidRDefault="0075797B">
            <w:pPr>
              <w:spacing w:after="20"/>
              <w:rPr>
                <w:color w:val="auto"/>
              </w:rPr>
            </w:pPr>
            <w:r w:rsidRPr="0075797B">
              <w:rPr>
                <w:color w:val="auto"/>
                <w:sz w:val="17"/>
              </w:rPr>
              <w:t>3</w:t>
            </w:r>
          </w:p>
        </w:tc>
        <w:tc>
          <w:tcPr>
            <w:tcW w:w="2736" w:type="dxa"/>
          </w:tcPr>
          <w:p w:rsidR="000203FA" w:rsidRPr="0075797B" w:rsidRDefault="0075797B">
            <w:pPr>
              <w:spacing w:after="20"/>
              <w:rPr>
                <w:color w:val="auto"/>
              </w:rPr>
            </w:pPr>
            <w:r w:rsidRPr="0075797B">
              <w:rPr>
                <w:color w:val="auto"/>
                <w:sz w:val="17"/>
              </w:rPr>
              <w:t>Research–practice gap</w:t>
            </w:r>
          </w:p>
        </w:tc>
        <w:tc>
          <w:tcPr>
            <w:tcW w:w="3744" w:type="dxa"/>
          </w:tcPr>
          <w:p w:rsidR="000203FA" w:rsidRPr="0075797B" w:rsidRDefault="0075797B">
            <w:pPr>
              <w:spacing w:after="20"/>
              <w:rPr>
                <w:color w:val="auto"/>
              </w:rPr>
            </w:pPr>
            <w:r w:rsidRPr="0075797B">
              <w:rPr>
                <w:color w:val="auto"/>
                <w:sz w:val="17"/>
              </w:rPr>
              <w:t>Real-world evaluation weakness in ML security.</w:t>
            </w:r>
          </w:p>
        </w:tc>
      </w:tr>
    </w:tbl>
    <w:p w:rsidR="000203FA" w:rsidRPr="0075797B" w:rsidRDefault="0075797B">
      <w:pPr>
        <w:pStyle w:val="Heading2"/>
        <w:rPr>
          <w:color w:val="auto"/>
        </w:rPr>
      </w:pPr>
      <w:r w:rsidRPr="0075797B">
        <w:rPr>
          <w:color w:val="auto"/>
        </w:rPr>
        <w:t>2.8 Identified gaps and relation to this study</w:t>
      </w:r>
    </w:p>
    <w:p w:rsidR="000203FA" w:rsidRPr="0075797B" w:rsidRDefault="0075797B">
      <w:pPr>
        <w:spacing w:after="160"/>
        <w:jc w:val="both"/>
        <w:rPr>
          <w:color w:val="auto"/>
        </w:rPr>
      </w:pPr>
      <w:r w:rsidRPr="0075797B">
        <w:rPr>
          <w:color w:val="auto"/>
        </w:rPr>
        <w:t>The synthesis exposes two dominant, under-addressed gaps. First, weak cross-dataset generalisation: detection performance is routinely reported on a single dataset with leakage-prone protocols, so real-world robustness is unknown. Second, the detection–forensics divide: quantitative detection and defensible forensic reconstruction are studied separately. This research targets both — by benchmarking signature, anomaly, and ML detection under one reproducible, cross-dataset protocol, and by coupling detection with a documented forensic-reconstruction procedure, using only open-source tools. Its novelty is methodological rigour and integration rather than a single new algorithm.</w:t>
      </w:r>
    </w:p>
    <w:p w:rsidR="000203FA" w:rsidRPr="0075797B" w:rsidRDefault="0075797B">
      <w:pPr>
        <w:pStyle w:val="Heading1"/>
        <w:spacing w:before="280"/>
        <w:rPr>
          <w:color w:val="auto"/>
        </w:rPr>
      </w:pPr>
      <w:r w:rsidRPr="0075797B">
        <w:rPr>
          <w:color w:val="auto"/>
        </w:rPr>
        <w:lastRenderedPageBreak/>
        <w:t xml:space="preserve">3. Research Design and Methodology </w:t>
      </w:r>
    </w:p>
    <w:p w:rsidR="000203FA" w:rsidRPr="0075797B" w:rsidRDefault="0075797B">
      <w:pPr>
        <w:pStyle w:val="Heading2"/>
        <w:rPr>
          <w:color w:val="auto"/>
        </w:rPr>
      </w:pPr>
      <w:r w:rsidRPr="0075797B">
        <w:rPr>
          <w:color w:val="auto"/>
        </w:rPr>
        <w:t xml:space="preserve">3.1 Research Design </w:t>
      </w:r>
    </w:p>
    <w:p w:rsidR="000203FA" w:rsidRPr="0075797B" w:rsidRDefault="0075797B">
      <w:pPr>
        <w:spacing w:after="160"/>
        <w:jc w:val="both"/>
        <w:rPr>
          <w:color w:val="auto"/>
        </w:rPr>
      </w:pPr>
      <w:r w:rsidRPr="0075797B">
        <w:rPr>
          <w:color w:val="auto"/>
        </w:rPr>
        <w:t>The overall research approach combines Design Science Research (DSR) with controlled experimentation. DSR is appropriate because the primary output is a designed artefact — the detection-and-forensics pipeline — developed and evaluated iteratively against defined objectives [17]. Within the DSR evaluation stage, a quantitative experimental strategy is used to compare detection approaches under controlled, repeatable conditions. This pairing is justified by the research aim: building an artefact calls for a design-oriented methodology, while objectively comparing detection methods and testing generalisation calls for experiments with measurable variables. Purely theoretical analysis was rejected because the research question is empirical, and a survey-only approach was rejected because it cannot produce or validate the artefact. The design follows the DSR cycle: problem identification (Sections 1–2), objective definition, design and development of the pipeline, demonstration on the testbed and datasets, evaluation against metrics, and communication of findings.</w:t>
      </w:r>
    </w:p>
    <w:p w:rsidR="000203FA" w:rsidRPr="0075797B" w:rsidRDefault="0075797B">
      <w:pPr>
        <w:spacing w:after="160"/>
        <w:jc w:val="both"/>
        <w:rPr>
          <w:color w:val="auto"/>
        </w:rPr>
      </w:pPr>
      <w:r w:rsidRPr="0075797B">
        <w:rPr>
          <w:color w:val="auto"/>
        </w:rPr>
        <w:t>Two design iterations are planned. The first establishes baselines: signature detection with default rules and classifiers trained and tested within a single dataset. The second hardens the evaluation by introducing cross-dataset and time-ordered testing, class-imbalance handling, and the forensic-reconstruction stage. Comparing the two iterations makes the effect of rigorous evaluation explicit and demonstrates, rather than merely asserts, why in-dataset metrics can mislead. Each iteration concludes with a documented evaluation against the objectives in Section 1.3, so that the artefact’s development is traceable and the study’s claims are tied to measured evidence.</w:t>
      </w:r>
    </w:p>
    <w:p w:rsidR="000203FA" w:rsidRPr="0075797B" w:rsidRDefault="0075797B">
      <w:pPr>
        <w:pStyle w:val="Heading2"/>
        <w:rPr>
          <w:color w:val="auto"/>
        </w:rPr>
      </w:pPr>
      <w:r w:rsidRPr="0075797B">
        <w:rPr>
          <w:color w:val="auto"/>
        </w:rPr>
        <w:t>3.2 Research Methods and Materials</w:t>
      </w:r>
    </w:p>
    <w:p w:rsidR="000203FA" w:rsidRPr="0075797B" w:rsidRDefault="0075797B">
      <w:pPr>
        <w:pStyle w:val="Heading3"/>
        <w:rPr>
          <w:color w:val="auto"/>
        </w:rPr>
      </w:pPr>
      <w:r w:rsidRPr="0075797B">
        <w:rPr>
          <w:color w:val="auto"/>
        </w:rPr>
        <w:t xml:space="preserve">Methods </w:t>
      </w:r>
    </w:p>
    <w:p w:rsidR="000203FA" w:rsidRPr="0075797B" w:rsidRDefault="0075797B">
      <w:pPr>
        <w:spacing w:after="160"/>
        <w:jc w:val="both"/>
        <w:rPr>
          <w:color w:val="auto"/>
        </w:rPr>
      </w:pPr>
      <w:r w:rsidRPr="0075797B">
        <w:rPr>
          <w:b/>
          <w:color w:val="auto"/>
        </w:rPr>
        <w:t xml:space="preserve">Overview and justification. </w:t>
      </w:r>
      <w:r w:rsidRPr="0075797B">
        <w:rPr>
          <w:color w:val="auto"/>
        </w:rPr>
        <w:t>The study uses a predominantly quantitative method, appropriate because detection performance is measured through numeric metrics on labelled data, enabling objective, statistically defensible comparison. A small qualitative element supports the forensic reconstruction, where the completeness and defensibility of recovered artefacts are assessed against a documented procedure rather than a single number, making the design effectively mixed-methods with a quantitative core.</w:t>
      </w:r>
    </w:p>
    <w:p w:rsidR="000203FA" w:rsidRPr="0075797B" w:rsidRDefault="0075797B">
      <w:pPr>
        <w:spacing w:after="160"/>
        <w:jc w:val="both"/>
        <w:rPr>
          <w:color w:val="auto"/>
        </w:rPr>
      </w:pPr>
      <w:r w:rsidRPr="0075797B">
        <w:rPr>
          <w:b/>
          <w:color w:val="auto"/>
        </w:rPr>
        <w:t xml:space="preserve">Research strategy. </w:t>
      </w:r>
      <w:r w:rsidRPr="0075797B">
        <w:rPr>
          <w:color w:val="auto"/>
        </w:rPr>
        <w:t>The strategy is controlled experiment combined with software development. Detection is treated as a classification experiment: the independent variable is the detection approach (signature, anomaly, machine learning) and the dependent variables are the evaluation metrics; datasets are held constant across approaches, and cross-dataset runs (train on one, test on another) isolate generalisation. The software-development element covers building the pipeline and the forensic tooling. This strategy is appropriate because it provides internal validity through control and external validity through cross-dataset testing.</w:t>
      </w:r>
    </w:p>
    <w:p w:rsidR="000203FA" w:rsidRPr="0075797B" w:rsidRDefault="0075797B">
      <w:pPr>
        <w:spacing w:after="160"/>
        <w:jc w:val="both"/>
        <w:rPr>
          <w:color w:val="auto"/>
        </w:rPr>
      </w:pPr>
      <w:r w:rsidRPr="0075797B">
        <w:rPr>
          <w:b/>
          <w:color w:val="auto"/>
        </w:rPr>
        <w:t xml:space="preserve">System architecture. </w:t>
      </w:r>
      <w:r w:rsidRPr="0075797B">
        <w:rPr>
          <w:color w:val="auto"/>
        </w:rPr>
        <w:t xml:space="preserve">The pipeline is organised into four stages. (1) Capture/ingest: PCAPs are captured in the VirtualBox testbed or imported from public datasets. (2) Feature extraction: Zeek generates connection, DNS, and TLS logs, from which flow-based features (durations, byte and packet counts, </w:t>
      </w:r>
      <w:r w:rsidRPr="0075797B">
        <w:rPr>
          <w:color w:val="auto"/>
        </w:rPr>
        <w:lastRenderedPageBreak/>
        <w:t>inter-arrival times, periodicity/beaconing scores, DNS entropy) are computed. (3) Detection: Suricata applies signature rules in parallel with an anomaly module and supervised classifiers (Random Forest, XGBoost, and a baseline neural network) implemented in Python (scikit-learn). (4) Forensics: flagged flows are reconstructed with Zeek logs and NetworkMiner to rebuild the C2 timeline and extract artefacts. Each stage is scripted for reproducibility.</w:t>
      </w:r>
    </w:p>
    <w:p w:rsidR="000203FA" w:rsidRPr="0075797B" w:rsidRDefault="0075797B">
      <w:pPr>
        <w:spacing w:after="160"/>
        <w:jc w:val="both"/>
        <w:rPr>
          <w:color w:val="auto"/>
        </w:rPr>
      </w:pPr>
      <w:r w:rsidRPr="0075797B">
        <w:rPr>
          <w:b/>
          <w:color w:val="auto"/>
        </w:rPr>
        <w:t xml:space="preserve">Data analysis and evaluation. </w:t>
      </w:r>
      <w:r w:rsidRPr="0075797B">
        <w:rPr>
          <w:color w:val="auto"/>
        </w:rPr>
        <w:t>Detection is evaluated using accuracy, precision, recall, F1-score, false-positive rate, and ROC-AUC, reported with stratified k-fold cross-validation and confusion matrices; class imbalance is handled with appropriate resampling and class weighting, and results are compared both within and across datasets to quantify generalisation. Forensic output is evaluated qualitatively against a checklist of reconstructed artefacts (C2 endpoints, session timeline, beaconing interval, exfiltration evidence) and the repeatability of the documented procedure.</w:t>
      </w:r>
    </w:p>
    <w:p w:rsidR="000203FA" w:rsidRPr="0075797B" w:rsidRDefault="0075797B">
      <w:pPr>
        <w:spacing w:after="160"/>
        <w:jc w:val="both"/>
        <w:rPr>
          <w:color w:val="auto"/>
        </w:rPr>
      </w:pPr>
      <w:r w:rsidRPr="0075797B">
        <w:rPr>
          <w:b/>
          <w:color w:val="auto"/>
        </w:rPr>
        <w:t xml:space="preserve">Feature design. </w:t>
      </w:r>
      <w:r w:rsidRPr="0075797B">
        <w:rPr>
          <w:color w:val="auto"/>
        </w:rPr>
        <w:t>The feature set is deliberately behavioural rather than payload-dependent, so that it remains effective against encrypted C2. Per-flow features include connection duration, total and directional byte and packet counts, the ratio of client-to-server volume, mean and variance of inter-arrival times, and a periodicity score computed via autocorrelation of packet timestamps to capture beaconing even under jitter. DNS-oriented features include query length, character entropy, the count of unique subdomains per second-level domain, and the NXDOMAIN ratio, which together flag tunnelling and DGA behaviour. TLS features are limited to handshake metadata (cipher suites, certificate validity, and JA3/JA3S fingerprints) so that no decryption is required. This design operationalises the literature’s finding that the shape of communication is harder for an adversary to disguise than its content.</w:t>
      </w:r>
    </w:p>
    <w:p w:rsidR="000203FA" w:rsidRPr="0075797B" w:rsidRDefault="0075797B">
      <w:pPr>
        <w:spacing w:after="160"/>
        <w:jc w:val="both"/>
        <w:rPr>
          <w:color w:val="auto"/>
        </w:rPr>
      </w:pPr>
      <w:r w:rsidRPr="0075797B">
        <w:rPr>
          <w:b/>
          <w:color w:val="auto"/>
        </w:rPr>
        <w:t xml:space="preserve">Validity and reliability. </w:t>
      </w:r>
      <w:r w:rsidRPr="0075797B">
        <w:rPr>
          <w:color w:val="auto"/>
        </w:rPr>
        <w:t>Internal validity is protected by holding datasets and features constant while varying only the detection approach; reliability is supported by scripting every stage so runs are deterministic and repeatable. External validity is addressed through cross-dataset and time-ordered evaluation, following the cautions of Sommer and Paxson [2], Arp et al. [13], and Pendlebury et al. [14]. Threats to validity — dataset age, imperfect labels, and limited testbed diversity — are documented transparently and treated as limitations rather than concealed, and no metric is reported without its evaluation protocol.</w:t>
      </w:r>
    </w:p>
    <w:p w:rsidR="000203FA" w:rsidRPr="0075797B" w:rsidRDefault="0075797B">
      <w:pPr>
        <w:pStyle w:val="Heading3"/>
        <w:rPr>
          <w:color w:val="auto"/>
        </w:rPr>
      </w:pPr>
      <w:r w:rsidRPr="0075797B">
        <w:rPr>
          <w:color w:val="auto"/>
        </w:rPr>
        <w:t xml:space="preserve">Materials </w:t>
      </w:r>
    </w:p>
    <w:p w:rsidR="000203FA" w:rsidRPr="0075797B" w:rsidRDefault="0075797B">
      <w:pPr>
        <w:spacing w:after="160"/>
        <w:jc w:val="both"/>
        <w:rPr>
          <w:color w:val="auto"/>
        </w:rPr>
      </w:pPr>
      <w:r w:rsidRPr="0075797B">
        <w:rPr>
          <w:b/>
          <w:color w:val="auto"/>
        </w:rPr>
        <w:t xml:space="preserve">Research data sources. </w:t>
      </w:r>
      <w:r w:rsidRPr="0075797B">
        <w:rPr>
          <w:color w:val="auto"/>
        </w:rPr>
        <w:t>The study uses three public, labelled datasets: CTU-13 [15], which contains real botnet C2 traffic mixed with normal and background traffic; CIC-IDS2017 [16], which includes labelled botnet and infiltration scenarios; and CIC-IoT-2023 for IoT-scale attack traffic. Additional benign and controlled C2 traffic is generated in the isolated testbed to supplement the public data.</w:t>
      </w:r>
    </w:p>
    <w:p w:rsidR="000203FA" w:rsidRPr="0075797B" w:rsidRDefault="0075797B">
      <w:pPr>
        <w:spacing w:after="160"/>
        <w:jc w:val="both"/>
        <w:rPr>
          <w:color w:val="auto"/>
        </w:rPr>
      </w:pPr>
      <w:r w:rsidRPr="0075797B">
        <w:rPr>
          <w:b/>
          <w:color w:val="auto"/>
        </w:rPr>
        <w:t xml:space="preserve">Collection method and justification. </w:t>
      </w:r>
      <w:r w:rsidRPr="0075797B">
        <w:rPr>
          <w:color w:val="auto"/>
        </w:rPr>
        <w:t>Public datasets are downloaded from their official academic repositories; testbed traffic is captured with tcpdump/Wireshark on a mirrored virtual interface. These sources are appropriate because they are labelled, widely cited (enabling comparison with prior work), and freely available for research, while the testbed fills gaps for specific modern C2 behaviours not represented in older datasets.</w:t>
      </w:r>
    </w:p>
    <w:p w:rsidR="000203FA" w:rsidRPr="0075797B" w:rsidRDefault="0075797B">
      <w:pPr>
        <w:spacing w:after="160"/>
        <w:jc w:val="both"/>
        <w:rPr>
          <w:color w:val="auto"/>
        </w:rPr>
      </w:pPr>
      <w:r w:rsidRPr="0075797B">
        <w:rPr>
          <w:b/>
          <w:color w:val="auto"/>
        </w:rPr>
        <w:lastRenderedPageBreak/>
        <w:t xml:space="preserve">Ethical considerations related to data. </w:t>
      </w:r>
      <w:r w:rsidRPr="0075797B">
        <w:rPr>
          <w:color w:val="auto"/>
        </w:rPr>
        <w:t>All datasets are used under their academic/research licences and contain no personal data requiring consent; any IP addresses are treated as non-personal network identifiers and are not used to identify individuals. All C2 traffic generation is performed exclusively inside an isolated, host-only virtual network with no route to external systems, ensuring no live malware escapes and no third party is affected. The study is defensive in purpose; no attack is conducted against any system the researcher does not own. A completed ethics form accompanies this proposal (Appendix A).</w:t>
      </w:r>
    </w:p>
    <w:p w:rsidR="000203FA" w:rsidRPr="0075797B" w:rsidRDefault="0075797B">
      <w:pPr>
        <w:pStyle w:val="Heading3"/>
        <w:rPr>
          <w:color w:val="auto"/>
        </w:rPr>
      </w:pPr>
      <w:r w:rsidRPr="0075797B">
        <w:rPr>
          <w:color w:val="auto"/>
        </w:rPr>
        <w:t>Software</w:t>
      </w:r>
    </w:p>
    <w:p w:rsidR="000203FA" w:rsidRPr="0075797B" w:rsidRDefault="0075797B">
      <w:pPr>
        <w:pStyle w:val="ListBullet"/>
        <w:spacing w:after="60"/>
        <w:jc w:val="both"/>
        <w:rPr>
          <w:color w:val="auto"/>
        </w:rPr>
      </w:pPr>
      <w:r w:rsidRPr="0075797B">
        <w:rPr>
          <w:b/>
          <w:color w:val="auto"/>
        </w:rPr>
        <w:t xml:space="preserve">Wireshark &amp; tcpdump — </w:t>
      </w:r>
      <w:r w:rsidRPr="0075797B">
        <w:rPr>
          <w:color w:val="auto"/>
        </w:rPr>
        <w:t>packet capture and inspection.</w:t>
      </w:r>
    </w:p>
    <w:p w:rsidR="000203FA" w:rsidRPr="0075797B" w:rsidRDefault="0075797B">
      <w:pPr>
        <w:pStyle w:val="ListBullet"/>
        <w:spacing w:after="60"/>
        <w:jc w:val="both"/>
        <w:rPr>
          <w:color w:val="auto"/>
        </w:rPr>
      </w:pPr>
      <w:r w:rsidRPr="0075797B">
        <w:rPr>
          <w:b/>
          <w:color w:val="auto"/>
        </w:rPr>
        <w:t xml:space="preserve">Zeek — </w:t>
      </w:r>
      <w:r w:rsidRPr="0075797B">
        <w:rPr>
          <w:color w:val="auto"/>
        </w:rPr>
        <w:t>network-security monitoring and log/feature generation.</w:t>
      </w:r>
    </w:p>
    <w:p w:rsidR="000203FA" w:rsidRPr="0075797B" w:rsidRDefault="0075797B">
      <w:pPr>
        <w:pStyle w:val="ListBullet"/>
        <w:spacing w:after="60"/>
        <w:jc w:val="both"/>
        <w:rPr>
          <w:color w:val="auto"/>
        </w:rPr>
      </w:pPr>
      <w:r w:rsidRPr="0075797B">
        <w:rPr>
          <w:b/>
          <w:color w:val="auto"/>
        </w:rPr>
        <w:t xml:space="preserve">Suricata — </w:t>
      </w:r>
      <w:r w:rsidRPr="0075797B">
        <w:rPr>
          <w:color w:val="auto"/>
        </w:rPr>
        <w:t>signature-based intrusion detection with community rulesets.</w:t>
      </w:r>
    </w:p>
    <w:p w:rsidR="000203FA" w:rsidRPr="0075797B" w:rsidRDefault="0075797B">
      <w:pPr>
        <w:pStyle w:val="ListBullet"/>
        <w:spacing w:after="60"/>
        <w:jc w:val="both"/>
        <w:rPr>
          <w:color w:val="auto"/>
        </w:rPr>
      </w:pPr>
      <w:r w:rsidRPr="0075797B">
        <w:rPr>
          <w:b/>
          <w:color w:val="auto"/>
        </w:rPr>
        <w:t xml:space="preserve">NetworkMiner — </w:t>
      </w:r>
      <w:r w:rsidRPr="0075797B">
        <w:rPr>
          <w:color w:val="auto"/>
        </w:rPr>
        <w:t>network-forensic artefact and session reconstruction.</w:t>
      </w:r>
    </w:p>
    <w:p w:rsidR="000203FA" w:rsidRPr="0075797B" w:rsidRDefault="0075797B">
      <w:pPr>
        <w:pStyle w:val="ListBullet"/>
        <w:spacing w:after="60"/>
        <w:jc w:val="both"/>
        <w:rPr>
          <w:color w:val="auto"/>
        </w:rPr>
      </w:pPr>
      <w:r w:rsidRPr="0075797B">
        <w:rPr>
          <w:b/>
          <w:color w:val="auto"/>
        </w:rPr>
        <w:t xml:space="preserve">VirtualBox — </w:t>
      </w:r>
      <w:r w:rsidRPr="0075797B">
        <w:rPr>
          <w:color w:val="auto"/>
        </w:rPr>
        <w:t>isolated virtual testbed and network segmentation.</w:t>
      </w:r>
    </w:p>
    <w:p w:rsidR="000203FA" w:rsidRPr="0075797B" w:rsidRDefault="0075797B">
      <w:pPr>
        <w:pStyle w:val="ListBullet"/>
        <w:spacing w:after="60"/>
        <w:jc w:val="both"/>
        <w:rPr>
          <w:color w:val="auto"/>
        </w:rPr>
      </w:pPr>
      <w:r w:rsidRPr="0075797B">
        <w:rPr>
          <w:b/>
          <w:color w:val="auto"/>
        </w:rPr>
        <w:t xml:space="preserve">Python 3 (scikit-learn, pandas, NumPy) — </w:t>
      </w:r>
      <w:r w:rsidRPr="0075797B">
        <w:rPr>
          <w:color w:val="auto"/>
        </w:rPr>
        <w:t>feature engineering and machine-learning models; Matplotlib for visualisation.</w:t>
      </w:r>
    </w:p>
    <w:p w:rsidR="000203FA" w:rsidRPr="0075797B" w:rsidRDefault="0075797B">
      <w:pPr>
        <w:spacing w:after="120"/>
        <w:jc w:val="both"/>
        <w:rPr>
          <w:color w:val="auto"/>
        </w:rPr>
      </w:pPr>
      <w:r w:rsidRPr="0075797B">
        <w:rPr>
          <w:b/>
          <w:color w:val="auto"/>
        </w:rPr>
        <w:t xml:space="preserve">Hardware requirements. </w:t>
      </w:r>
      <w:r w:rsidRPr="0075797B">
        <w:rPr>
          <w:color w:val="auto"/>
        </w:rPr>
        <w:t>The work runs on a standard workstation (8–16 GB RAM, quad-core CPU, ~100 GB free disk for datasets and captures). No GPU, paid cloud, or server hardware is required; deep-learning baselines are deliberately kept small so they train on CPU, keeping the project within a zero-cost budget.</w:t>
      </w:r>
    </w:p>
    <w:p w:rsidR="000203FA" w:rsidRPr="0075797B" w:rsidRDefault="0075797B">
      <w:pPr>
        <w:pStyle w:val="Heading1"/>
        <w:spacing w:before="280"/>
        <w:rPr>
          <w:color w:val="auto"/>
        </w:rPr>
      </w:pPr>
      <w:r w:rsidRPr="0075797B">
        <w:rPr>
          <w:color w:val="auto"/>
        </w:rPr>
        <w:t xml:space="preserve">4. Expected Outcome </w:t>
      </w:r>
    </w:p>
    <w:p w:rsidR="000203FA" w:rsidRPr="0075797B" w:rsidRDefault="0075797B">
      <w:pPr>
        <w:spacing w:after="160"/>
        <w:jc w:val="both"/>
        <w:rPr>
          <w:color w:val="auto"/>
        </w:rPr>
      </w:pPr>
      <w:r w:rsidRPr="0075797B">
        <w:rPr>
          <w:b/>
          <w:color w:val="auto"/>
        </w:rPr>
        <w:t xml:space="preserve">Anticipated results. </w:t>
      </w:r>
      <w:r w:rsidRPr="0075797B">
        <w:rPr>
          <w:color w:val="auto"/>
        </w:rPr>
        <w:t>It is anticipated that signature-based detection will achieve high precision but low recall against encrypted and malleable C2, that machine-learning classifiers on flow/TLS metadata will achieve the best in-dataset performance, and — critically — that all approaches will show a measurable performance drop under cross-dataset testing, quantifying the generalisation gap identified in the literature. The forensic stage is expected to reconstruct C2 endpoints, beaconing intervals, and session timelines from packet captures using open-source tools alone.</w:t>
      </w:r>
    </w:p>
    <w:p w:rsidR="000203FA" w:rsidRPr="0075797B" w:rsidRDefault="0075797B">
      <w:pPr>
        <w:spacing w:after="160"/>
        <w:jc w:val="both"/>
        <w:rPr>
          <w:color w:val="auto"/>
        </w:rPr>
      </w:pPr>
      <w:r w:rsidRPr="0075797B">
        <w:rPr>
          <w:b/>
          <w:color w:val="auto"/>
        </w:rPr>
        <w:t xml:space="preserve">Implications. </w:t>
      </w:r>
      <w:r w:rsidRPr="0075797B">
        <w:rPr>
          <w:color w:val="auto"/>
        </w:rPr>
        <w:t>Confirming a generalisation gap would provide empirical weight to methodological critiques of machine-learning-based intrusion detection and argue for layered detection rather than reliance on a single classifier. Demonstrating integrated detection-plus-forensics would offer incident responders a practical, reproducible workflow and contribute a low-cost teaching and research platform to the community.</w:t>
      </w:r>
    </w:p>
    <w:p w:rsidR="000203FA" w:rsidRPr="0075797B" w:rsidRDefault="0075797B">
      <w:pPr>
        <w:spacing w:after="160"/>
        <w:jc w:val="both"/>
        <w:rPr>
          <w:color w:val="auto"/>
        </w:rPr>
      </w:pPr>
      <w:r w:rsidRPr="0075797B">
        <w:rPr>
          <w:b/>
          <w:color w:val="auto"/>
        </w:rPr>
        <w:t xml:space="preserve">Limitations. </w:t>
      </w:r>
      <w:r w:rsidRPr="0075797B">
        <w:rPr>
          <w:color w:val="auto"/>
        </w:rPr>
        <w:t>Anticipated limitations include the age and labelling imperfections of public datasets, the difficulty of fully representing bespoke nation-state C2 in a small testbed, the inability to inspect encrypted payloads (mitigated by metadata analysis), and constraints on generalising laboratory findings to production networks. These are acknowledged and, where possible, mitigated through cross-dataset validation and transparent reporting.</w:t>
      </w:r>
    </w:p>
    <w:p w:rsidR="000203FA" w:rsidRPr="0075797B" w:rsidRDefault="0075797B">
      <w:pPr>
        <w:spacing w:after="160"/>
        <w:jc w:val="both"/>
        <w:rPr>
          <w:color w:val="auto"/>
        </w:rPr>
      </w:pPr>
      <w:r w:rsidRPr="0075797B">
        <w:rPr>
          <w:color w:val="auto"/>
        </w:rPr>
        <w:t xml:space="preserve">Beyond these headline expectations, the study anticipates concrete, reusable deliverables that outlast the experiment itself: a labelled and documented feature set for beaconing, DNS tunnelling, and encrypted-C2 detection; a set of reproducible analysis scripts and Zeek configurations; a benchmark </w:t>
      </w:r>
      <w:r w:rsidRPr="0075797B">
        <w:rPr>
          <w:color w:val="auto"/>
        </w:rPr>
        <w:lastRenderedPageBreak/>
        <w:t>table comparing the three detection approaches within and across datasets; and a step-by-step forensic playbook mapping recovered artefacts to the MITRE ATT&amp;CK C2 tactic. If, contrary to expectation, machine-learning detection generalises well across datasets, that too is a meaningful result — it would identify which feature families transfer and would strengthen the case for behavioural detection in operational settings. The research is therefore designed so that either outcome yields a defensible contribution.</w:t>
      </w:r>
    </w:p>
    <w:p w:rsidR="000203FA" w:rsidRPr="0075797B" w:rsidRDefault="000203FA">
      <w:pPr>
        <w:spacing w:after="80"/>
        <w:jc w:val="both"/>
        <w:rPr>
          <w:color w:val="auto"/>
        </w:rPr>
      </w:pPr>
    </w:p>
    <w:p w:rsidR="000203FA" w:rsidRPr="0075797B" w:rsidRDefault="0075797B">
      <w:pPr>
        <w:pStyle w:val="Heading1"/>
        <w:spacing w:before="280"/>
        <w:rPr>
          <w:color w:val="auto"/>
        </w:rPr>
      </w:pPr>
      <w:r w:rsidRPr="0075797B">
        <w:rPr>
          <w:color w:val="auto"/>
        </w:rPr>
        <w:t>References</w:t>
      </w:r>
    </w:p>
    <w:p w:rsidR="000203FA" w:rsidRPr="0075797B" w:rsidRDefault="0075797B">
      <w:pPr>
        <w:spacing w:after="120"/>
        <w:ind w:left="648" w:hanging="648"/>
        <w:jc w:val="both"/>
        <w:rPr>
          <w:color w:val="auto"/>
        </w:rPr>
      </w:pPr>
      <w:r w:rsidRPr="0075797B">
        <w:rPr>
          <w:color w:val="auto"/>
          <w:sz w:val="21"/>
        </w:rPr>
        <w:t xml:space="preserve"> [1] A. Aldweesh, A. Derhab, and A. Z. Emam, “Deep learning approaches for anomaly-based intrusion detection systems: A survey, taxonomy, and open issues,” Knowledge-Based Systems, vol. 189, art. no. 105124, 2020.</w:t>
      </w:r>
    </w:p>
    <w:p w:rsidR="000203FA" w:rsidRPr="0075797B" w:rsidRDefault="0075797B">
      <w:pPr>
        <w:spacing w:after="120"/>
        <w:ind w:left="648" w:hanging="648"/>
        <w:jc w:val="both"/>
        <w:rPr>
          <w:color w:val="auto"/>
        </w:rPr>
      </w:pPr>
      <w:r w:rsidRPr="0075797B">
        <w:rPr>
          <w:color w:val="auto"/>
          <w:sz w:val="21"/>
        </w:rPr>
        <w:t>[2] R. Sommer and V. Paxson, “Outside the closed world: On using machine learning for network intrusion detection,” in Proc. IEEE Symp. Security and Privacy, 2010, pp. 305–316.</w:t>
      </w:r>
    </w:p>
    <w:p w:rsidR="000203FA" w:rsidRPr="0075797B" w:rsidRDefault="0075797B">
      <w:pPr>
        <w:spacing w:after="120"/>
        <w:ind w:left="648" w:hanging="648"/>
        <w:jc w:val="both"/>
        <w:rPr>
          <w:color w:val="auto"/>
        </w:rPr>
      </w:pPr>
      <w:r w:rsidRPr="0075797B">
        <w:rPr>
          <w:color w:val="auto"/>
          <w:sz w:val="21"/>
        </w:rPr>
        <w:t>[3] G. Apruzzese, H. S. Anderson, S. Dambra, D. Freeman, F. Pierazzi, and K. Roundy, “‘Real attackers don’t compute gradients’: Bridging the gap between adversarial ML research and practice,” in Proc. IEEE Conf. Secure and Trustworthy Machine Learning (SaTML), 2023, pp. 339–364.</w:t>
      </w:r>
    </w:p>
    <w:p w:rsidR="000203FA" w:rsidRPr="0075797B" w:rsidRDefault="0075797B">
      <w:pPr>
        <w:spacing w:after="120"/>
        <w:ind w:left="648" w:hanging="648"/>
        <w:jc w:val="both"/>
        <w:rPr>
          <w:color w:val="auto"/>
        </w:rPr>
      </w:pPr>
      <w:r w:rsidRPr="0075797B">
        <w:rPr>
          <w:color w:val="auto"/>
          <w:sz w:val="21"/>
        </w:rPr>
        <w:t>[4] B. Kitchenham and S. Charters, “Guidelines for performing systematic literature reviews in software engineering,” Keele Univ. and Durham Univ., EBSE Tech. Rep. EBSE-2007-01, 2007.</w:t>
      </w:r>
    </w:p>
    <w:p w:rsidR="000203FA" w:rsidRPr="0075797B" w:rsidRDefault="0075797B">
      <w:pPr>
        <w:spacing w:after="120"/>
        <w:ind w:left="648" w:hanging="648"/>
        <w:jc w:val="both"/>
        <w:rPr>
          <w:color w:val="auto"/>
        </w:rPr>
      </w:pPr>
      <w:r w:rsidRPr="0075797B">
        <w:rPr>
          <w:color w:val="auto"/>
          <w:sz w:val="21"/>
        </w:rPr>
        <w:t>[5] M. J. Page et al., “The PRISMA 2020 statement: An updated guideline for reporting systematic reviews,” BMJ, vol. 372, art. no. n71, 2021.</w:t>
      </w:r>
    </w:p>
    <w:p w:rsidR="000203FA" w:rsidRPr="0075797B" w:rsidRDefault="0075797B">
      <w:pPr>
        <w:spacing w:after="120"/>
        <w:ind w:left="648" w:hanging="648"/>
        <w:jc w:val="both"/>
        <w:rPr>
          <w:color w:val="auto"/>
        </w:rPr>
      </w:pPr>
      <w:r w:rsidRPr="0075797B">
        <w:rPr>
          <w:color w:val="auto"/>
          <w:sz w:val="21"/>
        </w:rPr>
        <w:t>[6] V. Paxson, “Bro: A system for detecting network intruders in real-time,” Computer Networks, vol. 31, no. 23–24, pp. 2435–2463, 1999.</w:t>
      </w:r>
    </w:p>
    <w:p w:rsidR="000203FA" w:rsidRPr="0075797B" w:rsidRDefault="0075797B">
      <w:pPr>
        <w:spacing w:after="120"/>
        <w:ind w:left="648" w:hanging="648"/>
        <w:jc w:val="both"/>
        <w:rPr>
          <w:color w:val="auto"/>
        </w:rPr>
      </w:pPr>
      <w:r w:rsidRPr="0075797B">
        <w:rPr>
          <w:color w:val="auto"/>
          <w:sz w:val="21"/>
        </w:rPr>
        <w:t>[7] B. E. Strom, A. Applebaum, D. P. Miller, K. C. Nickels, A. G. Pennington, and C. B. Thomas, MITRE ATT&amp;CK: Design and Philosophy. McLean, VA, USA: The MITRE Corporation, 2018.</w:t>
      </w:r>
    </w:p>
    <w:p w:rsidR="000203FA" w:rsidRPr="0075797B" w:rsidRDefault="0075797B">
      <w:pPr>
        <w:spacing w:after="120"/>
        <w:ind w:left="648" w:hanging="648"/>
        <w:jc w:val="both"/>
        <w:rPr>
          <w:color w:val="auto"/>
        </w:rPr>
      </w:pPr>
      <w:r w:rsidRPr="0075797B">
        <w:rPr>
          <w:color w:val="auto"/>
          <w:sz w:val="21"/>
        </w:rPr>
        <w:t>[8] A. Nadler, A. Aminov, and A. Shabtai, “Detection of malicious and low-throughput data exfiltration over the DNS protocol,” Computers &amp; Security, vol. 80, pp. 36–53, 2019.</w:t>
      </w:r>
    </w:p>
    <w:p w:rsidR="000203FA" w:rsidRPr="0075797B" w:rsidRDefault="0075797B">
      <w:pPr>
        <w:spacing w:after="120"/>
        <w:ind w:left="648" w:hanging="648"/>
        <w:jc w:val="both"/>
        <w:rPr>
          <w:color w:val="auto"/>
        </w:rPr>
      </w:pPr>
      <w:r w:rsidRPr="0075797B">
        <w:rPr>
          <w:color w:val="auto"/>
          <w:sz w:val="21"/>
        </w:rPr>
        <w:t>[9] D. Plohmann, K. Yakdan, M. Klatt, J. Bader, and E. Gerhards-Padilla, “A comprehensive measurement study of domain generating malware,” in Proc. 25th USENIX Security Symp., 2016, pp. 263–278.</w:t>
      </w:r>
    </w:p>
    <w:p w:rsidR="000203FA" w:rsidRPr="0075797B" w:rsidRDefault="0075797B">
      <w:pPr>
        <w:spacing w:after="120"/>
        <w:ind w:left="648" w:hanging="648"/>
        <w:jc w:val="both"/>
        <w:rPr>
          <w:color w:val="auto"/>
        </w:rPr>
      </w:pPr>
      <w:r w:rsidRPr="0075797B">
        <w:rPr>
          <w:color w:val="auto"/>
          <w:sz w:val="21"/>
        </w:rPr>
        <w:t>[10] A. Khraisat, I. Gondal, P. Vamplew, and J. Kamruzzaman, “Survey of intrusion detection systems: Techniques, datasets and challenges,” Cybersecurity, vol. 2, no. 1, pp. 1–22, 2019.</w:t>
      </w:r>
    </w:p>
    <w:p w:rsidR="000203FA" w:rsidRPr="0075797B" w:rsidRDefault="0075797B">
      <w:pPr>
        <w:spacing w:after="120"/>
        <w:ind w:left="648" w:hanging="648"/>
        <w:jc w:val="both"/>
        <w:rPr>
          <w:color w:val="auto"/>
        </w:rPr>
      </w:pPr>
      <w:r w:rsidRPr="0075797B">
        <w:rPr>
          <w:color w:val="auto"/>
          <w:sz w:val="21"/>
        </w:rPr>
        <w:t>[11] B. Anderson and D. McGrew, “Machine learning for encrypted malware traffic classification,” in Proc. 23rd ACM SIGKDD Int. Conf. Knowledge Discovery and Data Mining, 2017, pp. 1723–1732.</w:t>
      </w:r>
    </w:p>
    <w:p w:rsidR="000203FA" w:rsidRPr="0075797B" w:rsidRDefault="0075797B">
      <w:pPr>
        <w:spacing w:after="120"/>
        <w:ind w:left="648" w:hanging="648"/>
        <w:jc w:val="both"/>
        <w:rPr>
          <w:color w:val="auto"/>
        </w:rPr>
      </w:pPr>
      <w:r w:rsidRPr="0075797B">
        <w:rPr>
          <w:color w:val="auto"/>
          <w:sz w:val="21"/>
        </w:rPr>
        <w:t>[12] R. Vinayakumar, M. Alazab, K. P. Soman, P. Poornachandran, A. Al-Nemrat, and S. Venkatraman, “Deep learning approach for intelligent intrusion detection system,” IEEE Access, vol. 7, pp. 41525–41550, 2019.</w:t>
      </w:r>
    </w:p>
    <w:p w:rsidR="000203FA" w:rsidRPr="0075797B" w:rsidRDefault="0075797B">
      <w:pPr>
        <w:spacing w:after="120"/>
        <w:ind w:left="648" w:hanging="648"/>
        <w:jc w:val="both"/>
        <w:rPr>
          <w:color w:val="auto"/>
        </w:rPr>
      </w:pPr>
      <w:r w:rsidRPr="0075797B">
        <w:rPr>
          <w:color w:val="auto"/>
          <w:sz w:val="21"/>
        </w:rPr>
        <w:lastRenderedPageBreak/>
        <w:t>[13] D. Arp, E. Quiring, F. Pendlebury, A. Warnecke, F. Pierazzi, C. Wressnegger, L. Cavallaro, and K. Rieck, “Dos and Don’ts of machine learning in computer security,” in Proc. 31st USENIX Security Symp., 2022, pp. 3971–3988.</w:t>
      </w:r>
    </w:p>
    <w:p w:rsidR="000203FA" w:rsidRPr="0075797B" w:rsidRDefault="0075797B">
      <w:pPr>
        <w:spacing w:after="120"/>
        <w:ind w:left="648" w:hanging="648"/>
        <w:jc w:val="both"/>
        <w:rPr>
          <w:color w:val="auto"/>
        </w:rPr>
      </w:pPr>
      <w:r w:rsidRPr="0075797B">
        <w:rPr>
          <w:color w:val="auto"/>
          <w:sz w:val="21"/>
        </w:rPr>
        <w:t>[14] F. Pendlebury, F. Pierazzi, R. Jordaney, J. Kinder, and L. Cavallaro, “TESSERACT: Eliminating experimental bias in malware classification across space and time,” in Proc. 28th USENIX Security Symp., 2019, pp. 729–746.</w:t>
      </w:r>
    </w:p>
    <w:p w:rsidR="000203FA" w:rsidRPr="0075797B" w:rsidRDefault="0075797B">
      <w:pPr>
        <w:spacing w:after="120"/>
        <w:ind w:left="648" w:hanging="648"/>
        <w:jc w:val="both"/>
        <w:rPr>
          <w:color w:val="auto"/>
        </w:rPr>
      </w:pPr>
      <w:r w:rsidRPr="0075797B">
        <w:rPr>
          <w:color w:val="auto"/>
          <w:sz w:val="21"/>
        </w:rPr>
        <w:t>[15] S. Garcia, M. Grill, J. Stiborek, and A. Zunino, “An empirical comparison of botnet detection methods,” Computers &amp; Security, vol. 45, pp. 100–123, 2014.</w:t>
      </w:r>
    </w:p>
    <w:p w:rsidR="000203FA" w:rsidRPr="0075797B" w:rsidRDefault="0075797B">
      <w:pPr>
        <w:spacing w:after="120"/>
        <w:ind w:left="648" w:hanging="648"/>
        <w:jc w:val="both"/>
        <w:rPr>
          <w:color w:val="auto"/>
        </w:rPr>
      </w:pPr>
      <w:r w:rsidRPr="0075797B">
        <w:rPr>
          <w:color w:val="auto"/>
          <w:sz w:val="21"/>
        </w:rPr>
        <w:t>[16] I. Sharafaldin, A. H. Lashkari, and A. A. Ghorbani, “Toward generating a new intrusion detection dataset and intrusion traffic characterization,” in Proc. 4th Int. Conf. Information Systems Security and Privacy (ICISSP), 2018, pp. 108–116.</w:t>
      </w:r>
    </w:p>
    <w:p w:rsidR="000203FA" w:rsidRPr="0075797B" w:rsidRDefault="0075797B">
      <w:pPr>
        <w:spacing w:after="120"/>
        <w:ind w:left="648" w:hanging="648"/>
        <w:jc w:val="both"/>
        <w:rPr>
          <w:color w:val="auto"/>
        </w:rPr>
      </w:pPr>
      <w:r w:rsidRPr="0075797B">
        <w:rPr>
          <w:color w:val="auto"/>
          <w:sz w:val="21"/>
        </w:rPr>
        <w:t>[17] A. R. Hevner, S. T. March, J. Park, and S. Ram, “Design science in information systems research,” MIS Quarterly, vol. 28, no. 1, pp. 75–105, 2004.</w:t>
      </w:r>
    </w:p>
    <w:p w:rsidR="000203FA" w:rsidRPr="0075797B" w:rsidRDefault="0075797B">
      <w:pPr>
        <w:rPr>
          <w:color w:val="auto"/>
        </w:rPr>
      </w:pPr>
      <w:r w:rsidRPr="0075797B">
        <w:rPr>
          <w:color w:val="auto"/>
        </w:rPr>
        <w:br w:type="page"/>
      </w:r>
    </w:p>
    <w:sectPr w:rsidR="000203FA" w:rsidRPr="0075797B" w:rsidSect="00034616">
      <w:pgSz w:w="12240" w:h="15840"/>
      <w:pgMar w:top="1296" w:right="1440" w:bottom="1296"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notTrueType/>
    <w:pitch w:val="fixed"/>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203FA"/>
    <w:rsid w:val="00034616"/>
    <w:rsid w:val="0006063C"/>
    <w:rsid w:val="0015074B"/>
    <w:rsid w:val="0029639D"/>
    <w:rsid w:val="00326F90"/>
    <w:rsid w:val="0075797B"/>
    <w:rsid w:val="00816F14"/>
    <w:rsid w:val="00AA1D8D"/>
    <w:rsid w:val="00B22FC1"/>
    <w:rsid w:val="00B47730"/>
    <w:rsid w:val="00B756F0"/>
    <w:rsid w:val="00CB0664"/>
    <w:rsid w:val="00D237DF"/>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20B92C"/>
  <w14:defaultImageDpi w14:val="300"/>
  <w15:docId w15:val="{ABE88F56-FCC3-42DE-8D76-AF28F37650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693F"/>
    <w:rPr>
      <w:rFonts w:ascii="Calibri" w:hAnsi="Calibri"/>
      <w:color w:val="1A1A1A"/>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E1A38"/>
      <w:sz w:val="3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E7C74"/>
      <w:sz w:val="25"/>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E1A38"/>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EA9645-0067-4947-BAF0-69087A36C6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13</Pages>
  <Words>4401</Words>
  <Characters>25089</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29432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hp</cp:lastModifiedBy>
  <cp:revision>7</cp:revision>
  <dcterms:created xsi:type="dcterms:W3CDTF">2013-12-23T23:15:00Z</dcterms:created>
  <dcterms:modified xsi:type="dcterms:W3CDTF">2026-08-11T20:33:00Z</dcterms:modified>
  <cp:category/>
</cp:coreProperties>
</file>