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E25A9" w:rsidRPr="00FD4078" w:rsidRDefault="007B6AD3" w:rsidP="00FD4078">
      <w:pPr>
        <w:spacing w:line="360" w:lineRule="auto"/>
        <w:jc w:val="both"/>
        <w:rPr>
          <w:i/>
          <w:u w:val="single"/>
        </w:rPr>
      </w:pPr>
      <w:r w:rsidRPr="00FD4078">
        <w:rPr>
          <w:i/>
          <w:u w:val="single"/>
        </w:rPr>
        <w:t>Essay – 2000 words</w:t>
      </w:r>
    </w:p>
    <w:p w:rsidR="007B6AD3" w:rsidRPr="00FD4078" w:rsidRDefault="007B6AD3" w:rsidP="00FD4078">
      <w:pPr>
        <w:spacing w:line="360" w:lineRule="auto"/>
        <w:jc w:val="both"/>
        <w:rPr>
          <w:i/>
          <w:u w:val="single"/>
        </w:rPr>
      </w:pPr>
      <w:r w:rsidRPr="00FD4078">
        <w:rPr>
          <w:i/>
          <w:u w:val="single"/>
        </w:rPr>
        <w:t>‘The Multi Agency model in Wales promotes the welfare of children and young people’. Critically discuss.</w:t>
      </w:r>
    </w:p>
    <w:p w:rsidR="007B6AD3" w:rsidRDefault="007B6AD3" w:rsidP="00FD4078">
      <w:pPr>
        <w:spacing w:line="360" w:lineRule="auto"/>
        <w:jc w:val="both"/>
      </w:pPr>
      <w:r>
        <w:t xml:space="preserve">This essay has been written as part of the Inclusive Education Degree with the University of Wales Trinity St David. </w:t>
      </w:r>
    </w:p>
    <w:p w:rsidR="008D26E5" w:rsidRDefault="004F204A" w:rsidP="00FD4078">
      <w:pPr>
        <w:spacing w:line="360" w:lineRule="auto"/>
        <w:jc w:val="both"/>
        <w:rPr>
          <w:rFonts w:eastAsia="Times New Roman" w:cstheme="minorHAnsi"/>
          <w:lang w:eastAsia="en-GB"/>
        </w:rPr>
      </w:pPr>
      <w:r>
        <w:t>Within the current social climate, the welfare of children and young people within the UK has never been more concerning. This is no different within the smaller countries, with Wales embedding supportive and safer measures into education and social policies. A large factor in their drive for supporting children is the Multi Agency model which encourages an integrated and collaborative approach to meeting the needs of a child. This can mean that different professionals that surround the child can unite and work together in order to benefit and improve the child’s welfare. This may be education providers, healthcare providers o</w:t>
      </w:r>
      <w:r w:rsidR="001F192F">
        <w:t xml:space="preserve">r those working in social </w:t>
      </w:r>
      <w:r w:rsidR="001F192F" w:rsidRPr="001F192F">
        <w:rPr>
          <w:rFonts w:cstheme="minorHAnsi"/>
        </w:rPr>
        <w:t xml:space="preserve">care </w:t>
      </w:r>
      <w:r w:rsidR="001F192F" w:rsidRPr="001F192F">
        <w:rPr>
          <w:rFonts w:eastAsia="Times New Roman" w:cstheme="minorHAnsi"/>
          <w:lang w:eastAsia="en-GB"/>
        </w:rPr>
        <w:t>(Home Office, 2014)</w:t>
      </w:r>
      <w:r w:rsidR="001F192F">
        <w:rPr>
          <w:rFonts w:eastAsia="Times New Roman" w:cstheme="minorHAnsi"/>
          <w:lang w:eastAsia="en-GB"/>
        </w:rPr>
        <w:t xml:space="preserve">. This is further underpinned by the Social Services and Wellbeing Act (2014) in Wales. </w:t>
      </w:r>
      <w:r w:rsidR="008D26E5">
        <w:rPr>
          <w:rFonts w:eastAsia="Times New Roman" w:cstheme="minorHAnsi"/>
          <w:lang w:eastAsia="en-GB"/>
        </w:rPr>
        <w:t xml:space="preserve">This act provides a framework for supporting the multi-agency model in practise. It places a statutory duty on local authorities as well as health boards and other social sectors encouraging them to work together to promote </w:t>
      </w:r>
      <w:r w:rsidR="008D26E5" w:rsidRPr="008D26E5">
        <w:rPr>
          <w:rFonts w:eastAsia="Times New Roman" w:cstheme="minorHAnsi"/>
          <w:lang w:eastAsia="en-GB"/>
        </w:rPr>
        <w:t>and maintain positive wellbeing amongst children and young people (Welsh Government, 2014)</w:t>
      </w:r>
      <w:r w:rsidR="008D26E5">
        <w:rPr>
          <w:rFonts w:eastAsia="Times New Roman" w:cstheme="minorHAnsi"/>
          <w:lang w:eastAsia="en-GB"/>
        </w:rPr>
        <w:t xml:space="preserve">. The purpose of the model is to unify the necessary agencies and allow the services to put the child’s needs first, coordinating with each other to help the individual. The input of the different professionals can help them make informative decisions surrounding the child or </w:t>
      </w:r>
      <w:r w:rsidR="008D26E5" w:rsidRPr="008D26E5">
        <w:rPr>
          <w:rFonts w:eastAsia="Times New Roman" w:cstheme="minorHAnsi"/>
          <w:lang w:eastAsia="en-GB"/>
        </w:rPr>
        <w:t>young person, with each sector providing a different outlook on what may work best, such as healthcare or social care (Department for Education, 2021)</w:t>
      </w:r>
      <w:r w:rsidR="008D26E5">
        <w:rPr>
          <w:rFonts w:eastAsia="Times New Roman" w:cstheme="minorHAnsi"/>
          <w:lang w:eastAsia="en-GB"/>
        </w:rPr>
        <w:t xml:space="preserve">. </w:t>
      </w:r>
      <w:r w:rsidR="00345807">
        <w:rPr>
          <w:rFonts w:eastAsia="Times New Roman" w:cstheme="minorHAnsi"/>
          <w:lang w:eastAsia="en-GB"/>
        </w:rPr>
        <w:t xml:space="preserve">This essay will critically explore the effectiveness of the multi-agency approach, looking at both its challenges and its strengths and how it promotes the wellbeing of children and young people in Wales when put into practise. </w:t>
      </w:r>
    </w:p>
    <w:p w:rsidR="0010356A" w:rsidRDefault="00AB3C08" w:rsidP="00FD4078">
      <w:pPr>
        <w:spacing w:line="360" w:lineRule="auto"/>
        <w:jc w:val="both"/>
        <w:rPr>
          <w:rFonts w:eastAsia="Times New Roman" w:cstheme="minorHAnsi"/>
          <w:lang w:eastAsia="en-GB"/>
        </w:rPr>
      </w:pPr>
      <w:r>
        <w:rPr>
          <w:rFonts w:eastAsia="Times New Roman" w:cstheme="minorHAnsi"/>
          <w:lang w:eastAsia="en-GB"/>
        </w:rPr>
        <w:t xml:space="preserve">The </w:t>
      </w:r>
      <w:r w:rsidR="000A7603">
        <w:rPr>
          <w:rFonts w:eastAsia="Times New Roman" w:cstheme="minorHAnsi"/>
          <w:lang w:eastAsia="en-GB"/>
        </w:rPr>
        <w:t>multi-agency</w:t>
      </w:r>
      <w:r>
        <w:rPr>
          <w:rFonts w:eastAsia="Times New Roman" w:cstheme="minorHAnsi"/>
          <w:lang w:eastAsia="en-GB"/>
        </w:rPr>
        <w:t xml:space="preserve"> approach has proved in many ways to be an effective approach to the support of children’s wellbeing across the UK. </w:t>
      </w:r>
      <w:r w:rsidR="000A7603">
        <w:rPr>
          <w:rFonts w:eastAsia="Times New Roman" w:cstheme="minorHAnsi"/>
          <w:lang w:eastAsia="en-GB"/>
        </w:rPr>
        <w:t xml:space="preserve">At the centre of this model is the core concept of coordination and professionals </w:t>
      </w:r>
      <w:r w:rsidR="000A7603" w:rsidRPr="000A7603">
        <w:rPr>
          <w:rFonts w:eastAsia="Times New Roman" w:cstheme="minorHAnsi"/>
          <w:lang w:eastAsia="en-GB"/>
        </w:rPr>
        <w:t>working together to ensure that families and their children receive the correct support. Some studies have focused on the numerous benefits, with improved communication and problem solving to be one (Atkinson, Jones and Lamont, 2007)</w:t>
      </w:r>
      <w:r w:rsidR="000A7603">
        <w:rPr>
          <w:rFonts w:eastAsia="Times New Roman" w:cstheme="minorHAnsi"/>
          <w:lang w:eastAsia="en-GB"/>
        </w:rPr>
        <w:t>.</w:t>
      </w:r>
      <w:r w:rsidR="0090229F">
        <w:rPr>
          <w:rFonts w:eastAsia="Times New Roman" w:cstheme="minorHAnsi"/>
          <w:lang w:eastAsia="en-GB"/>
        </w:rPr>
        <w:t xml:space="preserve"> Another benefit to this approach is the it is a very person-centred approach and is more accessible to those in need of help. Those in need of support are able to be put in contact with the necessary professionals/agencies. This coincides with the Welsh Governments’ NEST framework which was established in order to aid mental wellbeing in children, young people and even adults. Families who seek support will be helped in finding the correct support in a timely manner, whilst also educating people on mental health </w:t>
      </w:r>
      <w:r w:rsidR="0090229F" w:rsidRPr="0090229F">
        <w:rPr>
          <w:rFonts w:eastAsia="Times New Roman" w:cstheme="minorHAnsi"/>
          <w:lang w:eastAsia="en-GB"/>
        </w:rPr>
        <w:t>and wellbeing (</w:t>
      </w:r>
      <w:proofErr w:type="spellStart"/>
      <w:proofErr w:type="gramStart"/>
      <w:r w:rsidR="0090229F" w:rsidRPr="0090229F">
        <w:rPr>
          <w:rFonts w:eastAsia="Times New Roman" w:cstheme="minorHAnsi"/>
          <w:lang w:eastAsia="en-GB"/>
        </w:rPr>
        <w:t>gov.wales</w:t>
      </w:r>
      <w:proofErr w:type="spellEnd"/>
      <w:proofErr w:type="gramEnd"/>
      <w:r w:rsidR="0090229F" w:rsidRPr="0090229F">
        <w:rPr>
          <w:rFonts w:eastAsia="Times New Roman" w:cstheme="minorHAnsi"/>
          <w:lang w:eastAsia="en-GB"/>
        </w:rPr>
        <w:t xml:space="preserve">, </w:t>
      </w:r>
      <w:r w:rsidR="0090229F" w:rsidRPr="0090229F">
        <w:rPr>
          <w:rFonts w:eastAsia="Times New Roman" w:cstheme="minorHAnsi"/>
          <w:lang w:eastAsia="en-GB"/>
        </w:rPr>
        <w:lastRenderedPageBreak/>
        <w:t>2023)</w:t>
      </w:r>
      <w:r w:rsidR="0090229F">
        <w:rPr>
          <w:rFonts w:eastAsia="Times New Roman" w:cstheme="minorHAnsi"/>
          <w:lang w:eastAsia="en-GB"/>
        </w:rPr>
        <w:t xml:space="preserve">. This lessens the chance of safeguarding concerns or </w:t>
      </w:r>
      <w:r w:rsidR="00991700">
        <w:rPr>
          <w:rFonts w:eastAsia="Times New Roman" w:cstheme="minorHAnsi"/>
          <w:lang w:eastAsia="en-GB"/>
        </w:rPr>
        <w:t>vulnerable</w:t>
      </w:r>
      <w:r w:rsidR="0090229F">
        <w:rPr>
          <w:rFonts w:eastAsia="Times New Roman" w:cstheme="minorHAnsi"/>
          <w:lang w:eastAsia="en-GB"/>
        </w:rPr>
        <w:t xml:space="preserve"> </w:t>
      </w:r>
      <w:r w:rsidR="00991700">
        <w:rPr>
          <w:rFonts w:eastAsia="Times New Roman" w:cstheme="minorHAnsi"/>
          <w:lang w:eastAsia="en-GB"/>
        </w:rPr>
        <w:t>individuals</w:t>
      </w:r>
      <w:r w:rsidR="0090229F">
        <w:rPr>
          <w:rFonts w:eastAsia="Times New Roman" w:cstheme="minorHAnsi"/>
          <w:lang w:eastAsia="en-GB"/>
        </w:rPr>
        <w:t xml:space="preserve"> </w:t>
      </w:r>
      <w:r w:rsidR="00991700">
        <w:rPr>
          <w:rFonts w:eastAsia="Times New Roman" w:cstheme="minorHAnsi"/>
          <w:lang w:eastAsia="en-GB"/>
        </w:rPr>
        <w:t xml:space="preserve">going unaided and receiving the help and salvation they may need.  It advocates for inclusivity and accessibility and highlights the importance of shared responsibility amongst the </w:t>
      </w:r>
      <w:r w:rsidR="00991700" w:rsidRPr="00C10B61">
        <w:rPr>
          <w:rFonts w:eastAsia="Times New Roman" w:cstheme="minorHAnsi"/>
          <w:lang w:eastAsia="en-GB"/>
        </w:rPr>
        <w:t xml:space="preserve">agencies </w:t>
      </w:r>
      <w:r w:rsidR="00C10B61" w:rsidRPr="00C10B61">
        <w:rPr>
          <w:rFonts w:eastAsia="Times New Roman" w:cstheme="minorHAnsi"/>
          <w:lang w:eastAsia="en-GB"/>
        </w:rPr>
        <w:t>(Welsh Government, 2023)</w:t>
      </w:r>
      <w:r w:rsidR="00C10B61">
        <w:rPr>
          <w:rFonts w:eastAsia="Times New Roman" w:cstheme="minorHAnsi"/>
          <w:lang w:eastAsia="en-GB"/>
        </w:rPr>
        <w:t xml:space="preserve">. However, it is not just Wales that is implanting measures in this field. In England, they are adopting the THRIVE framework which was developed by the Anna Freud National Centre for Children and Families as well as the Tavistock and Portman NHS Foundation trust. Similarly, to the NEST framework, this focusing on the mental health of children and young people and acts to deliver mental health services to these young people and their families. Through </w:t>
      </w:r>
      <w:r w:rsidR="00C10B61" w:rsidRPr="008860AE">
        <w:rPr>
          <w:rFonts w:eastAsia="Times New Roman" w:cstheme="minorHAnsi"/>
          <w:lang w:eastAsia="en-GB"/>
        </w:rPr>
        <w:t>a person-centred approach they raise awareness on mental health and work on preventative measure to ensure those effected have the t</w:t>
      </w:r>
      <w:r w:rsidR="008860AE" w:rsidRPr="008860AE">
        <w:rPr>
          <w:rFonts w:eastAsia="Times New Roman" w:cstheme="minorHAnsi"/>
          <w:lang w:eastAsia="en-GB"/>
        </w:rPr>
        <w:t>ools needed to help themselves (The Tavistock and Portman NHS Foundation Trust, 2025)</w:t>
      </w:r>
      <w:r w:rsidR="008860AE">
        <w:rPr>
          <w:rFonts w:eastAsia="Times New Roman" w:cstheme="minorHAnsi"/>
          <w:lang w:eastAsia="en-GB"/>
        </w:rPr>
        <w:t xml:space="preserve">. This further supports the benefits of the multi-agency model and distinguishes the different levels of need with the children and their families at the centre of all decision making and processes. It also promotes collaboration throughout the </w:t>
      </w:r>
      <w:r w:rsidR="0010356A">
        <w:rPr>
          <w:rFonts w:eastAsia="Times New Roman" w:cstheme="minorHAnsi"/>
          <w:lang w:eastAsia="en-GB"/>
        </w:rPr>
        <w:t>relevant</w:t>
      </w:r>
      <w:r w:rsidR="008860AE">
        <w:rPr>
          <w:rFonts w:eastAsia="Times New Roman" w:cstheme="minorHAnsi"/>
          <w:lang w:eastAsia="en-GB"/>
        </w:rPr>
        <w:t xml:space="preserve"> agencies and recognises that mental health services are not the only ones responsible for mental health in this country. </w:t>
      </w:r>
      <w:r w:rsidR="0010356A">
        <w:rPr>
          <w:rFonts w:eastAsia="Times New Roman" w:cstheme="minorHAnsi"/>
          <w:lang w:eastAsia="en-GB"/>
        </w:rPr>
        <w:t>It is a shared endeavour between education, health professionals, families and community organisations</w:t>
      </w:r>
      <w:r w:rsidR="0010356A" w:rsidRPr="0010356A">
        <w:rPr>
          <w:rFonts w:eastAsia="Times New Roman" w:cstheme="minorHAnsi"/>
          <w:lang w:eastAsia="en-GB"/>
        </w:rPr>
        <w:t xml:space="preserve"> (</w:t>
      </w:r>
      <w:proofErr w:type="spellStart"/>
      <w:r w:rsidR="0010356A" w:rsidRPr="0010356A">
        <w:rPr>
          <w:rFonts w:eastAsia="Times New Roman" w:cstheme="minorHAnsi"/>
          <w:lang w:eastAsia="en-GB"/>
        </w:rPr>
        <w:t>Wolpert</w:t>
      </w:r>
      <w:proofErr w:type="spellEnd"/>
      <w:r w:rsidR="0010356A" w:rsidRPr="0010356A">
        <w:rPr>
          <w:rFonts w:eastAsia="Times New Roman" w:cstheme="minorHAnsi"/>
          <w:lang w:eastAsia="en-GB"/>
        </w:rPr>
        <w:t xml:space="preserve"> et al., 2019)</w:t>
      </w:r>
      <w:r w:rsidR="0010356A">
        <w:rPr>
          <w:rFonts w:eastAsia="Times New Roman" w:cstheme="minorHAnsi"/>
          <w:lang w:eastAsia="en-GB"/>
        </w:rPr>
        <w:t xml:space="preserve">. Both these frameworks showcase a holistic and unified approach the no longer relies on singular agencies alone. The measures they undertake is also more preventative and proactive and promotes early intervention in children so that they might tackle their mental health challenges in the future. </w:t>
      </w:r>
    </w:p>
    <w:p w:rsidR="004455EE" w:rsidRDefault="0010356A" w:rsidP="00FD4078">
      <w:pPr>
        <w:spacing w:line="360" w:lineRule="auto"/>
        <w:jc w:val="both"/>
        <w:rPr>
          <w:rFonts w:eastAsia="Times New Roman" w:cstheme="minorHAnsi"/>
          <w:lang w:eastAsia="en-GB"/>
        </w:rPr>
      </w:pPr>
      <w:r>
        <w:rPr>
          <w:rFonts w:eastAsia="Times New Roman" w:cstheme="minorHAnsi"/>
          <w:lang w:eastAsia="en-GB"/>
        </w:rPr>
        <w:t xml:space="preserve">The multi-agency model can also be heavily supported by the work of a number of theorists. One of these psychological theories is that of </w:t>
      </w:r>
      <w:proofErr w:type="spellStart"/>
      <w:r w:rsidR="0070601C">
        <w:rPr>
          <w:rFonts w:eastAsia="Times New Roman" w:cstheme="minorHAnsi"/>
          <w:lang w:eastAsia="en-GB"/>
        </w:rPr>
        <w:t>Urie</w:t>
      </w:r>
      <w:proofErr w:type="spellEnd"/>
      <w:r w:rsidR="0070601C">
        <w:rPr>
          <w:rFonts w:eastAsia="Times New Roman" w:cstheme="minorHAnsi"/>
          <w:lang w:eastAsia="en-GB"/>
        </w:rPr>
        <w:t xml:space="preserve"> Bronfenbrenner and his theory of Ecological Systems (1979). This concept provides and theoretical foundation to the multi-agency approach as his model dissect the multiple levels of a child’s development and how the surrounding relationships and environment can effect </w:t>
      </w:r>
      <w:r w:rsidR="0070601C" w:rsidRPr="0070601C">
        <w:rPr>
          <w:rFonts w:eastAsia="Times New Roman" w:cstheme="minorHAnsi"/>
          <w:lang w:eastAsia="en-GB"/>
        </w:rPr>
        <w:t>this (Guy-Evans, 2024)</w:t>
      </w:r>
      <w:r w:rsidR="0070601C">
        <w:rPr>
          <w:rFonts w:ascii="Times New Roman" w:eastAsia="Times New Roman" w:hAnsi="Times New Roman" w:cs="Times New Roman"/>
          <w:sz w:val="24"/>
          <w:szCs w:val="24"/>
          <w:lang w:eastAsia="en-GB"/>
        </w:rPr>
        <w:t xml:space="preserve">. </w:t>
      </w:r>
      <w:r w:rsidR="0070601C">
        <w:rPr>
          <w:rFonts w:eastAsia="Times New Roman" w:cstheme="minorHAnsi"/>
          <w:lang w:eastAsia="en-GB"/>
        </w:rPr>
        <w:t xml:space="preserve">A multi-agency model can support this development and those responsible for it as well as allowing professionals to share information across the different systems and develop solutions together. </w:t>
      </w:r>
      <w:r w:rsidR="00E02A01">
        <w:rPr>
          <w:rFonts w:eastAsia="Times New Roman" w:cstheme="minorHAnsi"/>
          <w:lang w:eastAsia="en-GB"/>
        </w:rPr>
        <w:t xml:space="preserve">Another theory is Attachment </w:t>
      </w:r>
      <w:r w:rsidR="00E02A01" w:rsidRPr="00E02A01">
        <w:rPr>
          <w:rFonts w:eastAsia="Times New Roman" w:cstheme="minorHAnsi"/>
          <w:lang w:eastAsia="en-GB"/>
        </w:rPr>
        <w:t>theory (1969)</w:t>
      </w:r>
      <w:r w:rsidR="00E02A01">
        <w:rPr>
          <w:rFonts w:eastAsia="Times New Roman" w:cstheme="minorHAnsi"/>
          <w:lang w:eastAsia="en-GB"/>
        </w:rPr>
        <w:t xml:space="preserve"> by John Bowlby and later Mary Ainsworth. This theory emphasises the importance of the relationships created in early life and how secure attachments benefit the development of a child. They also suggest how adverse experiences that effect these relationships can have a long term effect on mental </w:t>
      </w:r>
      <w:r w:rsidR="00E02A01" w:rsidRPr="00AC19E8">
        <w:rPr>
          <w:rFonts w:eastAsia="Times New Roman" w:cstheme="minorHAnsi"/>
          <w:lang w:eastAsia="en-GB"/>
        </w:rPr>
        <w:t>h</w:t>
      </w:r>
      <w:r w:rsidR="00AC19E8" w:rsidRPr="00AC19E8">
        <w:rPr>
          <w:rFonts w:eastAsia="Times New Roman" w:cstheme="minorHAnsi"/>
          <w:lang w:eastAsia="en-GB"/>
        </w:rPr>
        <w:t>ealth (Cherry, 2025)</w:t>
      </w:r>
      <w:r w:rsidR="00AC19E8">
        <w:rPr>
          <w:rFonts w:eastAsia="Times New Roman" w:cstheme="minorHAnsi"/>
          <w:lang w:eastAsia="en-GB"/>
        </w:rPr>
        <w:t xml:space="preserve">. The multi- agency model works with these ideas and ensures that supportive my trusted adults lessening the effect on their mental wellbeing. It is clear that both England and Wales are making strides into supporting young people and are using similar tactics in order to establish a smooth system that caters to the needs of individuals. Government policies have also made notable progressions to support this further. The Welsh </w:t>
      </w:r>
      <w:r w:rsidR="00E03B72">
        <w:rPr>
          <w:rFonts w:eastAsia="Times New Roman" w:cstheme="minorHAnsi"/>
          <w:lang w:eastAsia="en-GB"/>
        </w:rPr>
        <w:t>Government</w:t>
      </w:r>
      <w:r w:rsidR="00AC19E8">
        <w:rPr>
          <w:rFonts w:eastAsia="Times New Roman" w:cstheme="minorHAnsi"/>
          <w:lang w:eastAsia="en-GB"/>
        </w:rPr>
        <w:t xml:space="preserve"> </w:t>
      </w:r>
      <w:r w:rsidR="00E03B72">
        <w:rPr>
          <w:rFonts w:eastAsia="Times New Roman" w:cstheme="minorHAnsi"/>
          <w:lang w:eastAsia="en-GB"/>
        </w:rPr>
        <w:t xml:space="preserve">have devised a “whole school approach” to the mental health of pupils. This involves investment into resources and relevant training as it is often recognised </w:t>
      </w:r>
      <w:r w:rsidR="00E03B72">
        <w:rPr>
          <w:rFonts w:eastAsia="Times New Roman" w:cstheme="minorHAnsi"/>
          <w:lang w:eastAsia="en-GB"/>
        </w:rPr>
        <w:lastRenderedPageBreak/>
        <w:t xml:space="preserve">that school is the first point of contact for many children, and that supportive trusting adults can make a significant difference in a child’s life and </w:t>
      </w:r>
      <w:r w:rsidR="00E03B72" w:rsidRPr="00E03B72">
        <w:rPr>
          <w:rFonts w:eastAsia="Times New Roman" w:cstheme="minorHAnsi"/>
          <w:lang w:eastAsia="en-GB"/>
        </w:rPr>
        <w:t>development (</w:t>
      </w:r>
      <w:r w:rsidR="00E03B72" w:rsidRPr="004455EE">
        <w:rPr>
          <w:rFonts w:eastAsia="Times New Roman" w:cstheme="minorHAnsi"/>
          <w:lang w:eastAsia="en-GB"/>
        </w:rPr>
        <w:t xml:space="preserve">Welsh Government, 2021). Furthermore, </w:t>
      </w:r>
      <w:r w:rsidR="004455EE" w:rsidRPr="004455EE">
        <w:rPr>
          <w:rFonts w:eastAsia="Times New Roman" w:cstheme="minorHAnsi"/>
          <w:lang w:eastAsia="en-GB"/>
        </w:rPr>
        <w:t>t</w:t>
      </w:r>
      <w:r w:rsidR="00E03B72" w:rsidRPr="004455EE">
        <w:rPr>
          <w:rFonts w:eastAsia="Times New Roman" w:cstheme="minorHAnsi"/>
          <w:lang w:eastAsia="en-GB"/>
        </w:rPr>
        <w:t>he Government’s Green Paper on Transforming Children and Young People’</w:t>
      </w:r>
      <w:r w:rsidR="004455EE" w:rsidRPr="004455EE">
        <w:rPr>
          <w:rFonts w:eastAsia="Times New Roman" w:cstheme="minorHAnsi"/>
          <w:lang w:eastAsia="en-GB"/>
        </w:rPr>
        <w:t>s Mental Health Provision put forth plans to integrate mental health support teams amongst schools that will offer onsite support to pupils with direct links to the NHS (Department of Health and Social Care, 2017)</w:t>
      </w:r>
      <w:r w:rsidR="004455EE">
        <w:rPr>
          <w:rFonts w:eastAsia="Times New Roman" w:cstheme="minorHAnsi"/>
          <w:lang w:eastAsia="en-GB"/>
        </w:rPr>
        <w:t xml:space="preserve">. </w:t>
      </w:r>
    </w:p>
    <w:p w:rsidR="00B16889" w:rsidRDefault="004D6764" w:rsidP="00FD4078">
      <w:pPr>
        <w:spacing w:line="360" w:lineRule="auto"/>
        <w:jc w:val="both"/>
        <w:rPr>
          <w:rFonts w:eastAsia="Times New Roman" w:cstheme="minorHAnsi"/>
          <w:lang w:eastAsia="en-GB"/>
        </w:rPr>
      </w:pPr>
      <w:r>
        <w:rPr>
          <w:rFonts w:eastAsia="Times New Roman" w:cstheme="minorHAnsi"/>
          <w:lang w:eastAsia="en-GB"/>
        </w:rPr>
        <w:t>Despite its benefits, the multi-agency model has also encountered some limitations which some may argue make it ineffective. One of these shortcomings is funding. The lack of funding has raised concerns over the conflicts between agencies, and with the general lack of funding towards training. This means only a limited amount of people is undertaking the relevant multi-agency training as well the development work which may affect the success of the model in practise</w:t>
      </w:r>
      <w:r w:rsidRPr="004D6764">
        <w:rPr>
          <w:rFonts w:eastAsia="Times New Roman" w:cstheme="minorHAnsi"/>
          <w:lang w:eastAsia="en-GB"/>
        </w:rPr>
        <w:t xml:space="preserve"> (</w:t>
      </w:r>
      <w:proofErr w:type="spellStart"/>
      <w:r w:rsidRPr="004D6764">
        <w:rPr>
          <w:rFonts w:eastAsia="Times New Roman" w:cstheme="minorHAnsi"/>
          <w:lang w:eastAsia="en-GB"/>
        </w:rPr>
        <w:t>Cheminais</w:t>
      </w:r>
      <w:proofErr w:type="spellEnd"/>
      <w:r w:rsidRPr="004D6764">
        <w:rPr>
          <w:rFonts w:eastAsia="Times New Roman" w:cstheme="minorHAnsi"/>
          <w:lang w:eastAsia="en-GB"/>
        </w:rPr>
        <w:t>, 2008)</w:t>
      </w:r>
      <w:r>
        <w:rPr>
          <w:rFonts w:eastAsia="Times New Roman" w:cstheme="minorHAnsi"/>
          <w:lang w:eastAsia="en-GB"/>
        </w:rPr>
        <w:t>. It may also cause inconsistencies between the different services due to communication breakdowns. The aforementioned frameworks such as the ‘NEST model’ and the ‘</w:t>
      </w:r>
      <w:r w:rsidRPr="004455EE">
        <w:rPr>
          <w:rFonts w:eastAsia="Times New Roman" w:cstheme="minorHAnsi"/>
          <w:lang w:eastAsia="en-GB"/>
        </w:rPr>
        <w:t>Government’s Green Paper on Transforming Children and Young People’s Mental Health Provision</w:t>
      </w:r>
      <w:r>
        <w:rPr>
          <w:rFonts w:eastAsia="Times New Roman" w:cstheme="minorHAnsi"/>
          <w:lang w:eastAsia="en-GB"/>
        </w:rPr>
        <w:t xml:space="preserve">’ highlight </w:t>
      </w:r>
      <w:r w:rsidR="00B16889">
        <w:rPr>
          <w:rFonts w:eastAsia="Times New Roman" w:cstheme="minorHAnsi"/>
          <w:lang w:eastAsia="en-GB"/>
        </w:rPr>
        <w:t xml:space="preserve">the importance of collaboration amongst the different agencies in practise. Consistent communication strengthens working relationships, yet it has been reported that frontline staff highlighted that the high volume </w:t>
      </w:r>
      <w:r w:rsidR="00B16889" w:rsidRPr="00072CFA">
        <w:rPr>
          <w:rFonts w:eastAsia="Times New Roman" w:cstheme="minorHAnsi"/>
          <w:lang w:eastAsia="en-GB"/>
        </w:rPr>
        <w:t>of information received made it difficult to assess the information and provide relevant support (Department for Education, 2021).</w:t>
      </w:r>
      <w:r w:rsidR="00072CFA">
        <w:rPr>
          <w:rFonts w:eastAsia="Times New Roman" w:cstheme="minorHAnsi"/>
          <w:lang w:eastAsia="en-GB"/>
        </w:rPr>
        <w:t xml:space="preserve"> This could prove to be a considerable challenge when it comes to multi-agency working, and much would need to be done to ensure all information is monitored and dealt with effectively. Failure to do so could lead to delays in intervention or inconsistent support which is concerning when discussing the safeguarding of children as well as the mental health. </w:t>
      </w:r>
      <w:r w:rsidR="0081330F">
        <w:rPr>
          <w:rFonts w:eastAsia="Times New Roman" w:cstheme="minorHAnsi"/>
          <w:lang w:eastAsia="en-GB"/>
        </w:rPr>
        <w:t xml:space="preserve">With most areas in Wales having children </w:t>
      </w:r>
      <w:r w:rsidR="0081330F" w:rsidRPr="0081330F">
        <w:rPr>
          <w:rFonts w:eastAsia="Times New Roman" w:cstheme="minorHAnsi"/>
          <w:lang w:eastAsia="en-GB"/>
        </w:rPr>
        <w:t>experiencing distress with mental health, it is important that they are receiving the care they need. The COVID-19 pandemic has also had a detrimental effect on mental wellbeing, so it has never been more imperative for services to come together to provide help to meet an individual’s needs (Children's Commissioner for Wales, 2020)</w:t>
      </w:r>
      <w:r w:rsidR="0081330F">
        <w:rPr>
          <w:rFonts w:eastAsia="Times New Roman" w:cstheme="minorHAnsi"/>
          <w:lang w:eastAsia="en-GB"/>
        </w:rPr>
        <w:t xml:space="preserve">. It is important that these services can avoid over complicated means of communication and it is also important that they do not become encumbered with cases and information and that there are enough trained staff to offer support throughout the process. </w:t>
      </w:r>
      <w:r w:rsidR="00387E1D">
        <w:rPr>
          <w:rFonts w:eastAsia="Times New Roman" w:cstheme="minorHAnsi"/>
          <w:lang w:eastAsia="en-GB"/>
        </w:rPr>
        <w:t xml:space="preserve">The Commissioner for Wales also put forth the following; </w:t>
      </w:r>
    </w:p>
    <w:p w:rsidR="00387E1D" w:rsidRDefault="00387E1D" w:rsidP="00FD4078">
      <w:pPr>
        <w:spacing w:line="360" w:lineRule="auto"/>
        <w:ind w:left="850" w:right="850"/>
        <w:jc w:val="both"/>
        <w:rPr>
          <w:rFonts w:eastAsia="Times New Roman" w:cstheme="minorHAnsi"/>
          <w:i/>
          <w:lang w:eastAsia="en-GB"/>
        </w:rPr>
      </w:pPr>
      <w:r w:rsidRPr="00387E1D">
        <w:rPr>
          <w:rFonts w:eastAsia="Times New Roman" w:cstheme="minorHAnsi"/>
          <w:i/>
          <w:color w:val="212529"/>
          <w:lang w:eastAsia="en-GB"/>
        </w:rPr>
        <w:t>“…</w:t>
      </w:r>
      <w:r w:rsidR="0081330F" w:rsidRPr="0081330F">
        <w:rPr>
          <w:rFonts w:eastAsia="Times New Roman" w:cstheme="minorHAnsi"/>
          <w:i/>
          <w:color w:val="212529"/>
          <w:lang w:eastAsia="en-GB"/>
        </w:rPr>
        <w:t>getting support should be a simple and smooth process and that no child should be told that they are at the ‘wrong door’ when they ask for help.  The Commissioner wants every part of Wales to take action towards a ‘no wrong door’ approach, learning from the practical examples from across Wales which are highlighted in her report and from the positive changes that have emerged in servi</w:t>
      </w:r>
      <w:r w:rsidRPr="00387E1D">
        <w:rPr>
          <w:rFonts w:eastAsia="Times New Roman" w:cstheme="minorHAnsi"/>
          <w:i/>
          <w:color w:val="212529"/>
          <w:lang w:eastAsia="en-GB"/>
        </w:rPr>
        <w:t xml:space="preserve">ces as a result of the pandemic” </w:t>
      </w:r>
      <w:r w:rsidRPr="00387E1D">
        <w:rPr>
          <w:rFonts w:eastAsia="Times New Roman" w:cstheme="minorHAnsi"/>
          <w:i/>
          <w:lang w:eastAsia="en-GB"/>
        </w:rPr>
        <w:t>(Children's Commissioner for Wales, 2024).</w:t>
      </w:r>
    </w:p>
    <w:p w:rsidR="008D347A" w:rsidRDefault="00387E1D" w:rsidP="00FD4078">
      <w:pPr>
        <w:spacing w:line="360" w:lineRule="auto"/>
        <w:jc w:val="both"/>
        <w:rPr>
          <w:rFonts w:eastAsia="Times New Roman" w:cstheme="minorHAnsi"/>
          <w:lang w:eastAsia="en-GB"/>
        </w:rPr>
      </w:pPr>
      <w:r>
        <w:rPr>
          <w:rFonts w:eastAsia="Times New Roman" w:cstheme="minorHAnsi"/>
          <w:color w:val="212529"/>
          <w:lang w:eastAsia="en-GB"/>
        </w:rPr>
        <w:lastRenderedPageBreak/>
        <w:t xml:space="preserve">This again highlights the No Wrong Door report and how the support of mental health needs to be a large scale collaboration. </w:t>
      </w:r>
      <w:r w:rsidR="00385738">
        <w:rPr>
          <w:rFonts w:eastAsia="Times New Roman" w:cstheme="minorHAnsi"/>
          <w:color w:val="212529"/>
          <w:lang w:eastAsia="en-GB"/>
        </w:rPr>
        <w:t xml:space="preserve">The idea is for children and families to receive support for a range of needs without needing to navigate the complex system. This may lead to services not meeting their needs and be put on long waiting lists. It is important for any concerns to be dealt with as soon as possible in order to alleviate any effect it can have on the mental health of the child and their families. </w:t>
      </w:r>
      <w:r w:rsidR="00B27B61">
        <w:rPr>
          <w:rFonts w:eastAsia="Times New Roman" w:cstheme="minorHAnsi"/>
          <w:color w:val="212529"/>
          <w:lang w:eastAsia="en-GB"/>
        </w:rPr>
        <w:t xml:space="preserve">The aforementioned theory of Ecological Systems by Bronfenbrenner also adds weight to the argument. With a child’s development being heavily influenced by their environment, it highlights the importance the relationships and </w:t>
      </w:r>
      <w:r w:rsidR="008D347A">
        <w:rPr>
          <w:rFonts w:eastAsia="Times New Roman" w:cstheme="minorHAnsi"/>
          <w:color w:val="212529"/>
          <w:lang w:eastAsia="en-GB"/>
        </w:rPr>
        <w:t xml:space="preserve">systems surrounding the child work hand in hand. This theory does assume that the systems are working cohesively which isn’t always the case in reality. Varying professional priorities, inconsistent policies and differing opinions could frequently result in misaligned goals </w:t>
      </w:r>
      <w:r w:rsidR="008D347A" w:rsidRPr="008D347A">
        <w:rPr>
          <w:rFonts w:eastAsia="Times New Roman" w:cstheme="minorHAnsi"/>
          <w:lang w:eastAsia="en-GB"/>
        </w:rPr>
        <w:t>(</w:t>
      </w:r>
      <w:proofErr w:type="spellStart"/>
      <w:r w:rsidR="008D347A" w:rsidRPr="008D347A">
        <w:rPr>
          <w:rFonts w:eastAsia="Times New Roman" w:cstheme="minorHAnsi"/>
          <w:lang w:eastAsia="en-GB"/>
        </w:rPr>
        <w:t>Everitt</w:t>
      </w:r>
      <w:proofErr w:type="spellEnd"/>
      <w:r w:rsidR="008D347A" w:rsidRPr="008D347A">
        <w:rPr>
          <w:rFonts w:eastAsia="Times New Roman" w:cstheme="minorHAnsi"/>
          <w:lang w:eastAsia="en-GB"/>
        </w:rPr>
        <w:t>, 2010)</w:t>
      </w:r>
      <w:r w:rsidR="008D347A">
        <w:rPr>
          <w:rFonts w:eastAsia="Times New Roman" w:cstheme="minorHAnsi"/>
          <w:lang w:eastAsia="en-GB"/>
        </w:rPr>
        <w:t xml:space="preserve">. Such issues can also result in </w:t>
      </w:r>
      <w:r w:rsidR="00087B5D">
        <w:rPr>
          <w:rFonts w:eastAsia="Times New Roman" w:cstheme="minorHAnsi"/>
          <w:lang w:eastAsia="en-GB"/>
        </w:rPr>
        <w:t>disputes</w:t>
      </w:r>
      <w:r w:rsidR="008D347A">
        <w:rPr>
          <w:rFonts w:eastAsia="Times New Roman" w:cstheme="minorHAnsi"/>
          <w:lang w:eastAsia="en-GB"/>
        </w:rPr>
        <w:t xml:space="preserve"> amongst professionals and can seriously inhabit the care and support that </w:t>
      </w:r>
      <w:r w:rsidR="00087B5D">
        <w:rPr>
          <w:rFonts w:eastAsia="Times New Roman" w:cstheme="minorHAnsi"/>
          <w:lang w:eastAsia="en-GB"/>
        </w:rPr>
        <w:t xml:space="preserve">a child needs. This can be </w:t>
      </w:r>
      <w:proofErr w:type="spellStart"/>
      <w:r w:rsidR="00087B5D">
        <w:rPr>
          <w:rFonts w:eastAsia="Times New Roman" w:cstheme="minorHAnsi"/>
          <w:lang w:eastAsia="en-GB"/>
        </w:rPr>
        <w:t>exsasberated</w:t>
      </w:r>
      <w:proofErr w:type="spellEnd"/>
      <w:r w:rsidR="00087B5D">
        <w:rPr>
          <w:rFonts w:eastAsia="Times New Roman" w:cstheme="minorHAnsi"/>
          <w:lang w:eastAsia="en-GB"/>
        </w:rPr>
        <w:t xml:space="preserve"> by more complicated or reoccurring cases that require complex needs which may be found to match the criteria for multiple different services. </w:t>
      </w:r>
    </w:p>
    <w:p w:rsidR="009E3022" w:rsidRDefault="00087B5D" w:rsidP="00FD4078">
      <w:pPr>
        <w:spacing w:line="360" w:lineRule="auto"/>
        <w:jc w:val="both"/>
        <w:rPr>
          <w:rFonts w:eastAsia="Times New Roman" w:cstheme="minorHAnsi"/>
          <w:lang w:eastAsia="en-GB"/>
        </w:rPr>
      </w:pPr>
      <w:r>
        <w:rPr>
          <w:rFonts w:eastAsia="Times New Roman" w:cstheme="minorHAnsi"/>
          <w:lang w:eastAsia="en-GB"/>
        </w:rPr>
        <w:t xml:space="preserve">Another challenge the multi-agency model faces are the lack of awareness around available services. Despite there being numerous services that may offer support, </w:t>
      </w:r>
      <w:r w:rsidR="009E3022">
        <w:rPr>
          <w:rFonts w:eastAsia="Times New Roman" w:cstheme="minorHAnsi"/>
          <w:lang w:eastAsia="en-GB"/>
        </w:rPr>
        <w:t xml:space="preserve">some may never be utilised if they are not well known amongst the public or social services. Local resources in particular are not well understood and are also overlooked in regards to their potential use between services. Unfortunately, this can lead to some families not receiving the important help they need. The importance of early intervention is also prevalent, and issues have arisen from this challenge as well as some approaches being too adult-focused. It would be far more beneficial to develop a child-centred approach across these agencies, but also consider that many of these agencies not only need to be child-centred but family-focused too. These are just some of the difficulties highlighted in the government report which aims to tackle these in order to have a more fluid and successful working model </w:t>
      </w:r>
      <w:r w:rsidR="009E3022" w:rsidRPr="009E3022">
        <w:rPr>
          <w:rFonts w:eastAsia="Times New Roman" w:cstheme="minorHAnsi"/>
          <w:lang w:eastAsia="en-GB"/>
        </w:rPr>
        <w:t>(Ofsted, 2023)</w:t>
      </w:r>
      <w:r w:rsidR="009E3022">
        <w:rPr>
          <w:rFonts w:eastAsia="Times New Roman" w:cstheme="minorHAnsi"/>
          <w:lang w:eastAsia="en-GB"/>
        </w:rPr>
        <w:t xml:space="preserve">. </w:t>
      </w:r>
      <w:r w:rsidR="00C978D1">
        <w:rPr>
          <w:rFonts w:eastAsia="Times New Roman" w:cstheme="minorHAnsi"/>
          <w:lang w:eastAsia="en-GB"/>
        </w:rPr>
        <w:t xml:space="preserve">It is also worth noting that although Wales is not conducting initiatives like the Whole School approaches, there is bound to be some inconsistencies between schools throughout the country. Different school may want to implement this approach differently and there are also notable factors that may effect this such as locations, population and the general need amongst schools, such as specialist provisions. The children that are considered </w:t>
      </w:r>
      <w:proofErr w:type="spellStart"/>
      <w:r w:rsidR="00C978D1">
        <w:rPr>
          <w:rFonts w:eastAsia="Times New Roman" w:cstheme="minorHAnsi"/>
          <w:lang w:eastAsia="en-GB"/>
        </w:rPr>
        <w:t>neurodiverse</w:t>
      </w:r>
      <w:proofErr w:type="spellEnd"/>
      <w:r w:rsidR="00C978D1">
        <w:rPr>
          <w:rFonts w:eastAsia="Times New Roman" w:cstheme="minorHAnsi"/>
          <w:lang w:eastAsia="en-GB"/>
        </w:rPr>
        <w:t xml:space="preserve"> with conditions such as Autism Spectrum Disorder (ASD) or Attention Deficit Hyperactivity Disorder (ADHD) will also need more specialist support that may affect how these approaches are embedded into schools. Finally, Bowlby’s Attachment Theory emphasis how important secure and consistent relationships are. </w:t>
      </w:r>
      <w:r w:rsidR="002127C4">
        <w:rPr>
          <w:rFonts w:eastAsia="Times New Roman" w:cstheme="minorHAnsi"/>
          <w:lang w:eastAsia="en-GB"/>
        </w:rPr>
        <w:t xml:space="preserve">This reveals another shortcoming in the multi-agency model as it often means they are subjected to frequent changes in professionals which may lead to a decrease in trust and attachment between the child and their support network. </w:t>
      </w:r>
    </w:p>
    <w:p w:rsidR="00387E1D" w:rsidRPr="00387E1D" w:rsidRDefault="002127C4" w:rsidP="00FD4078">
      <w:pPr>
        <w:spacing w:line="360" w:lineRule="auto"/>
        <w:jc w:val="both"/>
        <w:rPr>
          <w:rFonts w:ascii="Times New Roman" w:eastAsia="Times New Roman" w:hAnsi="Times New Roman" w:cs="Times New Roman"/>
          <w:sz w:val="24"/>
          <w:szCs w:val="24"/>
          <w:lang w:eastAsia="en-GB"/>
        </w:rPr>
      </w:pPr>
      <w:r>
        <w:rPr>
          <w:rFonts w:eastAsia="Times New Roman" w:cstheme="minorHAnsi"/>
          <w:lang w:eastAsia="en-GB"/>
        </w:rPr>
        <w:lastRenderedPageBreak/>
        <w:t xml:space="preserve">To conclude, the multi-agency model is a valuable framework which offers new insights to different agencies through the use of collaborations, which focuses on a child’s needs with a healthy focus on early intervention. </w:t>
      </w:r>
      <w:r w:rsidR="00FD4078">
        <w:rPr>
          <w:rFonts w:eastAsia="Times New Roman" w:cstheme="minorHAnsi"/>
          <w:lang w:eastAsia="en-GB"/>
        </w:rPr>
        <w:t>Bringing</w:t>
      </w:r>
      <w:r>
        <w:rPr>
          <w:rFonts w:eastAsia="Times New Roman" w:cstheme="minorHAnsi"/>
          <w:lang w:eastAsia="en-GB"/>
        </w:rPr>
        <w:t xml:space="preserve"> together the </w:t>
      </w:r>
      <w:r w:rsidR="00FD4078">
        <w:rPr>
          <w:rFonts w:eastAsia="Times New Roman" w:cstheme="minorHAnsi"/>
          <w:lang w:eastAsia="en-GB"/>
        </w:rPr>
        <w:t>relevant</w:t>
      </w:r>
      <w:r>
        <w:rPr>
          <w:rFonts w:eastAsia="Times New Roman" w:cstheme="minorHAnsi"/>
          <w:lang w:eastAsia="en-GB"/>
        </w:rPr>
        <w:t xml:space="preserve"> professionals from health, education and social services, it can help provide a coordinated response which can have the collective expertise of </w:t>
      </w:r>
      <w:r w:rsidR="00FD4078">
        <w:rPr>
          <w:rFonts w:eastAsia="Times New Roman" w:cstheme="minorHAnsi"/>
          <w:lang w:eastAsia="en-GB"/>
        </w:rPr>
        <w:t>numerous</w:t>
      </w:r>
      <w:r>
        <w:rPr>
          <w:rFonts w:eastAsia="Times New Roman" w:cstheme="minorHAnsi"/>
          <w:lang w:eastAsia="en-GB"/>
        </w:rPr>
        <w:t xml:space="preserve"> professionals. It can produce results that no single agency can achieve alone. Despite this however, there are still some weaknesses within the model that will need addressing in order to improve its efficiency such as the inconsistencies amongst agencies or the lack of resources due to funding. </w:t>
      </w:r>
      <w:r w:rsidR="00FD4078">
        <w:rPr>
          <w:rFonts w:eastAsia="Times New Roman" w:cstheme="minorHAnsi"/>
          <w:lang w:eastAsia="en-GB"/>
        </w:rPr>
        <w:t xml:space="preserve">In order to maximise the true potential of this model, there would need to be ongoing investment as well as training to many within the relevant sectors. There will also needs to be a shared goal between them all which they should strive to achieve. Whilst this model is in need of improvements, the benefits it can have on the health and wellbeing of children and young people make it a promising start to a happier and healthier Wales. </w:t>
      </w:r>
    </w:p>
    <w:p w:rsidR="002127C4" w:rsidRDefault="002127C4" w:rsidP="00FD4078">
      <w:pPr>
        <w:spacing w:before="100" w:beforeAutospacing="1" w:after="100" w:afterAutospacing="1" w:line="360" w:lineRule="auto"/>
        <w:jc w:val="both"/>
        <w:rPr>
          <w:rFonts w:ascii="Times New Roman" w:eastAsia="Times New Roman" w:hAnsi="Times New Roman" w:cs="Times New Roman"/>
          <w:sz w:val="24"/>
          <w:szCs w:val="24"/>
          <w:lang w:eastAsia="en-GB"/>
        </w:rPr>
      </w:pPr>
      <w:r>
        <w:t>In conclusion, the multi-agency model in Wales offers a valuable framework for supporting children's mental health and wellbeing through collaboration, early intervention, and a more holistic understanding of each child's needs. By bringing together professionals from education, health, and social services, the model can provide a coordinated response that no single agency could achieve alone. However, despite its strengths, the model also presents notable challenges, including communication barriers, inconsistencies in practice, and resource limitations. To truly maximize its potential, ongoing investment, training, and commitment to shared goals are essential. Ultimately, while the multi-agency approach is not without its flaws, it remains a promising strategy in the pursuit of improved mental health outcomes for children and young people across Wales.</w:t>
      </w:r>
    </w:p>
    <w:p w:rsidR="002127C4" w:rsidRDefault="002127C4" w:rsidP="004455EE">
      <w:pPr>
        <w:spacing w:before="100" w:beforeAutospacing="1" w:after="100" w:afterAutospacing="1" w:line="240" w:lineRule="auto"/>
        <w:rPr>
          <w:rFonts w:ascii="Times New Roman" w:eastAsia="Times New Roman" w:hAnsi="Times New Roman" w:cs="Times New Roman"/>
          <w:sz w:val="24"/>
          <w:szCs w:val="24"/>
          <w:lang w:eastAsia="en-GB"/>
        </w:rPr>
      </w:pPr>
    </w:p>
    <w:p w:rsidR="004455EE" w:rsidRPr="004455EE" w:rsidRDefault="004455EE" w:rsidP="004455EE">
      <w:pPr>
        <w:rPr>
          <w:rFonts w:ascii="Times New Roman" w:eastAsia="Times New Roman" w:hAnsi="Times New Roman" w:cs="Times New Roman"/>
          <w:sz w:val="24"/>
          <w:szCs w:val="24"/>
          <w:lang w:eastAsia="en-GB"/>
        </w:rPr>
      </w:pPr>
    </w:p>
    <w:p w:rsidR="00E03B72" w:rsidRPr="00E03B72" w:rsidRDefault="00E03B72" w:rsidP="00E03B72">
      <w:pPr>
        <w:rPr>
          <w:rFonts w:ascii="Times New Roman" w:eastAsia="Times New Roman" w:hAnsi="Times New Roman" w:cs="Times New Roman"/>
          <w:sz w:val="24"/>
          <w:szCs w:val="24"/>
          <w:lang w:eastAsia="en-GB"/>
        </w:rPr>
      </w:pPr>
    </w:p>
    <w:p w:rsidR="00AC19E8" w:rsidRPr="00AC19E8" w:rsidRDefault="00AC19E8" w:rsidP="00AC19E8">
      <w:pPr>
        <w:rPr>
          <w:rFonts w:eastAsia="Times New Roman" w:cstheme="minorHAnsi"/>
          <w:lang w:eastAsia="en-GB"/>
        </w:rPr>
      </w:pPr>
    </w:p>
    <w:p w:rsidR="00A94EAF" w:rsidRPr="00A94EAF" w:rsidRDefault="00A94EAF" w:rsidP="00AB3C08">
      <w:pPr>
        <w:spacing w:before="100" w:beforeAutospacing="1" w:after="100" w:afterAutospacing="1" w:line="240" w:lineRule="auto"/>
        <w:rPr>
          <w:rFonts w:ascii="Times New Roman" w:eastAsia="Times New Roman" w:hAnsi="Times New Roman" w:cs="Times New Roman"/>
          <w:sz w:val="24"/>
          <w:szCs w:val="24"/>
          <w:lang w:eastAsia="en-GB"/>
        </w:rPr>
      </w:pPr>
    </w:p>
    <w:p w:rsidR="00A94EAF" w:rsidRPr="008D26E5" w:rsidRDefault="00A94EAF" w:rsidP="008D26E5">
      <w:pPr>
        <w:rPr>
          <w:rFonts w:eastAsia="Times New Roman" w:cstheme="minorHAnsi"/>
          <w:lang w:eastAsia="en-GB"/>
        </w:rPr>
      </w:pPr>
    </w:p>
    <w:p w:rsidR="008D26E5" w:rsidRPr="008D26E5" w:rsidRDefault="008D26E5" w:rsidP="008D26E5">
      <w:pPr>
        <w:rPr>
          <w:rFonts w:ascii="Times New Roman" w:eastAsia="Times New Roman" w:hAnsi="Times New Roman" w:cs="Times New Roman"/>
          <w:sz w:val="24"/>
          <w:szCs w:val="24"/>
          <w:lang w:eastAsia="en-GB"/>
        </w:rPr>
      </w:pPr>
    </w:p>
    <w:p w:rsidR="001F192F" w:rsidRPr="001F192F" w:rsidRDefault="001F192F" w:rsidP="001F192F">
      <w:pPr>
        <w:rPr>
          <w:rFonts w:ascii="Times New Roman" w:eastAsia="Times New Roman" w:hAnsi="Times New Roman" w:cs="Times New Roman"/>
          <w:sz w:val="24"/>
          <w:szCs w:val="24"/>
          <w:lang w:eastAsia="en-GB"/>
        </w:rPr>
      </w:pPr>
    </w:p>
    <w:p w:rsidR="007B6AD3" w:rsidRPr="007B6AD3" w:rsidRDefault="007B6AD3" w:rsidP="007B6AD3">
      <w:pPr>
        <w:spacing w:before="100" w:beforeAutospacing="1" w:after="100" w:afterAutospacing="1" w:line="240" w:lineRule="auto"/>
        <w:rPr>
          <w:rFonts w:ascii="Times New Roman" w:eastAsia="Times New Roman" w:hAnsi="Times New Roman" w:cs="Times New Roman"/>
          <w:sz w:val="24"/>
          <w:szCs w:val="24"/>
          <w:lang w:eastAsia="en-GB"/>
        </w:rPr>
      </w:pPr>
    </w:p>
    <w:p w:rsidR="007B6AD3" w:rsidRPr="007B6AD3" w:rsidRDefault="007B6AD3"/>
    <w:p w:rsidR="00FD4078" w:rsidRPr="00FD4078" w:rsidRDefault="00FD4078" w:rsidP="00FD4078">
      <w:pPr>
        <w:spacing w:after="240" w:line="360" w:lineRule="auto"/>
        <w:jc w:val="both"/>
        <w:rPr>
          <w:rFonts w:eastAsia="Times New Roman" w:cstheme="minorHAnsi"/>
          <w:u w:val="single"/>
          <w:lang w:eastAsia="en-GB"/>
        </w:rPr>
      </w:pPr>
      <w:r w:rsidRPr="00FD4078">
        <w:rPr>
          <w:rFonts w:eastAsia="Times New Roman" w:cstheme="minorHAnsi"/>
          <w:u w:val="single"/>
          <w:lang w:eastAsia="en-GB"/>
        </w:rPr>
        <w:lastRenderedPageBreak/>
        <w:t>Reference list:</w:t>
      </w:r>
      <w:bookmarkStart w:id="0" w:name="_GoBack"/>
      <w:bookmarkEnd w:id="0"/>
    </w:p>
    <w:p w:rsidR="00FD4078" w:rsidRPr="00FD4078" w:rsidRDefault="00FD4078" w:rsidP="00FD4078">
      <w:pPr>
        <w:spacing w:after="240" w:line="360" w:lineRule="auto"/>
        <w:jc w:val="both"/>
        <w:rPr>
          <w:rFonts w:eastAsia="Times New Roman" w:cstheme="minorHAnsi"/>
          <w:lang w:eastAsia="en-GB"/>
        </w:rPr>
      </w:pPr>
      <w:r w:rsidRPr="00FD4078">
        <w:rPr>
          <w:rFonts w:eastAsia="Times New Roman" w:cstheme="minorHAnsi"/>
          <w:lang w:eastAsia="en-GB"/>
        </w:rPr>
        <w:t xml:space="preserve">Atkinson, M., Jones, M. and Lamont, E. (2007). </w:t>
      </w:r>
      <w:r w:rsidRPr="00FD4078">
        <w:rPr>
          <w:rFonts w:eastAsia="Times New Roman" w:cstheme="minorHAnsi"/>
          <w:i/>
          <w:iCs/>
          <w:lang w:eastAsia="en-GB"/>
        </w:rPr>
        <w:t xml:space="preserve">A review of the literature Multi-agency working and its implications for practice: Contents </w:t>
      </w:r>
      <w:proofErr w:type="spellStart"/>
      <w:r w:rsidRPr="00FD4078">
        <w:rPr>
          <w:rFonts w:eastAsia="Times New Roman" w:cstheme="minorHAnsi"/>
          <w:i/>
          <w:iCs/>
          <w:lang w:eastAsia="en-GB"/>
        </w:rPr>
        <w:t>Contents</w:t>
      </w:r>
      <w:proofErr w:type="spellEnd"/>
      <w:r w:rsidRPr="00FD4078">
        <w:rPr>
          <w:rFonts w:eastAsia="Times New Roman" w:cstheme="minorHAnsi"/>
          <w:i/>
          <w:iCs/>
          <w:lang w:eastAsia="en-GB"/>
        </w:rPr>
        <w:t xml:space="preserve"> 2</w:t>
      </w:r>
      <w:r w:rsidRPr="00FD4078">
        <w:rPr>
          <w:rFonts w:eastAsia="Times New Roman" w:cstheme="minorHAnsi"/>
          <w:lang w:eastAsia="en-GB"/>
        </w:rPr>
        <w:t xml:space="preserve">. [online] Available at: </w:t>
      </w:r>
      <w:hyperlink r:id="rId5" w:history="1">
        <w:r w:rsidR="00664B3E" w:rsidRPr="004D45CE">
          <w:rPr>
            <w:rStyle w:val="Hyperlink"/>
            <w:rFonts w:eastAsia="Times New Roman" w:cstheme="minorHAnsi"/>
            <w:lang w:eastAsia="en-GB"/>
          </w:rPr>
          <w:t>https://www.nfer.ac.uk/media/qy5hccud/mad01.pdf</w:t>
        </w:r>
      </w:hyperlink>
      <w:r w:rsidRPr="00FD4078">
        <w:rPr>
          <w:rFonts w:eastAsia="Times New Roman" w:cstheme="minorHAnsi"/>
          <w:lang w:eastAsia="en-GB"/>
        </w:rPr>
        <w:t>.</w:t>
      </w:r>
      <w:r w:rsidR="00664B3E">
        <w:rPr>
          <w:rFonts w:eastAsia="Times New Roman" w:cstheme="minorHAnsi"/>
          <w:lang w:eastAsia="en-GB"/>
        </w:rPr>
        <w:t xml:space="preserve"> [Accessed – 10/04/25]</w:t>
      </w:r>
    </w:p>
    <w:p w:rsidR="00FD4078" w:rsidRPr="00FD4078" w:rsidRDefault="00FD4078" w:rsidP="00FD4078">
      <w:pPr>
        <w:spacing w:after="240" w:line="360" w:lineRule="auto"/>
        <w:jc w:val="both"/>
        <w:rPr>
          <w:rFonts w:eastAsia="Times New Roman" w:cstheme="minorHAnsi"/>
          <w:lang w:eastAsia="en-GB"/>
        </w:rPr>
      </w:pPr>
      <w:proofErr w:type="spellStart"/>
      <w:r w:rsidRPr="00FD4078">
        <w:rPr>
          <w:rFonts w:eastAsia="Times New Roman" w:cstheme="minorHAnsi"/>
          <w:lang w:eastAsia="en-GB"/>
        </w:rPr>
        <w:t>Cheminais</w:t>
      </w:r>
      <w:proofErr w:type="spellEnd"/>
      <w:r w:rsidRPr="00FD4078">
        <w:rPr>
          <w:rFonts w:eastAsia="Times New Roman" w:cstheme="minorHAnsi"/>
          <w:lang w:eastAsia="en-GB"/>
        </w:rPr>
        <w:t xml:space="preserve">, R. (2008). </w:t>
      </w:r>
      <w:r w:rsidRPr="00FD4078">
        <w:rPr>
          <w:rFonts w:eastAsia="Times New Roman" w:cstheme="minorHAnsi"/>
          <w:i/>
          <w:iCs/>
          <w:lang w:eastAsia="en-GB"/>
        </w:rPr>
        <w:t>The Benefits and Challenges of Collaborative Multi-Agency Working</w:t>
      </w:r>
      <w:r w:rsidRPr="00FD4078">
        <w:rPr>
          <w:rFonts w:eastAsia="Times New Roman" w:cstheme="minorHAnsi"/>
          <w:lang w:eastAsia="en-GB"/>
        </w:rPr>
        <w:t xml:space="preserve">. [online] Available at: </w:t>
      </w:r>
      <w:hyperlink r:id="rId6" w:history="1">
        <w:r w:rsidR="00664B3E" w:rsidRPr="004D45CE">
          <w:rPr>
            <w:rStyle w:val="Hyperlink"/>
            <w:rFonts w:eastAsia="Times New Roman" w:cstheme="minorHAnsi"/>
            <w:lang w:eastAsia="en-GB"/>
          </w:rPr>
          <w:t>https://uk.sagepub.com/sites/default/files/upm-binaries/25241_02_Cheminais_Ch_02.pdf</w:t>
        </w:r>
      </w:hyperlink>
      <w:r w:rsidRPr="00FD4078">
        <w:rPr>
          <w:rFonts w:eastAsia="Times New Roman" w:cstheme="minorHAnsi"/>
          <w:lang w:eastAsia="en-GB"/>
        </w:rPr>
        <w:t>.</w:t>
      </w:r>
      <w:r w:rsidR="00664B3E">
        <w:rPr>
          <w:rFonts w:eastAsia="Times New Roman" w:cstheme="minorHAnsi"/>
          <w:lang w:eastAsia="en-GB"/>
        </w:rPr>
        <w:t xml:space="preserve"> </w:t>
      </w:r>
      <w:r w:rsidR="00664B3E">
        <w:rPr>
          <w:rFonts w:eastAsia="Times New Roman" w:cstheme="minorHAnsi"/>
          <w:lang w:eastAsia="en-GB"/>
        </w:rPr>
        <w:t>[Accessed – 22/04/25]</w:t>
      </w:r>
    </w:p>
    <w:p w:rsidR="00FD4078" w:rsidRPr="00FD4078" w:rsidRDefault="00FD4078" w:rsidP="00FD4078">
      <w:pPr>
        <w:spacing w:after="240" w:line="360" w:lineRule="auto"/>
        <w:jc w:val="both"/>
        <w:rPr>
          <w:rFonts w:eastAsia="Times New Roman" w:cstheme="minorHAnsi"/>
          <w:lang w:eastAsia="en-GB"/>
        </w:rPr>
      </w:pPr>
      <w:r w:rsidRPr="00FD4078">
        <w:rPr>
          <w:rFonts w:eastAsia="Times New Roman" w:cstheme="minorHAnsi"/>
          <w:lang w:eastAsia="en-GB"/>
        </w:rPr>
        <w:t xml:space="preserve">Cherry, K. (2025). </w:t>
      </w:r>
      <w:r w:rsidRPr="00FD4078">
        <w:rPr>
          <w:rFonts w:eastAsia="Times New Roman" w:cstheme="minorHAnsi"/>
          <w:i/>
          <w:iCs/>
          <w:lang w:eastAsia="en-GB"/>
        </w:rPr>
        <w:t>What is attachment theory?</w:t>
      </w:r>
      <w:r w:rsidRPr="00FD4078">
        <w:rPr>
          <w:rFonts w:eastAsia="Times New Roman" w:cstheme="minorHAnsi"/>
          <w:lang w:eastAsia="en-GB"/>
        </w:rPr>
        <w:t xml:space="preserve"> [online] </w:t>
      </w:r>
      <w:proofErr w:type="spellStart"/>
      <w:r w:rsidRPr="00FD4078">
        <w:rPr>
          <w:rFonts w:eastAsia="Times New Roman" w:cstheme="minorHAnsi"/>
          <w:lang w:eastAsia="en-GB"/>
        </w:rPr>
        <w:t>Verywell</w:t>
      </w:r>
      <w:proofErr w:type="spellEnd"/>
      <w:r w:rsidRPr="00FD4078">
        <w:rPr>
          <w:rFonts w:eastAsia="Times New Roman" w:cstheme="minorHAnsi"/>
          <w:lang w:eastAsia="en-GB"/>
        </w:rPr>
        <w:t xml:space="preserve"> Mind. Available at: </w:t>
      </w:r>
      <w:hyperlink r:id="rId7" w:history="1">
        <w:r w:rsidR="00664B3E" w:rsidRPr="004D45CE">
          <w:rPr>
            <w:rStyle w:val="Hyperlink"/>
            <w:rFonts w:eastAsia="Times New Roman" w:cstheme="minorHAnsi"/>
            <w:lang w:eastAsia="en-GB"/>
          </w:rPr>
          <w:t>https://www.verywellmind.com/what-is-attachment-theory-2795337</w:t>
        </w:r>
      </w:hyperlink>
      <w:r w:rsidRPr="00FD4078">
        <w:rPr>
          <w:rFonts w:eastAsia="Times New Roman" w:cstheme="minorHAnsi"/>
          <w:lang w:eastAsia="en-GB"/>
        </w:rPr>
        <w:t>.</w:t>
      </w:r>
      <w:r w:rsidR="00664B3E">
        <w:rPr>
          <w:rFonts w:eastAsia="Times New Roman" w:cstheme="minorHAnsi"/>
          <w:lang w:eastAsia="en-GB"/>
        </w:rPr>
        <w:t xml:space="preserve"> </w:t>
      </w:r>
      <w:r w:rsidR="00664B3E">
        <w:rPr>
          <w:rFonts w:eastAsia="Times New Roman" w:cstheme="minorHAnsi"/>
          <w:lang w:eastAsia="en-GB"/>
        </w:rPr>
        <w:t>[Accessed – 22/04/25]</w:t>
      </w:r>
    </w:p>
    <w:p w:rsidR="00FD4078" w:rsidRPr="00FD4078" w:rsidRDefault="00FD4078" w:rsidP="00FD4078">
      <w:pPr>
        <w:spacing w:after="240" w:line="360" w:lineRule="auto"/>
        <w:jc w:val="both"/>
        <w:rPr>
          <w:rFonts w:eastAsia="Times New Roman" w:cstheme="minorHAnsi"/>
          <w:lang w:eastAsia="en-GB"/>
        </w:rPr>
      </w:pPr>
      <w:r w:rsidRPr="00FD4078">
        <w:rPr>
          <w:rFonts w:eastAsia="Times New Roman" w:cstheme="minorHAnsi"/>
          <w:lang w:eastAsia="en-GB"/>
        </w:rPr>
        <w:t xml:space="preserve">Children's Commissioner for Wales (2020). </w:t>
      </w:r>
      <w:r w:rsidRPr="00FD4078">
        <w:rPr>
          <w:rFonts w:eastAsia="Times New Roman" w:cstheme="minorHAnsi"/>
          <w:i/>
          <w:iCs/>
          <w:lang w:eastAsia="en-GB"/>
        </w:rPr>
        <w:t>‘Major change needed’ in mental health and wellbeing care for vulnerable children</w:t>
      </w:r>
      <w:r w:rsidRPr="00FD4078">
        <w:rPr>
          <w:rFonts w:eastAsia="Times New Roman" w:cstheme="minorHAnsi"/>
          <w:lang w:eastAsia="en-GB"/>
        </w:rPr>
        <w:t xml:space="preserve">. [online] Children’s Commissioner for Wales. Available at: </w:t>
      </w:r>
      <w:hyperlink r:id="rId8" w:history="1">
        <w:r w:rsidR="00664B3E" w:rsidRPr="004D45CE">
          <w:rPr>
            <w:rStyle w:val="Hyperlink"/>
            <w:rFonts w:eastAsia="Times New Roman" w:cstheme="minorHAnsi"/>
            <w:lang w:eastAsia="en-GB"/>
          </w:rPr>
          <w:t>https://www.childcomwales.org.uk/2020/06/major-change-needed-in-mental-health-and-wellbeing-care-for-vulnerable-children/</w:t>
        </w:r>
      </w:hyperlink>
      <w:r w:rsidRPr="00FD4078">
        <w:rPr>
          <w:rFonts w:eastAsia="Times New Roman" w:cstheme="minorHAnsi"/>
          <w:lang w:eastAsia="en-GB"/>
        </w:rPr>
        <w:t>.</w:t>
      </w:r>
      <w:r w:rsidR="00664B3E">
        <w:rPr>
          <w:rFonts w:eastAsia="Times New Roman" w:cstheme="minorHAnsi"/>
          <w:lang w:eastAsia="en-GB"/>
        </w:rPr>
        <w:t xml:space="preserve"> </w:t>
      </w:r>
      <w:r w:rsidR="00664B3E">
        <w:rPr>
          <w:rFonts w:eastAsia="Times New Roman" w:cstheme="minorHAnsi"/>
          <w:lang w:eastAsia="en-GB"/>
        </w:rPr>
        <w:t>[Accessed – 22/04/25]</w:t>
      </w:r>
    </w:p>
    <w:p w:rsidR="00FD4078" w:rsidRPr="00FD4078" w:rsidRDefault="00FD4078" w:rsidP="00FD4078">
      <w:pPr>
        <w:spacing w:after="240" w:line="360" w:lineRule="auto"/>
        <w:jc w:val="both"/>
        <w:rPr>
          <w:rFonts w:eastAsia="Times New Roman" w:cstheme="minorHAnsi"/>
          <w:lang w:eastAsia="en-GB"/>
        </w:rPr>
      </w:pPr>
      <w:r w:rsidRPr="00FD4078">
        <w:rPr>
          <w:rFonts w:eastAsia="Times New Roman" w:cstheme="minorHAnsi"/>
          <w:lang w:eastAsia="en-GB"/>
        </w:rPr>
        <w:t xml:space="preserve">Children's Commissioner for Wales (2024). </w:t>
      </w:r>
      <w:r w:rsidRPr="00FD4078">
        <w:rPr>
          <w:rFonts w:eastAsia="Times New Roman" w:cstheme="minorHAnsi"/>
          <w:i/>
          <w:iCs/>
          <w:lang w:eastAsia="en-GB"/>
        </w:rPr>
        <w:t>Mental Health - Children’s Commissioner for Wales</w:t>
      </w:r>
      <w:r w:rsidRPr="00FD4078">
        <w:rPr>
          <w:rFonts w:eastAsia="Times New Roman" w:cstheme="minorHAnsi"/>
          <w:lang w:eastAsia="en-GB"/>
        </w:rPr>
        <w:t xml:space="preserve">. [online] Children’s Commissioner for Wales. Available at: </w:t>
      </w:r>
      <w:hyperlink r:id="rId9" w:history="1">
        <w:r w:rsidR="00664B3E" w:rsidRPr="004D45CE">
          <w:rPr>
            <w:rStyle w:val="Hyperlink"/>
            <w:rFonts w:eastAsia="Times New Roman" w:cstheme="minorHAnsi"/>
            <w:lang w:eastAsia="en-GB"/>
          </w:rPr>
          <w:t>https://www.childcomwales.org.uk/our-work/policy-positions/mental-health/</w:t>
        </w:r>
      </w:hyperlink>
      <w:r w:rsidRPr="00FD4078">
        <w:rPr>
          <w:rFonts w:eastAsia="Times New Roman" w:cstheme="minorHAnsi"/>
          <w:lang w:eastAsia="en-GB"/>
        </w:rPr>
        <w:t>.</w:t>
      </w:r>
      <w:r w:rsidR="00664B3E">
        <w:rPr>
          <w:rFonts w:eastAsia="Times New Roman" w:cstheme="minorHAnsi"/>
          <w:lang w:eastAsia="en-GB"/>
        </w:rPr>
        <w:t xml:space="preserve"> </w:t>
      </w:r>
      <w:r w:rsidR="00664B3E">
        <w:rPr>
          <w:rFonts w:eastAsia="Times New Roman" w:cstheme="minorHAnsi"/>
          <w:lang w:eastAsia="en-GB"/>
        </w:rPr>
        <w:t>[Accessed – 10/04/25]</w:t>
      </w:r>
    </w:p>
    <w:p w:rsidR="00FD4078" w:rsidRPr="00FD4078" w:rsidRDefault="001351B4" w:rsidP="00FD4078">
      <w:pPr>
        <w:spacing w:after="240" w:line="360" w:lineRule="auto"/>
        <w:jc w:val="both"/>
        <w:rPr>
          <w:rFonts w:eastAsia="Times New Roman" w:cstheme="minorHAnsi"/>
          <w:lang w:eastAsia="en-GB"/>
        </w:rPr>
      </w:pPr>
      <w:r>
        <w:rPr>
          <w:rFonts w:eastAsia="Times New Roman" w:cstheme="minorHAnsi"/>
          <w:lang w:eastAsia="en-GB"/>
        </w:rPr>
        <w:t>Department for Education (2021</w:t>
      </w:r>
      <w:r w:rsidR="00FD4078" w:rsidRPr="00FD4078">
        <w:rPr>
          <w:rFonts w:eastAsia="Times New Roman" w:cstheme="minorHAnsi"/>
          <w:lang w:eastAsia="en-GB"/>
        </w:rPr>
        <w:t xml:space="preserve">). </w:t>
      </w:r>
      <w:r w:rsidR="00FD4078" w:rsidRPr="00FD4078">
        <w:rPr>
          <w:rFonts w:eastAsia="Times New Roman" w:cstheme="minorHAnsi"/>
          <w:i/>
          <w:iCs/>
          <w:lang w:eastAsia="en-GB"/>
        </w:rPr>
        <w:t>Multi-agency reform: Key behavioural drivers and barriers</w:t>
      </w:r>
      <w:r w:rsidR="00FD4078" w:rsidRPr="00FD4078">
        <w:rPr>
          <w:rFonts w:eastAsia="Times New Roman" w:cstheme="minorHAnsi"/>
          <w:lang w:eastAsia="en-GB"/>
        </w:rPr>
        <w:t xml:space="preserve">. [online] </w:t>
      </w:r>
      <w:r w:rsidR="00FD4078" w:rsidRPr="00FD4078">
        <w:rPr>
          <w:rFonts w:eastAsia="Times New Roman" w:cstheme="minorHAnsi"/>
          <w:i/>
          <w:iCs/>
          <w:lang w:eastAsia="en-GB"/>
        </w:rPr>
        <w:t>gov.uk</w:t>
      </w:r>
      <w:r w:rsidR="00FD4078" w:rsidRPr="00FD4078">
        <w:rPr>
          <w:rFonts w:eastAsia="Times New Roman" w:cstheme="minorHAnsi"/>
          <w:lang w:eastAsia="en-GB"/>
        </w:rPr>
        <w:t xml:space="preserve">, pp.7–10. Available at: </w:t>
      </w:r>
      <w:hyperlink r:id="rId10" w:history="1">
        <w:r w:rsidR="00664B3E" w:rsidRPr="004D45CE">
          <w:rPr>
            <w:rStyle w:val="Hyperlink"/>
            <w:rFonts w:eastAsia="Times New Roman" w:cstheme="minorHAnsi"/>
            <w:lang w:eastAsia="en-GB"/>
          </w:rPr>
          <w:t>https://assets.publishing.service.gov.uk/government/uploads/system/uploads/attachment_data/file/1041000/MultiAgencyReform_Kantar_Report.pdf</w:t>
        </w:r>
      </w:hyperlink>
      <w:r w:rsidR="00FD4078" w:rsidRPr="00FD4078">
        <w:rPr>
          <w:rFonts w:eastAsia="Times New Roman" w:cstheme="minorHAnsi"/>
          <w:lang w:eastAsia="en-GB"/>
        </w:rPr>
        <w:t>.</w:t>
      </w:r>
      <w:r w:rsidR="00664B3E">
        <w:rPr>
          <w:rFonts w:eastAsia="Times New Roman" w:cstheme="minorHAnsi"/>
          <w:lang w:eastAsia="en-GB"/>
        </w:rPr>
        <w:t xml:space="preserve"> </w:t>
      </w:r>
      <w:r w:rsidR="00664B3E">
        <w:rPr>
          <w:rFonts w:eastAsia="Times New Roman" w:cstheme="minorHAnsi"/>
          <w:lang w:eastAsia="en-GB"/>
        </w:rPr>
        <w:t>[Accessed – 22/04/25]</w:t>
      </w:r>
    </w:p>
    <w:p w:rsidR="00FD4078" w:rsidRPr="00FD4078" w:rsidRDefault="00FD4078" w:rsidP="00FD4078">
      <w:pPr>
        <w:spacing w:after="240" w:line="360" w:lineRule="auto"/>
        <w:jc w:val="both"/>
        <w:rPr>
          <w:rFonts w:eastAsia="Times New Roman" w:cstheme="minorHAnsi"/>
          <w:lang w:eastAsia="en-GB"/>
        </w:rPr>
      </w:pPr>
      <w:r w:rsidRPr="00FD4078">
        <w:rPr>
          <w:rFonts w:eastAsia="Times New Roman" w:cstheme="minorHAnsi"/>
          <w:lang w:eastAsia="en-GB"/>
        </w:rPr>
        <w:t xml:space="preserve">Department for Education (2021b). </w:t>
      </w:r>
      <w:r w:rsidRPr="00FD4078">
        <w:rPr>
          <w:rFonts w:eastAsia="Times New Roman" w:cstheme="minorHAnsi"/>
          <w:i/>
          <w:iCs/>
          <w:lang w:eastAsia="en-GB"/>
        </w:rPr>
        <w:t>Multi-agency reform: Key behavioural drivers and barriers</w:t>
      </w:r>
      <w:r w:rsidRPr="00FD4078">
        <w:rPr>
          <w:rFonts w:eastAsia="Times New Roman" w:cstheme="minorHAnsi"/>
          <w:lang w:eastAsia="en-GB"/>
        </w:rPr>
        <w:t xml:space="preserve">. </w:t>
      </w:r>
      <w:r w:rsidRPr="00FD4078">
        <w:rPr>
          <w:rFonts w:eastAsia="Times New Roman" w:cstheme="minorHAnsi"/>
          <w:i/>
          <w:iCs/>
          <w:lang w:eastAsia="en-GB"/>
        </w:rPr>
        <w:t>www.gov.uk</w:t>
      </w:r>
      <w:r w:rsidRPr="00FD4078">
        <w:rPr>
          <w:rFonts w:eastAsia="Times New Roman" w:cstheme="minorHAnsi"/>
          <w:lang w:eastAsia="en-GB"/>
        </w:rPr>
        <w:t>, pp.4–7.</w:t>
      </w:r>
      <w:r w:rsidR="00664B3E" w:rsidRPr="00664B3E">
        <w:rPr>
          <w:rFonts w:eastAsia="Times New Roman" w:cstheme="minorHAnsi"/>
          <w:lang w:eastAsia="en-GB"/>
        </w:rPr>
        <w:t xml:space="preserve"> </w:t>
      </w:r>
      <w:r w:rsidR="00664B3E">
        <w:rPr>
          <w:rFonts w:eastAsia="Times New Roman" w:cstheme="minorHAnsi"/>
          <w:lang w:eastAsia="en-GB"/>
        </w:rPr>
        <w:t>[Accessed – 22/04/25]</w:t>
      </w:r>
    </w:p>
    <w:p w:rsidR="00FD4078" w:rsidRPr="00FD4078" w:rsidRDefault="00FD4078" w:rsidP="00FD4078">
      <w:pPr>
        <w:spacing w:after="240" w:line="360" w:lineRule="auto"/>
        <w:jc w:val="both"/>
        <w:rPr>
          <w:rFonts w:eastAsia="Times New Roman" w:cstheme="minorHAnsi"/>
          <w:lang w:eastAsia="en-GB"/>
        </w:rPr>
      </w:pPr>
      <w:r w:rsidRPr="00FD4078">
        <w:rPr>
          <w:rFonts w:eastAsia="Times New Roman" w:cstheme="minorHAnsi"/>
          <w:lang w:eastAsia="en-GB"/>
        </w:rPr>
        <w:t xml:space="preserve">Department of Health and Social Care (2017). </w:t>
      </w:r>
      <w:r w:rsidRPr="00FD4078">
        <w:rPr>
          <w:rFonts w:eastAsia="Times New Roman" w:cstheme="minorHAnsi"/>
          <w:i/>
          <w:iCs/>
          <w:lang w:eastAsia="en-GB"/>
        </w:rPr>
        <w:t>Quick read: Transforming children and young people’s mental health provision</w:t>
      </w:r>
      <w:r w:rsidRPr="00FD4078">
        <w:rPr>
          <w:rFonts w:eastAsia="Times New Roman" w:cstheme="minorHAnsi"/>
          <w:lang w:eastAsia="en-GB"/>
        </w:rPr>
        <w:t xml:space="preserve">. [online] GOV.UK. Available at: </w:t>
      </w:r>
      <w:hyperlink r:id="rId11" w:history="1">
        <w:r w:rsidR="00664B3E" w:rsidRPr="004D45CE">
          <w:rPr>
            <w:rStyle w:val="Hyperlink"/>
            <w:rFonts w:eastAsia="Times New Roman" w:cstheme="minorHAnsi"/>
            <w:lang w:eastAsia="en-GB"/>
          </w:rPr>
          <w:t>https://www.gov.uk/government/consultations/transforming-children-and-young-peoples-mental-health-provision-a-green-paper/quick-read-transforming-children-and-young-peoples-mental-health-provision</w:t>
        </w:r>
      </w:hyperlink>
      <w:r w:rsidRPr="00FD4078">
        <w:rPr>
          <w:rFonts w:eastAsia="Times New Roman" w:cstheme="minorHAnsi"/>
          <w:lang w:eastAsia="en-GB"/>
        </w:rPr>
        <w:t>.</w:t>
      </w:r>
      <w:r w:rsidR="00664B3E">
        <w:rPr>
          <w:rFonts w:eastAsia="Times New Roman" w:cstheme="minorHAnsi"/>
          <w:lang w:eastAsia="en-GB"/>
        </w:rPr>
        <w:t xml:space="preserve"> </w:t>
      </w:r>
      <w:r w:rsidR="00664B3E">
        <w:rPr>
          <w:rFonts w:eastAsia="Times New Roman" w:cstheme="minorHAnsi"/>
          <w:lang w:eastAsia="en-GB"/>
        </w:rPr>
        <w:t>[Accessed – 10/04/25]</w:t>
      </w:r>
    </w:p>
    <w:p w:rsidR="00FD4078" w:rsidRPr="00FD4078" w:rsidRDefault="00FD4078" w:rsidP="00FD4078">
      <w:pPr>
        <w:spacing w:after="240" w:line="360" w:lineRule="auto"/>
        <w:jc w:val="both"/>
        <w:rPr>
          <w:rFonts w:eastAsia="Times New Roman" w:cstheme="minorHAnsi"/>
          <w:lang w:eastAsia="en-GB"/>
        </w:rPr>
      </w:pPr>
      <w:proofErr w:type="spellStart"/>
      <w:r w:rsidRPr="00FD4078">
        <w:rPr>
          <w:rFonts w:eastAsia="Times New Roman" w:cstheme="minorHAnsi"/>
          <w:lang w:eastAsia="en-GB"/>
        </w:rPr>
        <w:t>Everitt</w:t>
      </w:r>
      <w:proofErr w:type="spellEnd"/>
      <w:r w:rsidRPr="00FD4078">
        <w:rPr>
          <w:rFonts w:eastAsia="Times New Roman" w:cstheme="minorHAnsi"/>
          <w:lang w:eastAsia="en-GB"/>
        </w:rPr>
        <w:t xml:space="preserve">, J. (2010). A critical evaluation of the effectiveness and efficiency of multi-agency working: A literature review. pp.3–10. </w:t>
      </w:r>
      <w:proofErr w:type="spellStart"/>
      <w:r w:rsidRPr="00FD4078">
        <w:rPr>
          <w:rFonts w:eastAsia="Times New Roman" w:cstheme="minorHAnsi"/>
          <w:lang w:eastAsia="en-GB"/>
        </w:rPr>
        <w:t>doi:https</w:t>
      </w:r>
      <w:proofErr w:type="spellEnd"/>
      <w:r w:rsidRPr="00FD4078">
        <w:rPr>
          <w:rFonts w:eastAsia="Times New Roman" w:cstheme="minorHAnsi"/>
          <w:lang w:eastAsia="en-GB"/>
        </w:rPr>
        <w:t>://doi.org/10.13140/RG.2.1.2859.9202.</w:t>
      </w:r>
      <w:r w:rsidR="00664B3E">
        <w:rPr>
          <w:rFonts w:eastAsia="Times New Roman" w:cstheme="minorHAnsi"/>
          <w:lang w:eastAsia="en-GB"/>
        </w:rPr>
        <w:t xml:space="preserve"> </w:t>
      </w:r>
      <w:r w:rsidR="00664B3E">
        <w:rPr>
          <w:rFonts w:eastAsia="Times New Roman" w:cstheme="minorHAnsi"/>
          <w:lang w:eastAsia="en-GB"/>
        </w:rPr>
        <w:t>[Accessed – 10/04/25]</w:t>
      </w:r>
    </w:p>
    <w:p w:rsidR="00FD4078" w:rsidRPr="00FD4078" w:rsidRDefault="00FD4078" w:rsidP="00FD4078">
      <w:pPr>
        <w:spacing w:after="240" w:line="360" w:lineRule="auto"/>
        <w:jc w:val="both"/>
        <w:rPr>
          <w:rFonts w:eastAsia="Times New Roman" w:cstheme="minorHAnsi"/>
          <w:lang w:eastAsia="en-GB"/>
        </w:rPr>
      </w:pPr>
      <w:proofErr w:type="spellStart"/>
      <w:proofErr w:type="gramStart"/>
      <w:r w:rsidRPr="00FD4078">
        <w:rPr>
          <w:rFonts w:eastAsia="Times New Roman" w:cstheme="minorHAnsi"/>
          <w:lang w:eastAsia="en-GB"/>
        </w:rPr>
        <w:lastRenderedPageBreak/>
        <w:t>gov.wales</w:t>
      </w:r>
      <w:proofErr w:type="spellEnd"/>
      <w:proofErr w:type="gramEnd"/>
      <w:r w:rsidRPr="00FD4078">
        <w:rPr>
          <w:rFonts w:eastAsia="Times New Roman" w:cstheme="minorHAnsi"/>
          <w:lang w:eastAsia="en-GB"/>
        </w:rPr>
        <w:t xml:space="preserve"> (2023). </w:t>
      </w:r>
      <w:r w:rsidRPr="00FD4078">
        <w:rPr>
          <w:rFonts w:eastAsia="Times New Roman" w:cstheme="minorHAnsi"/>
          <w:i/>
          <w:iCs/>
          <w:lang w:eastAsia="en-GB"/>
        </w:rPr>
        <w:t>NEST framework (mental health and wellbeing): introduction | GOV.WALES</w:t>
      </w:r>
      <w:r w:rsidRPr="00FD4078">
        <w:rPr>
          <w:rFonts w:eastAsia="Times New Roman" w:cstheme="minorHAnsi"/>
          <w:lang w:eastAsia="en-GB"/>
        </w:rPr>
        <w:t xml:space="preserve">. [online] www.gov.wales. Available at: </w:t>
      </w:r>
      <w:hyperlink r:id="rId12" w:history="1">
        <w:r w:rsidR="00664B3E" w:rsidRPr="004D45CE">
          <w:rPr>
            <w:rStyle w:val="Hyperlink"/>
            <w:rFonts w:eastAsia="Times New Roman" w:cstheme="minorHAnsi"/>
            <w:lang w:eastAsia="en-GB"/>
          </w:rPr>
          <w:t>https://www.gov.wales/nest-framework-mental-health-and-wellbeing-introduction</w:t>
        </w:r>
      </w:hyperlink>
      <w:r w:rsidRPr="00FD4078">
        <w:rPr>
          <w:rFonts w:eastAsia="Times New Roman" w:cstheme="minorHAnsi"/>
          <w:lang w:eastAsia="en-GB"/>
        </w:rPr>
        <w:t>.</w:t>
      </w:r>
      <w:r w:rsidR="00664B3E">
        <w:rPr>
          <w:rFonts w:eastAsia="Times New Roman" w:cstheme="minorHAnsi"/>
          <w:lang w:eastAsia="en-GB"/>
        </w:rPr>
        <w:t xml:space="preserve"> </w:t>
      </w:r>
      <w:r w:rsidR="00664B3E">
        <w:rPr>
          <w:rFonts w:eastAsia="Times New Roman" w:cstheme="minorHAnsi"/>
          <w:lang w:eastAsia="en-GB"/>
        </w:rPr>
        <w:t>[Accessed 18/04/25]</w:t>
      </w:r>
    </w:p>
    <w:p w:rsidR="00FD4078" w:rsidRPr="00FD4078" w:rsidRDefault="00FD4078" w:rsidP="00FD4078">
      <w:pPr>
        <w:spacing w:after="240" w:line="360" w:lineRule="auto"/>
        <w:jc w:val="both"/>
        <w:rPr>
          <w:rFonts w:eastAsia="Times New Roman" w:cstheme="minorHAnsi"/>
          <w:lang w:eastAsia="en-GB"/>
        </w:rPr>
      </w:pPr>
      <w:r w:rsidRPr="00FD4078">
        <w:rPr>
          <w:rFonts w:eastAsia="Times New Roman" w:cstheme="minorHAnsi"/>
          <w:lang w:eastAsia="en-GB"/>
        </w:rPr>
        <w:t xml:space="preserve">Guy-Evans, O. (2024). </w:t>
      </w:r>
      <w:r w:rsidRPr="00FD4078">
        <w:rPr>
          <w:rFonts w:eastAsia="Times New Roman" w:cstheme="minorHAnsi"/>
          <w:i/>
          <w:iCs/>
          <w:lang w:eastAsia="en-GB"/>
        </w:rPr>
        <w:t>Bronfenbrenner’s Ecological Systems Theory</w:t>
      </w:r>
      <w:r w:rsidRPr="00FD4078">
        <w:rPr>
          <w:rFonts w:eastAsia="Times New Roman" w:cstheme="minorHAnsi"/>
          <w:lang w:eastAsia="en-GB"/>
        </w:rPr>
        <w:t xml:space="preserve">. [online] Simply Psychology. Available at: </w:t>
      </w:r>
      <w:hyperlink r:id="rId13" w:history="1">
        <w:r w:rsidR="00664B3E" w:rsidRPr="004D45CE">
          <w:rPr>
            <w:rStyle w:val="Hyperlink"/>
            <w:rFonts w:eastAsia="Times New Roman" w:cstheme="minorHAnsi"/>
            <w:lang w:eastAsia="en-GB"/>
          </w:rPr>
          <w:t>https://www.simplypsychology.org/Bronfenbrenner.html</w:t>
        </w:r>
      </w:hyperlink>
      <w:r w:rsidRPr="00FD4078">
        <w:rPr>
          <w:rFonts w:eastAsia="Times New Roman" w:cstheme="minorHAnsi"/>
          <w:lang w:eastAsia="en-GB"/>
        </w:rPr>
        <w:t>.</w:t>
      </w:r>
      <w:r w:rsidR="00664B3E">
        <w:rPr>
          <w:rFonts w:eastAsia="Times New Roman" w:cstheme="minorHAnsi"/>
          <w:lang w:eastAsia="en-GB"/>
        </w:rPr>
        <w:t xml:space="preserve"> [Accessed 18/04/25]</w:t>
      </w:r>
    </w:p>
    <w:p w:rsidR="00FD4078" w:rsidRPr="00FD4078" w:rsidRDefault="00FD4078" w:rsidP="00FD4078">
      <w:pPr>
        <w:spacing w:after="240" w:line="360" w:lineRule="auto"/>
        <w:jc w:val="both"/>
        <w:rPr>
          <w:rFonts w:eastAsia="Times New Roman" w:cstheme="minorHAnsi"/>
          <w:lang w:eastAsia="en-GB"/>
        </w:rPr>
      </w:pPr>
      <w:r w:rsidRPr="00FD4078">
        <w:rPr>
          <w:rFonts w:eastAsia="Times New Roman" w:cstheme="minorHAnsi"/>
          <w:lang w:eastAsia="en-GB"/>
        </w:rPr>
        <w:t xml:space="preserve">Home Office (2014). </w:t>
      </w:r>
      <w:r w:rsidRPr="00FD4078">
        <w:rPr>
          <w:rFonts w:eastAsia="Times New Roman" w:cstheme="minorHAnsi"/>
          <w:i/>
          <w:iCs/>
          <w:lang w:eastAsia="en-GB"/>
        </w:rPr>
        <w:t>Multi Agency Working and Information Sharing Project Final report</w:t>
      </w:r>
      <w:r w:rsidRPr="00FD4078">
        <w:rPr>
          <w:rFonts w:eastAsia="Times New Roman" w:cstheme="minorHAnsi"/>
          <w:lang w:eastAsia="en-GB"/>
        </w:rPr>
        <w:t xml:space="preserve">. [online] Available at: </w:t>
      </w:r>
      <w:hyperlink r:id="rId14" w:history="1">
        <w:r w:rsidR="00664B3E" w:rsidRPr="004D45CE">
          <w:rPr>
            <w:rStyle w:val="Hyperlink"/>
            <w:rFonts w:eastAsia="Times New Roman" w:cstheme="minorHAnsi"/>
            <w:lang w:eastAsia="en-GB"/>
          </w:rPr>
          <w:t>https://assets.publishing.service.gov.uk/media/5a750ddb40f0b6360e472fa5/MASH.pdf</w:t>
        </w:r>
      </w:hyperlink>
      <w:r w:rsidRPr="00FD4078">
        <w:rPr>
          <w:rFonts w:eastAsia="Times New Roman" w:cstheme="minorHAnsi"/>
          <w:lang w:eastAsia="en-GB"/>
        </w:rPr>
        <w:t>.</w:t>
      </w:r>
      <w:r w:rsidR="00664B3E">
        <w:rPr>
          <w:rFonts w:eastAsia="Times New Roman" w:cstheme="minorHAnsi"/>
          <w:lang w:eastAsia="en-GB"/>
        </w:rPr>
        <w:t xml:space="preserve"> </w:t>
      </w:r>
      <w:r w:rsidR="00664B3E">
        <w:rPr>
          <w:rFonts w:eastAsia="Times New Roman" w:cstheme="minorHAnsi"/>
          <w:lang w:eastAsia="en-GB"/>
        </w:rPr>
        <w:t>[Accessed – 10/04/25]</w:t>
      </w:r>
    </w:p>
    <w:p w:rsidR="00FD4078" w:rsidRPr="00FD4078" w:rsidRDefault="00FD4078" w:rsidP="00FD4078">
      <w:pPr>
        <w:spacing w:after="240" w:line="360" w:lineRule="auto"/>
        <w:jc w:val="both"/>
        <w:rPr>
          <w:rFonts w:eastAsia="Times New Roman" w:cstheme="minorHAnsi"/>
          <w:lang w:eastAsia="en-GB"/>
        </w:rPr>
      </w:pPr>
      <w:r w:rsidRPr="00FD4078">
        <w:rPr>
          <w:rFonts w:eastAsia="Times New Roman" w:cstheme="minorHAnsi"/>
          <w:lang w:eastAsia="en-GB"/>
        </w:rPr>
        <w:t xml:space="preserve">Ofsted (2023). </w:t>
      </w:r>
      <w:r w:rsidRPr="00FD4078">
        <w:rPr>
          <w:rFonts w:eastAsia="Times New Roman" w:cstheme="minorHAnsi"/>
          <w:i/>
          <w:iCs/>
          <w:lang w:eastAsia="en-GB"/>
        </w:rPr>
        <w:t>The multi-agency response to children and families who need help</w:t>
      </w:r>
      <w:r w:rsidRPr="00FD4078">
        <w:rPr>
          <w:rFonts w:eastAsia="Times New Roman" w:cstheme="minorHAnsi"/>
          <w:lang w:eastAsia="en-GB"/>
        </w:rPr>
        <w:t xml:space="preserve">. [online] GOV.UK. Available at: </w:t>
      </w:r>
      <w:hyperlink r:id="rId15" w:history="1">
        <w:r w:rsidR="00664B3E" w:rsidRPr="004D45CE">
          <w:rPr>
            <w:rStyle w:val="Hyperlink"/>
            <w:rFonts w:eastAsia="Times New Roman" w:cstheme="minorHAnsi"/>
            <w:lang w:eastAsia="en-GB"/>
          </w:rPr>
          <w:t>https://www.gov.uk/government/publications/the-multi-agency-response-to-children-and-families-who-need-help/the-multi-agency-response-to-children-and-families-who-need-help</w:t>
        </w:r>
      </w:hyperlink>
      <w:r w:rsidRPr="00FD4078">
        <w:rPr>
          <w:rFonts w:eastAsia="Times New Roman" w:cstheme="minorHAnsi"/>
          <w:lang w:eastAsia="en-GB"/>
        </w:rPr>
        <w:t>.</w:t>
      </w:r>
      <w:r w:rsidR="00664B3E">
        <w:rPr>
          <w:rFonts w:eastAsia="Times New Roman" w:cstheme="minorHAnsi"/>
          <w:lang w:eastAsia="en-GB"/>
        </w:rPr>
        <w:t xml:space="preserve"> </w:t>
      </w:r>
    </w:p>
    <w:p w:rsidR="00FD4078" w:rsidRPr="00FD4078" w:rsidRDefault="00FD4078" w:rsidP="00FD4078">
      <w:pPr>
        <w:spacing w:after="240" w:line="360" w:lineRule="auto"/>
        <w:jc w:val="both"/>
        <w:rPr>
          <w:rFonts w:eastAsia="Times New Roman" w:cstheme="minorHAnsi"/>
          <w:lang w:eastAsia="en-GB"/>
        </w:rPr>
      </w:pPr>
      <w:r w:rsidRPr="00FD4078">
        <w:rPr>
          <w:rFonts w:eastAsia="Times New Roman" w:cstheme="minorHAnsi"/>
          <w:lang w:eastAsia="en-GB"/>
        </w:rPr>
        <w:t xml:space="preserve">The Tavistock and Portman NHS Foundation Trust (2025). </w:t>
      </w:r>
      <w:r w:rsidRPr="00FD4078">
        <w:rPr>
          <w:rFonts w:eastAsia="Times New Roman" w:cstheme="minorHAnsi"/>
          <w:i/>
          <w:iCs/>
          <w:lang w:eastAsia="en-GB"/>
        </w:rPr>
        <w:t>The THRIVE Framework for system change</w:t>
      </w:r>
      <w:r w:rsidRPr="00FD4078">
        <w:rPr>
          <w:rFonts w:eastAsia="Times New Roman" w:cstheme="minorHAnsi"/>
          <w:lang w:eastAsia="en-GB"/>
        </w:rPr>
        <w:t xml:space="preserve">. [online] Tavistock and Portman. Available at: </w:t>
      </w:r>
      <w:hyperlink r:id="rId16" w:history="1">
        <w:r w:rsidR="00664B3E" w:rsidRPr="004D45CE">
          <w:rPr>
            <w:rStyle w:val="Hyperlink"/>
            <w:rFonts w:eastAsia="Times New Roman" w:cstheme="minorHAnsi"/>
            <w:lang w:eastAsia="en-GB"/>
          </w:rPr>
          <w:t>https://tavistockandportman.nhs.uk/our-models-of-care/thrive/</w:t>
        </w:r>
      </w:hyperlink>
      <w:r w:rsidRPr="00FD4078">
        <w:rPr>
          <w:rFonts w:eastAsia="Times New Roman" w:cstheme="minorHAnsi"/>
          <w:lang w:eastAsia="en-GB"/>
        </w:rPr>
        <w:t>.</w:t>
      </w:r>
      <w:r w:rsidR="00664B3E">
        <w:rPr>
          <w:rFonts w:eastAsia="Times New Roman" w:cstheme="minorHAnsi"/>
          <w:lang w:eastAsia="en-GB"/>
        </w:rPr>
        <w:t xml:space="preserve"> </w:t>
      </w:r>
      <w:r w:rsidR="00664B3E">
        <w:rPr>
          <w:rFonts w:eastAsia="Times New Roman" w:cstheme="minorHAnsi"/>
          <w:lang w:eastAsia="en-GB"/>
        </w:rPr>
        <w:t>[Accessed 18/04/25]</w:t>
      </w:r>
    </w:p>
    <w:p w:rsidR="00FD4078" w:rsidRPr="00FD4078" w:rsidRDefault="00FD4078" w:rsidP="00FD4078">
      <w:pPr>
        <w:spacing w:after="240" w:line="360" w:lineRule="auto"/>
        <w:jc w:val="both"/>
        <w:rPr>
          <w:rFonts w:eastAsia="Times New Roman" w:cstheme="minorHAnsi"/>
          <w:lang w:eastAsia="en-GB"/>
        </w:rPr>
      </w:pPr>
      <w:r w:rsidRPr="00FD4078">
        <w:rPr>
          <w:rFonts w:eastAsia="Times New Roman" w:cstheme="minorHAnsi"/>
          <w:lang w:eastAsia="en-GB"/>
        </w:rPr>
        <w:t xml:space="preserve">Welsh Government (2014). </w:t>
      </w:r>
      <w:r w:rsidRPr="00FD4078">
        <w:rPr>
          <w:rFonts w:eastAsia="Times New Roman" w:cstheme="minorHAnsi"/>
          <w:i/>
          <w:iCs/>
          <w:lang w:eastAsia="en-GB"/>
        </w:rPr>
        <w:t>Social Services and Well-being (Wales) Act 2014</w:t>
      </w:r>
      <w:r w:rsidRPr="00FD4078">
        <w:rPr>
          <w:rFonts w:eastAsia="Times New Roman" w:cstheme="minorHAnsi"/>
          <w:lang w:eastAsia="en-GB"/>
        </w:rPr>
        <w:t xml:space="preserve">. [online] Available at: </w:t>
      </w:r>
      <w:hyperlink r:id="rId17" w:history="1">
        <w:r w:rsidR="00664B3E" w:rsidRPr="004D45CE">
          <w:rPr>
            <w:rStyle w:val="Hyperlink"/>
            <w:rFonts w:eastAsia="Times New Roman" w:cstheme="minorHAnsi"/>
            <w:lang w:eastAsia="en-GB"/>
          </w:rPr>
          <w:t>https://www.gov.wales/sites/default/files/publications/2019-05/social-services-and-well-being-wales-act-2014-the-essentials.pdf</w:t>
        </w:r>
      </w:hyperlink>
      <w:r w:rsidRPr="00FD4078">
        <w:rPr>
          <w:rFonts w:eastAsia="Times New Roman" w:cstheme="minorHAnsi"/>
          <w:lang w:eastAsia="en-GB"/>
        </w:rPr>
        <w:t>.</w:t>
      </w:r>
      <w:r w:rsidR="00664B3E">
        <w:rPr>
          <w:rFonts w:eastAsia="Times New Roman" w:cstheme="minorHAnsi"/>
          <w:lang w:eastAsia="en-GB"/>
        </w:rPr>
        <w:t xml:space="preserve"> </w:t>
      </w:r>
      <w:r w:rsidR="00664B3E">
        <w:rPr>
          <w:rFonts w:eastAsia="Times New Roman" w:cstheme="minorHAnsi"/>
          <w:lang w:eastAsia="en-GB"/>
        </w:rPr>
        <w:t>[Accessed 18/04/25]</w:t>
      </w:r>
    </w:p>
    <w:p w:rsidR="00FD4078" w:rsidRPr="00FD4078" w:rsidRDefault="00FD4078" w:rsidP="00FD4078">
      <w:pPr>
        <w:spacing w:after="240" w:line="360" w:lineRule="auto"/>
        <w:jc w:val="both"/>
        <w:rPr>
          <w:rFonts w:eastAsia="Times New Roman" w:cstheme="minorHAnsi"/>
          <w:lang w:eastAsia="en-GB"/>
        </w:rPr>
      </w:pPr>
      <w:r w:rsidRPr="00FD4078">
        <w:rPr>
          <w:rFonts w:eastAsia="Times New Roman" w:cstheme="minorHAnsi"/>
          <w:lang w:eastAsia="en-GB"/>
        </w:rPr>
        <w:t xml:space="preserve">Welsh Government (2021). </w:t>
      </w:r>
      <w:r w:rsidRPr="00FD4078">
        <w:rPr>
          <w:rFonts w:eastAsia="Times New Roman" w:cstheme="minorHAnsi"/>
          <w:i/>
          <w:iCs/>
          <w:lang w:eastAsia="en-GB"/>
        </w:rPr>
        <w:t>Framework on embedding a whole-school approach to emotional and mental well-being</w:t>
      </w:r>
      <w:r w:rsidRPr="00FD4078">
        <w:rPr>
          <w:rFonts w:eastAsia="Times New Roman" w:cstheme="minorHAnsi"/>
          <w:lang w:eastAsia="en-GB"/>
        </w:rPr>
        <w:t xml:space="preserve">. [online] </w:t>
      </w:r>
      <w:proofErr w:type="spellStart"/>
      <w:proofErr w:type="gramStart"/>
      <w:r w:rsidRPr="00FD4078">
        <w:rPr>
          <w:rFonts w:eastAsia="Times New Roman" w:cstheme="minorHAnsi"/>
          <w:i/>
          <w:iCs/>
          <w:lang w:eastAsia="en-GB"/>
        </w:rPr>
        <w:t>gov.wales</w:t>
      </w:r>
      <w:proofErr w:type="spellEnd"/>
      <w:proofErr w:type="gramEnd"/>
      <w:r w:rsidRPr="00FD4078">
        <w:rPr>
          <w:rFonts w:eastAsia="Times New Roman" w:cstheme="minorHAnsi"/>
          <w:lang w:eastAsia="en-GB"/>
        </w:rPr>
        <w:t xml:space="preserve">, pp.3–12. Available at: </w:t>
      </w:r>
      <w:hyperlink r:id="rId18" w:history="1">
        <w:r w:rsidR="00664B3E" w:rsidRPr="004D45CE">
          <w:rPr>
            <w:rStyle w:val="Hyperlink"/>
            <w:rFonts w:eastAsia="Times New Roman" w:cstheme="minorHAnsi"/>
            <w:lang w:eastAsia="en-GB"/>
          </w:rPr>
          <w:t>https://www.gov.wales/sites/default/files/publications/2021-03/framework-on-embedding-a-whole-school-approach-to-emotional-and-mental-well-being.pdf</w:t>
        </w:r>
      </w:hyperlink>
      <w:r w:rsidRPr="00FD4078">
        <w:rPr>
          <w:rFonts w:eastAsia="Times New Roman" w:cstheme="minorHAnsi"/>
          <w:lang w:eastAsia="en-GB"/>
        </w:rPr>
        <w:t>.</w:t>
      </w:r>
      <w:r w:rsidR="00664B3E">
        <w:rPr>
          <w:rFonts w:eastAsia="Times New Roman" w:cstheme="minorHAnsi"/>
          <w:lang w:eastAsia="en-GB"/>
        </w:rPr>
        <w:t xml:space="preserve"> </w:t>
      </w:r>
      <w:r w:rsidR="00664B3E">
        <w:rPr>
          <w:rFonts w:eastAsia="Times New Roman" w:cstheme="minorHAnsi"/>
          <w:lang w:eastAsia="en-GB"/>
        </w:rPr>
        <w:t>[Accessed 18/04/25]</w:t>
      </w:r>
    </w:p>
    <w:p w:rsidR="00FD4078" w:rsidRPr="00FD4078" w:rsidRDefault="00FD4078" w:rsidP="00FD4078">
      <w:pPr>
        <w:spacing w:after="240" w:line="360" w:lineRule="auto"/>
        <w:jc w:val="both"/>
        <w:rPr>
          <w:rFonts w:eastAsia="Times New Roman" w:cstheme="minorHAnsi"/>
          <w:lang w:eastAsia="en-GB"/>
        </w:rPr>
      </w:pPr>
      <w:r w:rsidRPr="00FD4078">
        <w:rPr>
          <w:rFonts w:eastAsia="Times New Roman" w:cstheme="minorHAnsi"/>
          <w:lang w:eastAsia="en-GB"/>
        </w:rPr>
        <w:t xml:space="preserve">Welsh Government (2023). </w:t>
      </w:r>
      <w:r w:rsidRPr="00FD4078">
        <w:rPr>
          <w:rFonts w:eastAsia="Times New Roman" w:cstheme="minorHAnsi"/>
          <w:i/>
          <w:iCs/>
          <w:lang w:eastAsia="en-GB"/>
        </w:rPr>
        <w:t>NEST framework: full report</w:t>
      </w:r>
      <w:r w:rsidRPr="00FD4078">
        <w:rPr>
          <w:rFonts w:eastAsia="Times New Roman" w:cstheme="minorHAnsi"/>
          <w:lang w:eastAsia="en-GB"/>
        </w:rPr>
        <w:t xml:space="preserve">. [online] </w:t>
      </w:r>
      <w:proofErr w:type="spellStart"/>
      <w:proofErr w:type="gramStart"/>
      <w:r w:rsidRPr="00FD4078">
        <w:rPr>
          <w:rFonts w:eastAsia="Times New Roman" w:cstheme="minorHAnsi"/>
          <w:i/>
          <w:iCs/>
          <w:lang w:eastAsia="en-GB"/>
        </w:rPr>
        <w:t>gov.wales</w:t>
      </w:r>
      <w:proofErr w:type="spellEnd"/>
      <w:proofErr w:type="gramEnd"/>
      <w:r w:rsidRPr="00FD4078">
        <w:rPr>
          <w:rFonts w:eastAsia="Times New Roman" w:cstheme="minorHAnsi"/>
          <w:lang w:eastAsia="en-GB"/>
        </w:rPr>
        <w:t xml:space="preserve">, pp.5–8. Available at: </w:t>
      </w:r>
      <w:hyperlink r:id="rId19" w:history="1">
        <w:r w:rsidR="00664B3E" w:rsidRPr="004D45CE">
          <w:rPr>
            <w:rStyle w:val="Hyperlink"/>
            <w:rFonts w:eastAsia="Times New Roman" w:cstheme="minorHAnsi"/>
            <w:lang w:eastAsia="en-GB"/>
          </w:rPr>
          <w:t>https://www.gov.wales/nest-framework-full-report-html</w:t>
        </w:r>
      </w:hyperlink>
      <w:r w:rsidRPr="00FD4078">
        <w:rPr>
          <w:rFonts w:eastAsia="Times New Roman" w:cstheme="minorHAnsi"/>
          <w:lang w:eastAsia="en-GB"/>
        </w:rPr>
        <w:t>.</w:t>
      </w:r>
      <w:r w:rsidR="00664B3E">
        <w:rPr>
          <w:rFonts w:eastAsia="Times New Roman" w:cstheme="minorHAnsi"/>
          <w:lang w:eastAsia="en-GB"/>
        </w:rPr>
        <w:t xml:space="preserve"> </w:t>
      </w:r>
      <w:r w:rsidR="00664B3E">
        <w:rPr>
          <w:rFonts w:eastAsia="Times New Roman" w:cstheme="minorHAnsi"/>
          <w:lang w:eastAsia="en-GB"/>
        </w:rPr>
        <w:t>[Accessed 18/04/25]</w:t>
      </w:r>
    </w:p>
    <w:p w:rsidR="00FD4078" w:rsidRPr="00FD4078" w:rsidRDefault="00FD4078" w:rsidP="00FD4078">
      <w:pPr>
        <w:spacing w:after="240" w:line="360" w:lineRule="auto"/>
        <w:jc w:val="both"/>
        <w:rPr>
          <w:rFonts w:eastAsia="Times New Roman" w:cstheme="minorHAnsi"/>
          <w:lang w:eastAsia="en-GB"/>
        </w:rPr>
      </w:pPr>
      <w:proofErr w:type="spellStart"/>
      <w:r w:rsidRPr="00FD4078">
        <w:rPr>
          <w:rFonts w:eastAsia="Times New Roman" w:cstheme="minorHAnsi"/>
          <w:lang w:eastAsia="en-GB"/>
        </w:rPr>
        <w:t>Wolpert</w:t>
      </w:r>
      <w:proofErr w:type="spellEnd"/>
      <w:r w:rsidRPr="00FD4078">
        <w:rPr>
          <w:rFonts w:eastAsia="Times New Roman" w:cstheme="minorHAnsi"/>
          <w:lang w:eastAsia="en-GB"/>
        </w:rPr>
        <w:t xml:space="preserve">, M., Harris, R., Hodges, S., </w:t>
      </w:r>
      <w:proofErr w:type="spellStart"/>
      <w:r w:rsidRPr="00FD4078">
        <w:rPr>
          <w:rFonts w:eastAsia="Times New Roman" w:cstheme="minorHAnsi"/>
          <w:lang w:eastAsia="en-GB"/>
        </w:rPr>
        <w:t>Fuggle</w:t>
      </w:r>
      <w:proofErr w:type="spellEnd"/>
      <w:r w:rsidRPr="00FD4078">
        <w:rPr>
          <w:rFonts w:eastAsia="Times New Roman" w:cstheme="minorHAnsi"/>
          <w:lang w:eastAsia="en-GB"/>
        </w:rPr>
        <w:t xml:space="preserve">, P., James, R., Wiener, A., </w:t>
      </w:r>
      <w:proofErr w:type="spellStart"/>
      <w:r w:rsidRPr="00FD4078">
        <w:rPr>
          <w:rFonts w:eastAsia="Times New Roman" w:cstheme="minorHAnsi"/>
          <w:lang w:eastAsia="en-GB"/>
        </w:rPr>
        <w:t>Mckenna</w:t>
      </w:r>
      <w:proofErr w:type="spellEnd"/>
      <w:r w:rsidRPr="00FD4078">
        <w:rPr>
          <w:rFonts w:eastAsia="Times New Roman" w:cstheme="minorHAnsi"/>
          <w:lang w:eastAsia="en-GB"/>
        </w:rPr>
        <w:t xml:space="preserve">, C., Law, D., York, A., Jones, M., Payne, C. and Perry, E. (2019). </w:t>
      </w:r>
      <w:r w:rsidRPr="00FD4078">
        <w:rPr>
          <w:rFonts w:eastAsia="Times New Roman" w:cstheme="minorHAnsi"/>
          <w:i/>
          <w:iCs/>
          <w:lang w:eastAsia="en-GB"/>
        </w:rPr>
        <w:t>THRIVE Framework for system change</w:t>
      </w:r>
      <w:r w:rsidRPr="00FD4078">
        <w:rPr>
          <w:rFonts w:eastAsia="Times New Roman" w:cstheme="minorHAnsi"/>
          <w:lang w:eastAsia="en-GB"/>
        </w:rPr>
        <w:t xml:space="preserve">. [online] Available at: </w:t>
      </w:r>
      <w:hyperlink r:id="rId20" w:history="1">
        <w:r w:rsidR="00664B3E" w:rsidRPr="004D45CE">
          <w:rPr>
            <w:rStyle w:val="Hyperlink"/>
            <w:rFonts w:eastAsia="Times New Roman" w:cstheme="minorHAnsi"/>
            <w:lang w:eastAsia="en-GB"/>
          </w:rPr>
          <w:t>https://implementingthrive.org/wp-content/uploads/2024/08/THRIVE-Framework-for-system-change-2019NEW-2.pdf</w:t>
        </w:r>
      </w:hyperlink>
      <w:r w:rsidRPr="00FD4078">
        <w:rPr>
          <w:rFonts w:eastAsia="Times New Roman" w:cstheme="minorHAnsi"/>
          <w:lang w:eastAsia="en-GB"/>
        </w:rPr>
        <w:t>.</w:t>
      </w:r>
      <w:r w:rsidR="00664B3E">
        <w:rPr>
          <w:rFonts w:eastAsia="Times New Roman" w:cstheme="minorHAnsi"/>
          <w:lang w:eastAsia="en-GB"/>
        </w:rPr>
        <w:t xml:space="preserve"> [Accessed – 22/04/25]</w:t>
      </w:r>
    </w:p>
    <w:p w:rsidR="007B6AD3" w:rsidRDefault="007B6AD3"/>
    <w:sectPr w:rsidR="007B6A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2EC17AF"/>
    <w:multiLevelType w:val="multilevel"/>
    <w:tmpl w:val="74C65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F9A6353"/>
    <w:multiLevelType w:val="multilevel"/>
    <w:tmpl w:val="7472C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6AD3"/>
    <w:rsid w:val="00072CFA"/>
    <w:rsid w:val="00087B5D"/>
    <w:rsid w:val="000A7603"/>
    <w:rsid w:val="0010356A"/>
    <w:rsid w:val="001351B4"/>
    <w:rsid w:val="001F192F"/>
    <w:rsid w:val="002127C4"/>
    <w:rsid w:val="00345807"/>
    <w:rsid w:val="00371497"/>
    <w:rsid w:val="00385738"/>
    <w:rsid w:val="00386630"/>
    <w:rsid w:val="00387E1D"/>
    <w:rsid w:val="003E25A9"/>
    <w:rsid w:val="004455EE"/>
    <w:rsid w:val="004D6764"/>
    <w:rsid w:val="004D726A"/>
    <w:rsid w:val="004F204A"/>
    <w:rsid w:val="00664B3E"/>
    <w:rsid w:val="0070601C"/>
    <w:rsid w:val="007B6AD3"/>
    <w:rsid w:val="0081330F"/>
    <w:rsid w:val="008860AE"/>
    <w:rsid w:val="008D26E5"/>
    <w:rsid w:val="008D347A"/>
    <w:rsid w:val="0090229F"/>
    <w:rsid w:val="00991700"/>
    <w:rsid w:val="009E3022"/>
    <w:rsid w:val="00A94EAF"/>
    <w:rsid w:val="00AB3C08"/>
    <w:rsid w:val="00AC19E8"/>
    <w:rsid w:val="00B16889"/>
    <w:rsid w:val="00B27B61"/>
    <w:rsid w:val="00C10B61"/>
    <w:rsid w:val="00C978D1"/>
    <w:rsid w:val="00E02A01"/>
    <w:rsid w:val="00E03B72"/>
    <w:rsid w:val="00E954EE"/>
    <w:rsid w:val="00FD40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6AA3A"/>
  <w15:chartTrackingRefBased/>
  <w15:docId w15:val="{E1DAA349-DAFC-4617-A2D2-5C45F27EF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90229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B6AD3"/>
    <w:rPr>
      <w:b/>
      <w:bCs/>
    </w:rPr>
  </w:style>
  <w:style w:type="character" w:customStyle="1" w:styleId="relative">
    <w:name w:val="relative"/>
    <w:basedOn w:val="DefaultParagraphFont"/>
    <w:rsid w:val="00A94EAF"/>
  </w:style>
  <w:style w:type="character" w:customStyle="1" w:styleId="ms-1">
    <w:name w:val="ms-1"/>
    <w:basedOn w:val="DefaultParagraphFont"/>
    <w:rsid w:val="00A94EAF"/>
  </w:style>
  <w:style w:type="character" w:customStyle="1" w:styleId="max-w-full">
    <w:name w:val="max-w-full"/>
    <w:basedOn w:val="DefaultParagraphFont"/>
    <w:rsid w:val="00A94EAF"/>
  </w:style>
  <w:style w:type="character" w:customStyle="1" w:styleId="Heading3Char">
    <w:name w:val="Heading 3 Char"/>
    <w:basedOn w:val="DefaultParagraphFont"/>
    <w:link w:val="Heading3"/>
    <w:uiPriority w:val="9"/>
    <w:rsid w:val="0090229F"/>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9022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64B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769500">
      <w:bodyDiv w:val="1"/>
      <w:marLeft w:val="0"/>
      <w:marRight w:val="0"/>
      <w:marTop w:val="0"/>
      <w:marBottom w:val="0"/>
      <w:divBdr>
        <w:top w:val="none" w:sz="0" w:space="0" w:color="auto"/>
        <w:left w:val="none" w:sz="0" w:space="0" w:color="auto"/>
        <w:bottom w:val="none" w:sz="0" w:space="0" w:color="auto"/>
        <w:right w:val="none" w:sz="0" w:space="0" w:color="auto"/>
      </w:divBdr>
    </w:div>
    <w:div w:id="90123989">
      <w:bodyDiv w:val="1"/>
      <w:marLeft w:val="0"/>
      <w:marRight w:val="0"/>
      <w:marTop w:val="0"/>
      <w:marBottom w:val="0"/>
      <w:divBdr>
        <w:top w:val="none" w:sz="0" w:space="0" w:color="auto"/>
        <w:left w:val="none" w:sz="0" w:space="0" w:color="auto"/>
        <w:bottom w:val="none" w:sz="0" w:space="0" w:color="auto"/>
        <w:right w:val="none" w:sz="0" w:space="0" w:color="auto"/>
      </w:divBdr>
    </w:div>
    <w:div w:id="199705587">
      <w:bodyDiv w:val="1"/>
      <w:marLeft w:val="0"/>
      <w:marRight w:val="0"/>
      <w:marTop w:val="0"/>
      <w:marBottom w:val="0"/>
      <w:divBdr>
        <w:top w:val="none" w:sz="0" w:space="0" w:color="auto"/>
        <w:left w:val="none" w:sz="0" w:space="0" w:color="auto"/>
        <w:bottom w:val="none" w:sz="0" w:space="0" w:color="auto"/>
        <w:right w:val="none" w:sz="0" w:space="0" w:color="auto"/>
      </w:divBdr>
    </w:div>
    <w:div w:id="423456649">
      <w:bodyDiv w:val="1"/>
      <w:marLeft w:val="0"/>
      <w:marRight w:val="0"/>
      <w:marTop w:val="0"/>
      <w:marBottom w:val="0"/>
      <w:divBdr>
        <w:top w:val="none" w:sz="0" w:space="0" w:color="auto"/>
        <w:left w:val="none" w:sz="0" w:space="0" w:color="auto"/>
        <w:bottom w:val="none" w:sz="0" w:space="0" w:color="auto"/>
        <w:right w:val="none" w:sz="0" w:space="0" w:color="auto"/>
      </w:divBdr>
    </w:div>
    <w:div w:id="462233886">
      <w:bodyDiv w:val="1"/>
      <w:marLeft w:val="0"/>
      <w:marRight w:val="0"/>
      <w:marTop w:val="0"/>
      <w:marBottom w:val="0"/>
      <w:divBdr>
        <w:top w:val="none" w:sz="0" w:space="0" w:color="auto"/>
        <w:left w:val="none" w:sz="0" w:space="0" w:color="auto"/>
        <w:bottom w:val="none" w:sz="0" w:space="0" w:color="auto"/>
        <w:right w:val="none" w:sz="0" w:space="0" w:color="auto"/>
      </w:divBdr>
    </w:div>
    <w:div w:id="692653441">
      <w:bodyDiv w:val="1"/>
      <w:marLeft w:val="0"/>
      <w:marRight w:val="0"/>
      <w:marTop w:val="0"/>
      <w:marBottom w:val="0"/>
      <w:divBdr>
        <w:top w:val="none" w:sz="0" w:space="0" w:color="auto"/>
        <w:left w:val="none" w:sz="0" w:space="0" w:color="auto"/>
        <w:bottom w:val="none" w:sz="0" w:space="0" w:color="auto"/>
        <w:right w:val="none" w:sz="0" w:space="0" w:color="auto"/>
      </w:divBdr>
    </w:div>
    <w:div w:id="742875057">
      <w:bodyDiv w:val="1"/>
      <w:marLeft w:val="0"/>
      <w:marRight w:val="0"/>
      <w:marTop w:val="0"/>
      <w:marBottom w:val="0"/>
      <w:divBdr>
        <w:top w:val="none" w:sz="0" w:space="0" w:color="auto"/>
        <w:left w:val="none" w:sz="0" w:space="0" w:color="auto"/>
        <w:bottom w:val="none" w:sz="0" w:space="0" w:color="auto"/>
        <w:right w:val="none" w:sz="0" w:space="0" w:color="auto"/>
      </w:divBdr>
    </w:div>
    <w:div w:id="794711833">
      <w:bodyDiv w:val="1"/>
      <w:marLeft w:val="0"/>
      <w:marRight w:val="0"/>
      <w:marTop w:val="0"/>
      <w:marBottom w:val="0"/>
      <w:divBdr>
        <w:top w:val="none" w:sz="0" w:space="0" w:color="auto"/>
        <w:left w:val="none" w:sz="0" w:space="0" w:color="auto"/>
        <w:bottom w:val="none" w:sz="0" w:space="0" w:color="auto"/>
        <w:right w:val="none" w:sz="0" w:space="0" w:color="auto"/>
      </w:divBdr>
    </w:div>
    <w:div w:id="922564375">
      <w:bodyDiv w:val="1"/>
      <w:marLeft w:val="0"/>
      <w:marRight w:val="0"/>
      <w:marTop w:val="0"/>
      <w:marBottom w:val="0"/>
      <w:divBdr>
        <w:top w:val="none" w:sz="0" w:space="0" w:color="auto"/>
        <w:left w:val="none" w:sz="0" w:space="0" w:color="auto"/>
        <w:bottom w:val="none" w:sz="0" w:space="0" w:color="auto"/>
        <w:right w:val="none" w:sz="0" w:space="0" w:color="auto"/>
      </w:divBdr>
    </w:div>
    <w:div w:id="936448737">
      <w:bodyDiv w:val="1"/>
      <w:marLeft w:val="0"/>
      <w:marRight w:val="0"/>
      <w:marTop w:val="0"/>
      <w:marBottom w:val="0"/>
      <w:divBdr>
        <w:top w:val="none" w:sz="0" w:space="0" w:color="auto"/>
        <w:left w:val="none" w:sz="0" w:space="0" w:color="auto"/>
        <w:bottom w:val="none" w:sz="0" w:space="0" w:color="auto"/>
        <w:right w:val="none" w:sz="0" w:space="0" w:color="auto"/>
      </w:divBdr>
    </w:div>
    <w:div w:id="953248974">
      <w:bodyDiv w:val="1"/>
      <w:marLeft w:val="0"/>
      <w:marRight w:val="0"/>
      <w:marTop w:val="0"/>
      <w:marBottom w:val="0"/>
      <w:divBdr>
        <w:top w:val="none" w:sz="0" w:space="0" w:color="auto"/>
        <w:left w:val="none" w:sz="0" w:space="0" w:color="auto"/>
        <w:bottom w:val="none" w:sz="0" w:space="0" w:color="auto"/>
        <w:right w:val="none" w:sz="0" w:space="0" w:color="auto"/>
      </w:divBdr>
      <w:divsChild>
        <w:div w:id="1675066255">
          <w:marLeft w:val="0"/>
          <w:marRight w:val="0"/>
          <w:marTop w:val="0"/>
          <w:marBottom w:val="0"/>
          <w:divBdr>
            <w:top w:val="none" w:sz="0" w:space="0" w:color="auto"/>
            <w:left w:val="none" w:sz="0" w:space="0" w:color="auto"/>
            <w:bottom w:val="none" w:sz="0" w:space="0" w:color="auto"/>
            <w:right w:val="none" w:sz="0" w:space="0" w:color="auto"/>
          </w:divBdr>
        </w:div>
      </w:divsChild>
    </w:div>
    <w:div w:id="1177958116">
      <w:bodyDiv w:val="1"/>
      <w:marLeft w:val="0"/>
      <w:marRight w:val="0"/>
      <w:marTop w:val="0"/>
      <w:marBottom w:val="0"/>
      <w:divBdr>
        <w:top w:val="none" w:sz="0" w:space="0" w:color="auto"/>
        <w:left w:val="none" w:sz="0" w:space="0" w:color="auto"/>
        <w:bottom w:val="none" w:sz="0" w:space="0" w:color="auto"/>
        <w:right w:val="none" w:sz="0" w:space="0" w:color="auto"/>
      </w:divBdr>
    </w:div>
    <w:div w:id="1198129164">
      <w:bodyDiv w:val="1"/>
      <w:marLeft w:val="0"/>
      <w:marRight w:val="0"/>
      <w:marTop w:val="0"/>
      <w:marBottom w:val="0"/>
      <w:divBdr>
        <w:top w:val="none" w:sz="0" w:space="0" w:color="auto"/>
        <w:left w:val="none" w:sz="0" w:space="0" w:color="auto"/>
        <w:bottom w:val="none" w:sz="0" w:space="0" w:color="auto"/>
        <w:right w:val="none" w:sz="0" w:space="0" w:color="auto"/>
      </w:divBdr>
    </w:div>
    <w:div w:id="1202791979">
      <w:bodyDiv w:val="1"/>
      <w:marLeft w:val="0"/>
      <w:marRight w:val="0"/>
      <w:marTop w:val="0"/>
      <w:marBottom w:val="0"/>
      <w:divBdr>
        <w:top w:val="none" w:sz="0" w:space="0" w:color="auto"/>
        <w:left w:val="none" w:sz="0" w:space="0" w:color="auto"/>
        <w:bottom w:val="none" w:sz="0" w:space="0" w:color="auto"/>
        <w:right w:val="none" w:sz="0" w:space="0" w:color="auto"/>
      </w:divBdr>
    </w:div>
    <w:div w:id="1278217611">
      <w:bodyDiv w:val="1"/>
      <w:marLeft w:val="0"/>
      <w:marRight w:val="0"/>
      <w:marTop w:val="0"/>
      <w:marBottom w:val="0"/>
      <w:divBdr>
        <w:top w:val="none" w:sz="0" w:space="0" w:color="auto"/>
        <w:left w:val="none" w:sz="0" w:space="0" w:color="auto"/>
        <w:bottom w:val="none" w:sz="0" w:space="0" w:color="auto"/>
        <w:right w:val="none" w:sz="0" w:space="0" w:color="auto"/>
      </w:divBdr>
    </w:div>
    <w:div w:id="1283153119">
      <w:bodyDiv w:val="1"/>
      <w:marLeft w:val="0"/>
      <w:marRight w:val="0"/>
      <w:marTop w:val="0"/>
      <w:marBottom w:val="0"/>
      <w:divBdr>
        <w:top w:val="none" w:sz="0" w:space="0" w:color="auto"/>
        <w:left w:val="none" w:sz="0" w:space="0" w:color="auto"/>
        <w:bottom w:val="none" w:sz="0" w:space="0" w:color="auto"/>
        <w:right w:val="none" w:sz="0" w:space="0" w:color="auto"/>
      </w:divBdr>
    </w:div>
    <w:div w:id="1285044224">
      <w:bodyDiv w:val="1"/>
      <w:marLeft w:val="0"/>
      <w:marRight w:val="0"/>
      <w:marTop w:val="0"/>
      <w:marBottom w:val="0"/>
      <w:divBdr>
        <w:top w:val="none" w:sz="0" w:space="0" w:color="auto"/>
        <w:left w:val="none" w:sz="0" w:space="0" w:color="auto"/>
        <w:bottom w:val="none" w:sz="0" w:space="0" w:color="auto"/>
        <w:right w:val="none" w:sz="0" w:space="0" w:color="auto"/>
      </w:divBdr>
    </w:div>
    <w:div w:id="1338925428">
      <w:bodyDiv w:val="1"/>
      <w:marLeft w:val="0"/>
      <w:marRight w:val="0"/>
      <w:marTop w:val="0"/>
      <w:marBottom w:val="0"/>
      <w:divBdr>
        <w:top w:val="none" w:sz="0" w:space="0" w:color="auto"/>
        <w:left w:val="none" w:sz="0" w:space="0" w:color="auto"/>
        <w:bottom w:val="none" w:sz="0" w:space="0" w:color="auto"/>
        <w:right w:val="none" w:sz="0" w:space="0" w:color="auto"/>
      </w:divBdr>
    </w:div>
    <w:div w:id="1430466902">
      <w:bodyDiv w:val="1"/>
      <w:marLeft w:val="0"/>
      <w:marRight w:val="0"/>
      <w:marTop w:val="0"/>
      <w:marBottom w:val="0"/>
      <w:divBdr>
        <w:top w:val="none" w:sz="0" w:space="0" w:color="auto"/>
        <w:left w:val="none" w:sz="0" w:space="0" w:color="auto"/>
        <w:bottom w:val="none" w:sz="0" w:space="0" w:color="auto"/>
        <w:right w:val="none" w:sz="0" w:space="0" w:color="auto"/>
      </w:divBdr>
    </w:div>
    <w:div w:id="1435898208">
      <w:bodyDiv w:val="1"/>
      <w:marLeft w:val="0"/>
      <w:marRight w:val="0"/>
      <w:marTop w:val="0"/>
      <w:marBottom w:val="0"/>
      <w:divBdr>
        <w:top w:val="none" w:sz="0" w:space="0" w:color="auto"/>
        <w:left w:val="none" w:sz="0" w:space="0" w:color="auto"/>
        <w:bottom w:val="none" w:sz="0" w:space="0" w:color="auto"/>
        <w:right w:val="none" w:sz="0" w:space="0" w:color="auto"/>
      </w:divBdr>
    </w:div>
    <w:div w:id="1443113220">
      <w:bodyDiv w:val="1"/>
      <w:marLeft w:val="0"/>
      <w:marRight w:val="0"/>
      <w:marTop w:val="0"/>
      <w:marBottom w:val="0"/>
      <w:divBdr>
        <w:top w:val="none" w:sz="0" w:space="0" w:color="auto"/>
        <w:left w:val="none" w:sz="0" w:space="0" w:color="auto"/>
        <w:bottom w:val="none" w:sz="0" w:space="0" w:color="auto"/>
        <w:right w:val="none" w:sz="0" w:space="0" w:color="auto"/>
      </w:divBdr>
    </w:div>
    <w:div w:id="1616979183">
      <w:bodyDiv w:val="1"/>
      <w:marLeft w:val="0"/>
      <w:marRight w:val="0"/>
      <w:marTop w:val="0"/>
      <w:marBottom w:val="0"/>
      <w:divBdr>
        <w:top w:val="none" w:sz="0" w:space="0" w:color="auto"/>
        <w:left w:val="none" w:sz="0" w:space="0" w:color="auto"/>
        <w:bottom w:val="none" w:sz="0" w:space="0" w:color="auto"/>
        <w:right w:val="none" w:sz="0" w:space="0" w:color="auto"/>
      </w:divBdr>
    </w:div>
    <w:div w:id="1641112211">
      <w:bodyDiv w:val="1"/>
      <w:marLeft w:val="0"/>
      <w:marRight w:val="0"/>
      <w:marTop w:val="0"/>
      <w:marBottom w:val="0"/>
      <w:divBdr>
        <w:top w:val="none" w:sz="0" w:space="0" w:color="auto"/>
        <w:left w:val="none" w:sz="0" w:space="0" w:color="auto"/>
        <w:bottom w:val="none" w:sz="0" w:space="0" w:color="auto"/>
        <w:right w:val="none" w:sz="0" w:space="0" w:color="auto"/>
      </w:divBdr>
    </w:div>
    <w:div w:id="1701468225">
      <w:bodyDiv w:val="1"/>
      <w:marLeft w:val="0"/>
      <w:marRight w:val="0"/>
      <w:marTop w:val="0"/>
      <w:marBottom w:val="0"/>
      <w:divBdr>
        <w:top w:val="none" w:sz="0" w:space="0" w:color="auto"/>
        <w:left w:val="none" w:sz="0" w:space="0" w:color="auto"/>
        <w:bottom w:val="none" w:sz="0" w:space="0" w:color="auto"/>
        <w:right w:val="none" w:sz="0" w:space="0" w:color="auto"/>
      </w:divBdr>
    </w:div>
    <w:div w:id="1858083433">
      <w:bodyDiv w:val="1"/>
      <w:marLeft w:val="0"/>
      <w:marRight w:val="0"/>
      <w:marTop w:val="0"/>
      <w:marBottom w:val="0"/>
      <w:divBdr>
        <w:top w:val="none" w:sz="0" w:space="0" w:color="auto"/>
        <w:left w:val="none" w:sz="0" w:space="0" w:color="auto"/>
        <w:bottom w:val="none" w:sz="0" w:space="0" w:color="auto"/>
        <w:right w:val="none" w:sz="0" w:space="0" w:color="auto"/>
      </w:divBdr>
    </w:div>
    <w:div w:id="1905022582">
      <w:bodyDiv w:val="1"/>
      <w:marLeft w:val="0"/>
      <w:marRight w:val="0"/>
      <w:marTop w:val="0"/>
      <w:marBottom w:val="0"/>
      <w:divBdr>
        <w:top w:val="none" w:sz="0" w:space="0" w:color="auto"/>
        <w:left w:val="none" w:sz="0" w:space="0" w:color="auto"/>
        <w:bottom w:val="none" w:sz="0" w:space="0" w:color="auto"/>
        <w:right w:val="none" w:sz="0" w:space="0" w:color="auto"/>
      </w:divBdr>
    </w:div>
    <w:div w:id="1917325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comwales.org.uk/2020/06/major-change-needed-in-mental-health-and-wellbeing-care-for-vulnerable-children/" TargetMode="External"/><Relationship Id="rId13" Type="http://schemas.openxmlformats.org/officeDocument/2006/relationships/hyperlink" Target="https://www.simplypsychology.org/Bronfenbrenner.html" TargetMode="External"/><Relationship Id="rId18" Type="http://schemas.openxmlformats.org/officeDocument/2006/relationships/hyperlink" Target="https://www.gov.wales/sites/default/files/publications/2021-03/framework-on-embedding-a-whole-school-approach-to-emotional-and-mental-well-being.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verywellmind.com/what-is-attachment-theory-2795337" TargetMode="External"/><Relationship Id="rId12" Type="http://schemas.openxmlformats.org/officeDocument/2006/relationships/hyperlink" Target="https://www.gov.wales/nest-framework-mental-health-and-wellbeing-introduction" TargetMode="External"/><Relationship Id="rId17" Type="http://schemas.openxmlformats.org/officeDocument/2006/relationships/hyperlink" Target="https://www.gov.wales/sites/default/files/publications/2019-05/social-services-and-well-being-wales-act-2014-the-essentials.pdf" TargetMode="External"/><Relationship Id="rId2" Type="http://schemas.openxmlformats.org/officeDocument/2006/relationships/styles" Target="styles.xml"/><Relationship Id="rId16" Type="http://schemas.openxmlformats.org/officeDocument/2006/relationships/hyperlink" Target="https://tavistockandportman.nhs.uk/our-models-of-care/thrive/" TargetMode="External"/><Relationship Id="rId20" Type="http://schemas.openxmlformats.org/officeDocument/2006/relationships/hyperlink" Target="https://implementingthrive.org/wp-content/uploads/2024/08/THRIVE-Framework-for-system-change-2019NEW-2.pdf" TargetMode="External"/><Relationship Id="rId1" Type="http://schemas.openxmlformats.org/officeDocument/2006/relationships/numbering" Target="numbering.xml"/><Relationship Id="rId6" Type="http://schemas.openxmlformats.org/officeDocument/2006/relationships/hyperlink" Target="https://uk.sagepub.com/sites/default/files/upm-binaries/25241_02_Cheminais_Ch_02.pdf" TargetMode="External"/><Relationship Id="rId11" Type="http://schemas.openxmlformats.org/officeDocument/2006/relationships/hyperlink" Target="https://www.gov.uk/government/consultations/transforming-children-and-young-peoples-mental-health-provision-a-green-paper/quick-read-transforming-children-and-young-peoples-mental-health-provision" TargetMode="External"/><Relationship Id="rId5" Type="http://schemas.openxmlformats.org/officeDocument/2006/relationships/hyperlink" Target="https://www.nfer.ac.uk/media/qy5hccud/mad01.pdf" TargetMode="External"/><Relationship Id="rId15" Type="http://schemas.openxmlformats.org/officeDocument/2006/relationships/hyperlink" Target="https://www.gov.uk/government/publications/the-multi-agency-response-to-children-and-families-who-need-help/the-multi-agency-response-to-children-and-families-who-need-help" TargetMode="External"/><Relationship Id="rId10" Type="http://schemas.openxmlformats.org/officeDocument/2006/relationships/hyperlink" Target="https://assets.publishing.service.gov.uk/government/uploads/system/uploads/attachment_data/file/1041000/MultiAgencyReform_Kantar_Report.pdf" TargetMode="External"/><Relationship Id="rId19" Type="http://schemas.openxmlformats.org/officeDocument/2006/relationships/hyperlink" Target="https://www.gov.wales/nest-framework-full-report-html" TargetMode="External"/><Relationship Id="rId4" Type="http://schemas.openxmlformats.org/officeDocument/2006/relationships/webSettings" Target="webSettings.xml"/><Relationship Id="rId9" Type="http://schemas.openxmlformats.org/officeDocument/2006/relationships/hyperlink" Target="https://www.childcomwales.org.uk/our-work/policy-positions/mental-health/" TargetMode="External"/><Relationship Id="rId14" Type="http://schemas.openxmlformats.org/officeDocument/2006/relationships/hyperlink" Target="https://assets.publishing.service.gov.uk/media/5a750ddb40f0b6360e472fa5/MASH.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5054</TotalTime>
  <Pages>7</Pages>
  <Words>3147</Words>
  <Characters>17941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Matthews (Pembrokeshire Learning Centre)</dc:creator>
  <cp:keywords/>
  <dc:description/>
  <cp:lastModifiedBy>J Matthews (Pembrokeshire Learning Centre)</cp:lastModifiedBy>
  <cp:revision>17</cp:revision>
  <dcterms:created xsi:type="dcterms:W3CDTF">2025-04-14T10:04:00Z</dcterms:created>
  <dcterms:modified xsi:type="dcterms:W3CDTF">2025-04-25T18:15:00Z</dcterms:modified>
</cp:coreProperties>
</file>