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A8F5D" w14:textId="77777777" w:rsidR="00C94F9F" w:rsidRDefault="00C94F9F" w:rsidP="00C94F9F"/>
    <w:p w14:paraId="62B6D9CB" w14:textId="7BDEE7F5" w:rsidR="00C94F9F" w:rsidRPr="00C94F9F" w:rsidRDefault="00C94F9F" w:rsidP="00C94F9F">
      <w:pPr>
        <w:rPr>
          <w:sz w:val="72"/>
          <w:szCs w:val="72"/>
        </w:rPr>
      </w:pPr>
      <w:r w:rsidRPr="00C94F9F">
        <w:rPr>
          <w:sz w:val="72"/>
          <w:szCs w:val="72"/>
        </w:rPr>
        <w:t>Applying Project Management Techniques: Train Station Platform Extension</w:t>
      </w:r>
    </w:p>
    <w:p w14:paraId="505CB5F1" w14:textId="77777777" w:rsidR="00C94F9F" w:rsidRDefault="00C94F9F" w:rsidP="00C94F9F"/>
    <w:p w14:paraId="59505F97" w14:textId="77777777" w:rsidR="00C94F9F" w:rsidRDefault="00C94F9F" w:rsidP="00C94F9F"/>
    <w:p w14:paraId="12E001C7" w14:textId="77777777" w:rsidR="00C94F9F" w:rsidRDefault="00C94F9F" w:rsidP="00C94F9F"/>
    <w:p w14:paraId="3D1A98AB" w14:textId="77777777" w:rsidR="00C94F9F" w:rsidRDefault="00C94F9F" w:rsidP="00C94F9F"/>
    <w:p w14:paraId="2FCE17FA" w14:textId="77777777" w:rsidR="00C94F9F" w:rsidRDefault="00C94F9F" w:rsidP="00C94F9F"/>
    <w:p w14:paraId="4872399B" w14:textId="77777777" w:rsidR="00C94F9F" w:rsidRDefault="00C94F9F" w:rsidP="00C94F9F"/>
    <w:p w14:paraId="118FE9F5" w14:textId="77777777" w:rsidR="00C94F9F" w:rsidRDefault="00C94F9F" w:rsidP="00C94F9F"/>
    <w:p w14:paraId="357AC932" w14:textId="77777777" w:rsidR="00C94F9F" w:rsidRDefault="00C94F9F" w:rsidP="00C94F9F"/>
    <w:p w14:paraId="111FC31C" w14:textId="77777777" w:rsidR="00C94F9F" w:rsidRDefault="00C94F9F" w:rsidP="00C94F9F"/>
    <w:p w14:paraId="527ED160" w14:textId="77777777" w:rsidR="00C94F9F" w:rsidRDefault="00C94F9F" w:rsidP="00C94F9F"/>
    <w:p w14:paraId="54699C6D" w14:textId="77777777" w:rsidR="00C94F9F" w:rsidRDefault="00C94F9F" w:rsidP="00C94F9F"/>
    <w:p w14:paraId="6F194EB7" w14:textId="77777777" w:rsidR="00C94F9F" w:rsidRDefault="00C94F9F" w:rsidP="00C94F9F"/>
    <w:p w14:paraId="13838EA3" w14:textId="77777777" w:rsidR="00C94F9F" w:rsidRDefault="00C94F9F" w:rsidP="00C94F9F"/>
    <w:p w14:paraId="5DF79C4F" w14:textId="77777777" w:rsidR="00C94F9F" w:rsidRDefault="00C94F9F" w:rsidP="00C94F9F"/>
    <w:p w14:paraId="1841BB20" w14:textId="77777777" w:rsidR="00C94F9F" w:rsidRDefault="00C94F9F" w:rsidP="00C94F9F"/>
    <w:p w14:paraId="21B42453" w14:textId="77777777" w:rsidR="00C94F9F" w:rsidRDefault="00C94F9F" w:rsidP="00C94F9F"/>
    <w:p w14:paraId="036AFFE6" w14:textId="77777777" w:rsidR="00C94F9F" w:rsidRDefault="00C94F9F" w:rsidP="00C94F9F"/>
    <w:p w14:paraId="20EC5BCB" w14:textId="77777777" w:rsidR="00C94F9F" w:rsidRDefault="00C94F9F" w:rsidP="00C94F9F"/>
    <w:p w14:paraId="06D4CA9B" w14:textId="64186BDE" w:rsidR="00C94F9F" w:rsidRPr="00C94F9F" w:rsidRDefault="00C94F9F" w:rsidP="00C94F9F">
      <w:pPr>
        <w:rPr>
          <w:b/>
          <w:bCs/>
        </w:rPr>
      </w:pPr>
      <w:r w:rsidRPr="00C94F9F">
        <w:rPr>
          <w:b/>
          <w:bCs/>
        </w:rPr>
        <w:lastRenderedPageBreak/>
        <w:t>1. Project Management Approach and Life-Cycle Framing</w:t>
      </w:r>
    </w:p>
    <w:p w14:paraId="2C6D5661" w14:textId="2DABD2C8" w:rsidR="00C94F9F" w:rsidRDefault="00C94F9F" w:rsidP="00C94F9F">
      <w:r>
        <w:t>The project is structured using a conventional project life cycle—initiating, planning, executing, monitoring/controlling, and closing—because project management research consistently frames effective delivery through these phases and associated knowledge areas (integration, scope, schedule/time, cost, quality, resources, communications, risk, procurement, and stakeholders</w:t>
      </w:r>
      <w:r w:rsidR="00076F16">
        <w:t xml:space="preserve"> (</w:t>
      </w:r>
      <w:r>
        <w:t xml:space="preserve">Forero &amp; Rodríguez 2020), </w:t>
      </w:r>
      <w:r w:rsidR="00A425A5">
        <w:t>(</w:t>
      </w:r>
      <w:proofErr w:type="spellStart"/>
      <w:r>
        <w:t>Patanakul</w:t>
      </w:r>
      <w:proofErr w:type="spellEnd"/>
      <w:r>
        <w:t xml:space="preserve"> et al., 2010). This framing is appropriate for rail platform works because construction projects are widely documented as exposed to both internal and external delay drivers, making systematic planning and control essential </w:t>
      </w:r>
      <w:r w:rsidR="00400F26">
        <w:t>(</w:t>
      </w:r>
      <w:r>
        <w:t>Tomczak &amp; Piotr, 2020</w:t>
      </w:r>
      <w:r w:rsidR="00400F26">
        <w:t>)</w:t>
      </w:r>
      <w:r>
        <w:t xml:space="preserve">; and because safety and operational impacts in rail infrastructure elevate the need for disciplined management of interfaces, approvals, and assurance activities </w:t>
      </w:r>
      <w:r w:rsidR="00400F26">
        <w:t>(</w:t>
      </w:r>
      <w:r>
        <w:t>Sun et al., 2018</w:t>
      </w:r>
      <w:r w:rsidR="00400F26">
        <w:t>)</w:t>
      </w:r>
      <w:r>
        <w:t>.</w:t>
      </w:r>
    </w:p>
    <w:p w14:paraId="7997984F" w14:textId="77777777" w:rsidR="00C94F9F" w:rsidRDefault="00C94F9F" w:rsidP="00C94F9F"/>
    <w:p w14:paraId="47BAFD12" w14:textId="3425FB5A" w:rsidR="00C94F9F" w:rsidRDefault="00C94F9F" w:rsidP="00C94F9F">
      <w:r>
        <w:t xml:space="preserve">Methodologically, the schedule and duration claims in this report are derived from applying established time-management techniques—Critical Path Method (CPM), Gantt-based planning, and schedule crashing/time–cost trade-off analysis—to the activity logic and durations provided in the project brief, consistent with widely reported project time-management toolsets </w:t>
      </w:r>
      <w:r w:rsidR="00400F26">
        <w:t>(</w:t>
      </w:r>
      <w:r>
        <w:t xml:space="preserve">Forero &amp; Rodríguez 2020), </w:t>
      </w:r>
      <w:r w:rsidR="00A425A5">
        <w:t>(</w:t>
      </w:r>
      <w:proofErr w:type="spellStart"/>
      <w:r>
        <w:t>Patanakul</w:t>
      </w:r>
      <w:proofErr w:type="spellEnd"/>
      <w:r>
        <w:t xml:space="preserve"> et al., 2010), (Laslo &amp; Gurevich, 2011</w:t>
      </w:r>
      <w:r w:rsidR="002B7997">
        <w:t>)</w:t>
      </w:r>
      <w:r>
        <w:t xml:space="preserve">. In addition, uncertainty-aware perspectives (stochastic/robust scheduling and chance-constrained critical-path protection) are used to interpret schedule risk and to justify conservative controls in commissioning and approvals </w:t>
      </w:r>
      <w:r w:rsidR="002B7997">
        <w:t>(</w:t>
      </w:r>
      <w:r>
        <w:t>Shen et al., 2010).</w:t>
      </w:r>
    </w:p>
    <w:p w14:paraId="6B8B6471" w14:textId="77777777" w:rsidR="00C94F9F" w:rsidRDefault="00C94F9F" w:rsidP="00C94F9F"/>
    <w:p w14:paraId="5D993923" w14:textId="77777777" w:rsidR="00C94F9F" w:rsidRPr="00C94F9F" w:rsidRDefault="00C94F9F" w:rsidP="00C94F9F">
      <w:pPr>
        <w:rPr>
          <w:b/>
          <w:bCs/>
        </w:rPr>
      </w:pPr>
      <w:r w:rsidRPr="00C94F9F">
        <w:rPr>
          <w:b/>
          <w:bCs/>
        </w:rPr>
        <w:t>2. Scope, Objectives, Constraints, and Deliverables</w:t>
      </w:r>
    </w:p>
    <w:p w14:paraId="5A31D7BE" w14:textId="77777777" w:rsidR="00C94F9F" w:rsidRPr="002B7997" w:rsidRDefault="00C94F9F" w:rsidP="00C94F9F">
      <w:pPr>
        <w:rPr>
          <w:b/>
          <w:bCs/>
        </w:rPr>
      </w:pPr>
      <w:r w:rsidRPr="002B7997">
        <w:rPr>
          <w:b/>
          <w:bCs/>
        </w:rPr>
        <w:t>2.1 Scope and Objectives</w:t>
      </w:r>
    </w:p>
    <w:p w14:paraId="452E80AB" w14:textId="5CEF6750" w:rsidR="00C94F9F" w:rsidRDefault="00C94F9F" w:rsidP="00C94F9F">
      <w:r>
        <w:t xml:space="preserve">The project objective is to deliver a compliant extension of an existing passenger platform to accommodate longer trains, improve passenger flow, and enhance safety. This scope is managed as an integrated set of deliverables spanning surveys, multi-disciplinary design, approvals/consents, procurement, construction under constrained access windows, testing/commissioning, and operational handover—an approach consistent with integration and scope management across the project life cycle </w:t>
      </w:r>
      <w:r w:rsidR="002B7997">
        <w:t>(</w:t>
      </w:r>
      <w:r>
        <w:t xml:space="preserve">Forero &amp; Rodríguez 2020), </w:t>
      </w:r>
      <w:r w:rsidR="00A425A5">
        <w:t>(</w:t>
      </w:r>
      <w:proofErr w:type="spellStart"/>
      <w:r>
        <w:t>Patanakul</w:t>
      </w:r>
      <w:proofErr w:type="spellEnd"/>
      <w:r>
        <w:t xml:space="preserve"> et al., 2010). Emphasizing explicit scope and deliverables is also aligned with empirical findings that structured use of project management tools and techniques across knowledge areas is associated with improved project outcomes (including time and cost performance) </w:t>
      </w:r>
      <w:r w:rsidR="002B7997">
        <w:t>(</w:t>
      </w:r>
      <w:proofErr w:type="spellStart"/>
      <w:r>
        <w:t>Patanakul</w:t>
      </w:r>
      <w:proofErr w:type="spellEnd"/>
      <w:r>
        <w:t xml:space="preserve"> et al., 2010), </w:t>
      </w:r>
      <w:r w:rsidR="00A425A5">
        <w:t>(</w:t>
      </w:r>
      <w:r>
        <w:t>Forero &amp; Rodríguez 2020).</w:t>
      </w:r>
    </w:p>
    <w:p w14:paraId="240B0880" w14:textId="77777777" w:rsidR="00C94F9F" w:rsidRDefault="00C94F9F" w:rsidP="00C94F9F"/>
    <w:p w14:paraId="2296FEC8" w14:textId="77777777" w:rsidR="00C94F9F" w:rsidRDefault="00C94F9F" w:rsidP="00C94F9F"/>
    <w:p w14:paraId="5651CAF3" w14:textId="77777777" w:rsidR="00C94F9F" w:rsidRPr="00C94F9F" w:rsidRDefault="00C94F9F" w:rsidP="00C94F9F">
      <w:pPr>
        <w:rPr>
          <w:b/>
          <w:bCs/>
        </w:rPr>
      </w:pPr>
      <w:r w:rsidRPr="00C94F9F">
        <w:rPr>
          <w:b/>
          <w:bCs/>
        </w:rPr>
        <w:lastRenderedPageBreak/>
        <w:t>2.2 Key Constraints (Railway Context)</w:t>
      </w:r>
    </w:p>
    <w:p w14:paraId="1AE3ABD0" w14:textId="7D9B8245" w:rsidR="00C94F9F" w:rsidRDefault="00C94F9F" w:rsidP="00C94F9F">
      <w:r>
        <w:t>Rail delivery environments are characteri</w:t>
      </w:r>
      <w:r w:rsidR="002B7997">
        <w:t>s</w:t>
      </w:r>
      <w:r>
        <w:t xml:space="preserve">ed by strong stakeholder interdependencies and constrained resource/time windows where certain resources must be allocated in advance and cannot be flexibly transferred at short notice </w:t>
      </w:r>
      <w:r w:rsidR="00E70E40">
        <w:t>(</w:t>
      </w:r>
      <w:r>
        <w:t xml:space="preserve">Shen et al., 2010). These constraints reinforce the need for proactive (robust) scheduling and risk controls rather than purely reactive replanning </w:t>
      </w:r>
      <w:r w:rsidR="002B7997">
        <w:t>(</w:t>
      </w:r>
      <w:r>
        <w:t xml:space="preserve">Shen et al., 2010). Additionally, rail safety performance depends on multiple interacting factors—personnel, equipment, and management—not merely incident counts, which motivates formal safety validation and disciplined operational controls in delivery and handover </w:t>
      </w:r>
      <w:r w:rsidR="00E70E40">
        <w:t>(</w:t>
      </w:r>
      <w:r>
        <w:t>Sun et al., 2018</w:t>
      </w:r>
      <w:r w:rsidR="00E70E40">
        <w:t>)</w:t>
      </w:r>
      <w:r>
        <w:t xml:space="preserve">. Finally, rail safety interventions can impose very large system costs if not proportionate, illustrating the importance of transparent, defensible safety/assurance decisions and cost control </w:t>
      </w:r>
      <w:r w:rsidR="00E70E40">
        <w:t>(</w:t>
      </w:r>
      <w:r>
        <w:t xml:space="preserve">Thomas &amp; </w:t>
      </w:r>
      <w:proofErr w:type="spellStart"/>
      <w:r>
        <w:t>Stupples</w:t>
      </w:r>
      <w:proofErr w:type="spellEnd"/>
      <w:r>
        <w:t>, 2006).</w:t>
      </w:r>
    </w:p>
    <w:p w14:paraId="2B4314BE" w14:textId="77777777" w:rsidR="00C94F9F" w:rsidRDefault="00C94F9F" w:rsidP="00C94F9F"/>
    <w:p w14:paraId="477F901E" w14:textId="77777777" w:rsidR="00C94F9F" w:rsidRPr="00C94F9F" w:rsidRDefault="00C94F9F" w:rsidP="00C94F9F">
      <w:pPr>
        <w:rPr>
          <w:b/>
          <w:bCs/>
        </w:rPr>
      </w:pPr>
      <w:r w:rsidRPr="00C94F9F">
        <w:rPr>
          <w:b/>
          <w:bCs/>
        </w:rPr>
        <w:t>2.3 Deliverables (Handover-Oriented)</w:t>
      </w:r>
    </w:p>
    <w:p w14:paraId="03C8B99A" w14:textId="2541E4FB" w:rsidR="00C94F9F" w:rsidRDefault="00C94F9F" w:rsidP="00C94F9F">
      <w:r>
        <w:t>To align closing/termination with recogni</w:t>
      </w:r>
      <w:r w:rsidR="00E70E40">
        <w:t>s</w:t>
      </w:r>
      <w:r>
        <w:t xml:space="preserve">ed project life-cycle practice, the project explicitly includes closeout deliverables such as completion documentation, test evidence, and performance reporting </w:t>
      </w:r>
      <w:r w:rsidR="0067043A">
        <w:t>(</w:t>
      </w:r>
      <w:r>
        <w:t xml:space="preserve">Forero &amp; Rodríguez 2020). Because downstream maintenance effectiveness depends on data quality and interoperability, handover also includes asset information suitable for digital exchange and future maintenance planning, consistent with European railway interoperability directions </w:t>
      </w:r>
      <w:r w:rsidR="0067043A">
        <w:t>(</w:t>
      </w:r>
      <w:r>
        <w:t>Rojas et al., 2021</w:t>
      </w:r>
      <w:r w:rsidR="0067043A">
        <w:t>)</w:t>
      </w:r>
      <w:r>
        <w:t xml:space="preserve">; and maintenance/inspection data needs emphasized in condition-based maintenance literature </w:t>
      </w:r>
      <w:r w:rsidR="0067043A">
        <w:t>(</w:t>
      </w:r>
      <w:r>
        <w:t xml:space="preserve">Quatrini et al., 2020). Where asset data is migrated into organizational systems, best practice includes data cleansing, mapping, validation, and testing to protect integrity and operational reliability </w:t>
      </w:r>
      <w:r w:rsidR="006652E2">
        <w:t>(</w:t>
      </w:r>
      <w:r>
        <w:t>"DATA MIGRATION STRATEGIES FOR SAP PS: BEST PRACTICES AND CASE STUDIES", 2024</w:t>
      </w:r>
      <w:r w:rsidR="006652E2">
        <w:t>)</w:t>
      </w:r>
      <w:r>
        <w:t>.</w:t>
      </w:r>
    </w:p>
    <w:p w14:paraId="4684EF3C" w14:textId="77777777" w:rsidR="00C94F9F" w:rsidRDefault="00C94F9F" w:rsidP="00C94F9F"/>
    <w:p w14:paraId="74DAA3AA" w14:textId="77777777" w:rsidR="00C94F9F" w:rsidRPr="00C94F9F" w:rsidRDefault="00C94F9F" w:rsidP="00C94F9F">
      <w:pPr>
        <w:rPr>
          <w:b/>
          <w:bCs/>
        </w:rPr>
      </w:pPr>
      <w:r w:rsidRPr="00C94F9F">
        <w:rPr>
          <w:b/>
          <w:bCs/>
        </w:rPr>
        <w:t>3. Stakeholder and Governance Strategy</w:t>
      </w:r>
    </w:p>
    <w:p w14:paraId="02C5ACEB" w14:textId="77777777" w:rsidR="00C94F9F" w:rsidRPr="00C94F9F" w:rsidRDefault="00C94F9F" w:rsidP="00C94F9F">
      <w:pPr>
        <w:rPr>
          <w:b/>
          <w:bCs/>
        </w:rPr>
      </w:pPr>
      <w:r w:rsidRPr="00C94F9F">
        <w:rPr>
          <w:b/>
          <w:bCs/>
        </w:rPr>
        <w:t>3.1 Stakeholder Landscape and Engagement Logic</w:t>
      </w:r>
    </w:p>
    <w:p w14:paraId="74876618" w14:textId="375C7168" w:rsidR="00C94F9F" w:rsidRDefault="00C94F9F" w:rsidP="00C94F9F">
      <w:r>
        <w:t xml:space="preserve">Rail projects routinely face diverse stakeholder objectives and "circuits of power," requiring deliberate strategies (consultation, negotiated exchange, and compensatory arrangements) to obtain permissions, land/access solutions, and operational alignment </w:t>
      </w:r>
      <w:r w:rsidR="006652E2">
        <w:t>(</w:t>
      </w:r>
      <w:r>
        <w:t xml:space="preserve">Ninan et al., 2019). Evidence from rail-related cases shows stakeholders can be aligned through structured give-and-take agreements when rights, access, and shared outcomes are negotiated </w:t>
      </w:r>
      <w:r w:rsidR="00D42F6B">
        <w:t>(</w:t>
      </w:r>
      <w:r>
        <w:t>Ninan et al., 2019). Complementarily, rail-safety policy research emphasi</w:t>
      </w:r>
      <w:r w:rsidR="00D42F6B">
        <w:t>s</w:t>
      </w:r>
      <w:r>
        <w:t xml:space="preserve">es that context-sensitive, accessible, and transparent stakeholder engagement improves acceptance and supports safety/efficiency outcomes in rail-adjacent interventions </w:t>
      </w:r>
      <w:r w:rsidR="00D42F6B">
        <w:t>(</w:t>
      </w:r>
      <w:r>
        <w:t>Tian, 2022</w:t>
      </w:r>
      <w:r w:rsidR="00D42F6B">
        <w:t>)</w:t>
      </w:r>
      <w:r>
        <w:t>.</w:t>
      </w:r>
    </w:p>
    <w:p w14:paraId="0964A5CE" w14:textId="77777777" w:rsidR="00C94F9F" w:rsidRDefault="00C94F9F" w:rsidP="00C94F9F"/>
    <w:p w14:paraId="7539766C" w14:textId="77777777" w:rsidR="00C94F9F" w:rsidRPr="00C94F9F" w:rsidRDefault="00C94F9F" w:rsidP="00C94F9F">
      <w:pPr>
        <w:rPr>
          <w:b/>
          <w:bCs/>
        </w:rPr>
      </w:pPr>
      <w:r w:rsidRPr="00C94F9F">
        <w:rPr>
          <w:b/>
          <w:bCs/>
        </w:rPr>
        <w:t>3.2 Governance and Decision Rights</w:t>
      </w:r>
    </w:p>
    <w:p w14:paraId="3880FBFB" w14:textId="6BFA4A6C" w:rsidR="00C94F9F" w:rsidRDefault="00C94F9F" w:rsidP="00C94F9F">
      <w:r>
        <w:t>Because project success is empirically linked to the disciplined use of project management tools and techniques across the life cycle (including integration and stakeholder management), governance is designed around clear decision gates: initiation authori</w:t>
      </w:r>
      <w:r w:rsidR="00243719">
        <w:t>s</w:t>
      </w:r>
      <w:r>
        <w:t xml:space="preserve">ation, design approval readiness, procurement commitment, possession/access readiness, commissioning readiness, and handover acceptance </w:t>
      </w:r>
      <w:r w:rsidR="00243719">
        <w:t>(</w:t>
      </w:r>
      <w:proofErr w:type="spellStart"/>
      <w:r>
        <w:t>Patanakul</w:t>
      </w:r>
      <w:proofErr w:type="spellEnd"/>
      <w:r>
        <w:t xml:space="preserve"> et al., 2010), </w:t>
      </w:r>
      <w:r w:rsidR="00243719">
        <w:t>(</w:t>
      </w:r>
      <w:r>
        <w:t xml:space="preserve">Forero &amp; Rodríguez 2020). The intent is to reduce late rework and protect critical-path activities from avoidable approval or interface delays, consistent with the emphasis on proactive scheduling under constraints and uncertainty </w:t>
      </w:r>
      <w:r w:rsidR="00AA1CB3">
        <w:t>(</w:t>
      </w:r>
      <w:r>
        <w:t>Shen et al., 2010).</w:t>
      </w:r>
    </w:p>
    <w:p w14:paraId="474F91A4" w14:textId="77777777" w:rsidR="00C94F9F" w:rsidRDefault="00C94F9F" w:rsidP="00C94F9F"/>
    <w:p w14:paraId="52932907" w14:textId="77777777" w:rsidR="00C94F9F" w:rsidRPr="00C94F9F" w:rsidRDefault="00C94F9F" w:rsidP="00C94F9F">
      <w:pPr>
        <w:rPr>
          <w:b/>
          <w:bCs/>
        </w:rPr>
      </w:pPr>
      <w:r w:rsidRPr="00C94F9F">
        <w:rPr>
          <w:b/>
          <w:bCs/>
        </w:rPr>
        <w:t>4. Schedule Management: Baseline Network, Critical Path, and Controls</w:t>
      </w:r>
    </w:p>
    <w:p w14:paraId="7299D352" w14:textId="77777777" w:rsidR="00C94F9F" w:rsidRPr="00C94F9F" w:rsidRDefault="00C94F9F" w:rsidP="00C94F9F">
      <w:pPr>
        <w:rPr>
          <w:b/>
          <w:bCs/>
        </w:rPr>
      </w:pPr>
      <w:r w:rsidRPr="00C94F9F">
        <w:rPr>
          <w:b/>
          <w:bCs/>
        </w:rPr>
        <w:t>4.1 Scheduling Techniques Used</w:t>
      </w:r>
    </w:p>
    <w:p w14:paraId="124CF291" w14:textId="0042A0EA" w:rsidR="00C94F9F" w:rsidRDefault="00C94F9F" w:rsidP="00C94F9F">
      <w:r>
        <w:t xml:space="preserve">The schedule is developed using CPM and represented through a Gantt plan, consistent with common time-management toolsets identified in empirical project management research (CPM, PERT, Gantt charts, milestone charts, crashing, simulation/Monte Carlo, and variance analysis) </w:t>
      </w:r>
      <w:r w:rsidR="00AA1CB3">
        <w:t>(</w:t>
      </w:r>
      <w:r>
        <w:t>Forero &amp; Rodríguez 2020). The CPM emphasis is justified because the project’s delivery performance is strongly driven by a small number of tightly constrained activities (approvals, possessions, integration testing), which is exactly the type of dependency structure CPM is intended to analy</w:t>
      </w:r>
      <w:r w:rsidR="000A5B17">
        <w:t>s</w:t>
      </w:r>
      <w:r>
        <w:t xml:space="preserve">e and control </w:t>
      </w:r>
      <w:r w:rsidR="000A5B17">
        <w:t>(</w:t>
      </w:r>
      <w:r>
        <w:t xml:space="preserve">Forero &amp; Rodríguez 2020), </w:t>
      </w:r>
      <w:r w:rsidR="00CF6591">
        <w:t>(</w:t>
      </w:r>
      <w:r>
        <w:t>Shen et al., 2010).</w:t>
      </w:r>
    </w:p>
    <w:p w14:paraId="2D026F3B" w14:textId="77777777" w:rsidR="00C94F9F" w:rsidRDefault="00C94F9F" w:rsidP="00C94F9F"/>
    <w:p w14:paraId="5171FA02" w14:textId="77777777" w:rsidR="00C94F9F" w:rsidRPr="00C94F9F" w:rsidRDefault="00C94F9F" w:rsidP="00C94F9F">
      <w:pPr>
        <w:rPr>
          <w:b/>
          <w:bCs/>
        </w:rPr>
      </w:pPr>
      <w:r w:rsidRPr="00C94F9F">
        <w:rPr>
          <w:b/>
          <w:bCs/>
        </w:rPr>
        <w:t>4.2 Baseline Critical Path (Given Logic and CPM Result)</w:t>
      </w:r>
    </w:p>
    <w:p w14:paraId="1C90F4D2" w14:textId="1723F14D" w:rsidR="00C94F9F" w:rsidRDefault="00C94F9F" w:rsidP="00C94F9F">
      <w:r>
        <w:t xml:space="preserve">Using CPM as a standard method for determining the controlling sequence of activities </w:t>
      </w:r>
      <w:r w:rsidR="000A5B17">
        <w:t>(</w:t>
      </w:r>
      <w:r>
        <w:t>Forero &amp; Rodríguez 2020), the baseline network analysis (from the provided activity logic) identifies the critical path as:</w:t>
      </w:r>
    </w:p>
    <w:p w14:paraId="000CEAD1" w14:textId="6107BA82" w:rsidR="00C94F9F" w:rsidRDefault="00094C8F" w:rsidP="00C94F9F">
      <w:r w:rsidRPr="00094C8F">
        <w:lastRenderedPageBreak/>
        <w:drawing>
          <wp:inline distT="0" distB="0" distL="0" distR="0" wp14:anchorId="008AFC46" wp14:editId="4CDB8C29">
            <wp:extent cx="5731510" cy="3282950"/>
            <wp:effectExtent l="0" t="0" r="2540" b="0"/>
            <wp:docPr id="22600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09989" name=""/>
                    <pic:cNvPicPr/>
                  </pic:nvPicPr>
                  <pic:blipFill>
                    <a:blip r:embed="rId6"/>
                    <a:stretch>
                      <a:fillRect/>
                    </a:stretch>
                  </pic:blipFill>
                  <pic:spPr>
                    <a:xfrm>
                      <a:off x="0" y="0"/>
                      <a:ext cx="5731510" cy="3282950"/>
                    </a:xfrm>
                    <a:prstGeom prst="rect">
                      <a:avLst/>
                    </a:prstGeom>
                  </pic:spPr>
                </pic:pic>
              </a:graphicData>
            </a:graphic>
          </wp:inline>
        </w:drawing>
      </w:r>
    </w:p>
    <w:p w14:paraId="0A991531" w14:textId="77777777" w:rsidR="00C94F9F" w:rsidRDefault="00C94F9F" w:rsidP="00C94F9F">
      <w:r>
        <w:t>A → B → D → F → H → I → J → L → N → O → P,</w:t>
      </w:r>
    </w:p>
    <w:p w14:paraId="6DE79148" w14:textId="05CDAE2C" w:rsidR="00C94F9F" w:rsidRDefault="00C94F9F" w:rsidP="00C94F9F">
      <w:r>
        <w:t xml:space="preserve">with a baseline duration of 78 days (project start: 02 Feb 2026), as computed from the project brief’s durations and dependencies under CPM conventions </w:t>
      </w:r>
      <w:r w:rsidR="00094C8F">
        <w:t>(</w:t>
      </w:r>
      <w:r>
        <w:t>Forero &amp; Rodríguez 2020).</w:t>
      </w:r>
    </w:p>
    <w:p w14:paraId="50B3972A" w14:textId="3C030790" w:rsidR="00A058FD" w:rsidRDefault="006D4615" w:rsidP="00C94F9F">
      <w:r w:rsidRPr="006D4615">
        <w:drawing>
          <wp:inline distT="0" distB="0" distL="0" distR="0" wp14:anchorId="5B45F015" wp14:editId="0A0D9CE5">
            <wp:extent cx="5731510" cy="3292475"/>
            <wp:effectExtent l="0" t="0" r="2540" b="3175"/>
            <wp:docPr id="2028046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46276" name=""/>
                    <pic:cNvPicPr/>
                  </pic:nvPicPr>
                  <pic:blipFill>
                    <a:blip r:embed="rId7"/>
                    <a:stretch>
                      <a:fillRect/>
                    </a:stretch>
                  </pic:blipFill>
                  <pic:spPr>
                    <a:xfrm>
                      <a:off x="0" y="0"/>
                      <a:ext cx="5731510" cy="3292475"/>
                    </a:xfrm>
                    <a:prstGeom prst="rect">
                      <a:avLst/>
                    </a:prstGeom>
                  </pic:spPr>
                </pic:pic>
              </a:graphicData>
            </a:graphic>
          </wp:inline>
        </w:drawing>
      </w:r>
    </w:p>
    <w:p w14:paraId="67BD5E55" w14:textId="27157DBC" w:rsidR="00C94F9F" w:rsidRDefault="00C94F9F" w:rsidP="00C94F9F">
      <w:r>
        <w:t xml:space="preserve">This critical-path articulation is operationally important because uncertainty and constrained resource allocation can make near-critical activities become critical without warning; therefore, proactive controls are recommended to protect the controlling chain rather than relying on deterministic averages alone </w:t>
      </w:r>
      <w:r w:rsidR="00094C8F">
        <w:t>(</w:t>
      </w:r>
      <w:r>
        <w:t>Shen et al., 2010).</w:t>
      </w:r>
    </w:p>
    <w:p w14:paraId="66D8C15D" w14:textId="77777777" w:rsidR="00C94F9F" w:rsidRDefault="00C94F9F" w:rsidP="00C94F9F"/>
    <w:p w14:paraId="247EE880" w14:textId="77777777" w:rsidR="00C94F9F" w:rsidRPr="00C94F9F" w:rsidRDefault="00C94F9F" w:rsidP="00C94F9F">
      <w:pPr>
        <w:rPr>
          <w:b/>
          <w:bCs/>
        </w:rPr>
      </w:pPr>
      <w:r w:rsidRPr="00C94F9F">
        <w:rPr>
          <w:b/>
          <w:bCs/>
        </w:rPr>
        <w:t>4.3 Schedule Risk and Uncertainty Considerations</w:t>
      </w:r>
    </w:p>
    <w:p w14:paraId="23FC17C4" w14:textId="6377946E" w:rsidR="00C94F9F" w:rsidRDefault="00C94F9F" w:rsidP="00C94F9F">
      <w:r>
        <w:t>Traditional deterministic crashing and CPM calculations can be misleading if activity durations and costs are stochastic; literature on PERT-type projects notes that practice often simplifies stochastic reality into deterministic means, which can reduce robustness (Laslo &amp; Gurevich, 2011</w:t>
      </w:r>
      <w:r w:rsidR="004A460D">
        <w:t>)</w:t>
      </w:r>
      <w:r>
        <w:t xml:space="preserve">. Furthermore, when resources must be committed in advance or cannot be transferred due to logistical constraints, robust and proactive scheduling approaches are recommended to insure critical paths against uncertainty-driven slippage </w:t>
      </w:r>
      <w:r w:rsidR="004A460D">
        <w:t>(</w:t>
      </w:r>
      <w:r>
        <w:t xml:space="preserve">Shen et al., 2010). Accordingly, this project’s schedule-control approach treats approvals, access windows, and commissioning as high-uncertainty/high-impact nodes requiring conservative buffers and explicit readiness criteria, consistent with uncertainty-aware critical-path protection logic </w:t>
      </w:r>
      <w:r w:rsidR="004A460D">
        <w:t>(</w:t>
      </w:r>
      <w:r>
        <w:t>Shen et al., 2010).</w:t>
      </w:r>
    </w:p>
    <w:p w14:paraId="096CCF93" w14:textId="77777777" w:rsidR="00A7401E" w:rsidRDefault="00A7401E" w:rsidP="00C94F9F"/>
    <w:p w14:paraId="192891CC" w14:textId="77777777" w:rsidR="00C94F9F" w:rsidRPr="00C94F9F" w:rsidRDefault="00C94F9F" w:rsidP="00C94F9F">
      <w:pPr>
        <w:rPr>
          <w:b/>
          <w:bCs/>
        </w:rPr>
      </w:pPr>
      <w:r w:rsidRPr="00C94F9F">
        <w:rPr>
          <w:b/>
          <w:bCs/>
        </w:rPr>
        <w:t>4.4 Monitoring and Control Mechanisms</w:t>
      </w:r>
    </w:p>
    <w:p w14:paraId="446DFF8C" w14:textId="019629DC" w:rsidR="00C94F9F" w:rsidRDefault="00C94F9F" w:rsidP="00C94F9F">
      <w:r>
        <w:t xml:space="preserve">Time-management practice commonly includes milestone tracking and variance analysis to detect deviation early and trigger corrective action </w:t>
      </w:r>
      <w:r w:rsidR="004A460D">
        <w:t>(</w:t>
      </w:r>
      <w:r>
        <w:t xml:space="preserve">Forero &amp; Rodríguez 2020). Given construction’s documented exposure to internal and external delay factors </w:t>
      </w:r>
      <w:r w:rsidR="00246093">
        <w:t>(</w:t>
      </w:r>
      <w:r>
        <w:t>Tomczak &amp; Piotr, 2020</w:t>
      </w:r>
      <w:r w:rsidR="00246093">
        <w:t>)</w:t>
      </w:r>
      <w:r>
        <w:t xml:space="preserve">, and the empirical linkage between systematic PM tool use and project success </w:t>
      </w:r>
      <w:r w:rsidR="00906A6A">
        <w:t>(</w:t>
      </w:r>
      <w:proofErr w:type="spellStart"/>
      <w:r>
        <w:t>Patanakul</w:t>
      </w:r>
      <w:proofErr w:type="spellEnd"/>
      <w:r>
        <w:t xml:space="preserve"> et al., 2010), monitoring is designed around (</w:t>
      </w:r>
      <w:proofErr w:type="spellStart"/>
      <w:r>
        <w:t>i</w:t>
      </w:r>
      <w:proofErr w:type="spellEnd"/>
      <w:r>
        <w:t>) periodic progress reporting against milestones, (ii) exception-based escalation for critical-path variance, and (iii) change-control discipline to prevent uncontrolled scope/schedule drift—aligning with integration management expectations across PM practice (Martin et al., 2021</w:t>
      </w:r>
      <w:r w:rsidR="00A7401E">
        <w:t>)</w:t>
      </w:r>
      <w:r>
        <w:t xml:space="preserve">, </w:t>
      </w:r>
      <w:r w:rsidR="00A7401E">
        <w:t>(</w:t>
      </w:r>
      <w:r>
        <w:t>Forero &amp; Rodríguez 2020).</w:t>
      </w:r>
    </w:p>
    <w:p w14:paraId="4AF17FCA" w14:textId="77777777" w:rsidR="00C94F9F" w:rsidRDefault="00C94F9F" w:rsidP="00C94F9F"/>
    <w:p w14:paraId="2DC051BC" w14:textId="77777777" w:rsidR="00C94F9F" w:rsidRPr="00C94F9F" w:rsidRDefault="00C94F9F" w:rsidP="00C94F9F">
      <w:pPr>
        <w:rPr>
          <w:b/>
          <w:bCs/>
        </w:rPr>
      </w:pPr>
      <w:r w:rsidRPr="00C94F9F">
        <w:rPr>
          <w:b/>
          <w:bCs/>
        </w:rPr>
        <w:t>5. Cost Management Framework and Baseline Budget</w:t>
      </w:r>
    </w:p>
    <w:p w14:paraId="460C5B9C" w14:textId="77777777" w:rsidR="00C94F9F" w:rsidRPr="00C94F9F" w:rsidRDefault="00C94F9F" w:rsidP="00C94F9F">
      <w:pPr>
        <w:rPr>
          <w:b/>
          <w:bCs/>
        </w:rPr>
      </w:pPr>
      <w:r w:rsidRPr="00C94F9F">
        <w:rPr>
          <w:b/>
          <w:bCs/>
        </w:rPr>
        <w:t>5.1 Baseline Cost Breakdown (Provided Cost Baseline)</w:t>
      </w:r>
    </w:p>
    <w:p w14:paraId="63233FFE" w14:textId="6592E508" w:rsidR="00C94F9F" w:rsidRDefault="00C94F9F" w:rsidP="00C94F9F">
      <w:r>
        <w:t>Cost control is treated as a core success factor, reflecting findings that communication, management discipline, and effective cost control contribute to project success under challenging schedules and logistics (Xu et al., 2023</w:t>
      </w:r>
      <w:r w:rsidR="000D46C7">
        <w:t>)</w:t>
      </w:r>
      <w:r>
        <w:t xml:space="preserve">, and that project cost management is a standard knowledge area supported by established tools and techniques </w:t>
      </w:r>
      <w:r w:rsidR="000D46C7">
        <w:t>(</w:t>
      </w:r>
      <w:r>
        <w:t>Forero &amp; Rodríguez 2020), (Martin et al., 2021</w:t>
      </w:r>
      <w:r w:rsidR="000D46C7">
        <w:t>)</w:t>
      </w:r>
      <w:r>
        <w:t>. The project’s baseline cost is £318,000, allocated as follows:</w:t>
      </w:r>
    </w:p>
    <w:p w14:paraId="5A5AE8AF" w14:textId="77777777" w:rsidR="00C94F9F" w:rsidRDefault="00C94F9F" w:rsidP="00C94F9F"/>
    <w:tbl>
      <w:tblPr>
        <w:tblStyle w:val="TableGrid"/>
        <w:tblW w:w="0" w:type="auto"/>
        <w:tblLook w:val="04A0" w:firstRow="1" w:lastRow="0" w:firstColumn="1" w:lastColumn="0" w:noHBand="0" w:noVBand="1"/>
      </w:tblPr>
      <w:tblGrid>
        <w:gridCol w:w="3005"/>
        <w:gridCol w:w="3005"/>
        <w:gridCol w:w="3006"/>
      </w:tblGrid>
      <w:tr w:rsidR="008B650C" w14:paraId="2D70CA8A" w14:textId="77777777" w:rsidTr="008B650C">
        <w:tc>
          <w:tcPr>
            <w:tcW w:w="3005" w:type="dxa"/>
          </w:tcPr>
          <w:p w14:paraId="23675713" w14:textId="73C8CC3F" w:rsidR="008B650C" w:rsidRDefault="00F1401D" w:rsidP="00C94F9F">
            <w:r>
              <w:t>ID</w:t>
            </w:r>
          </w:p>
        </w:tc>
        <w:tc>
          <w:tcPr>
            <w:tcW w:w="3005" w:type="dxa"/>
          </w:tcPr>
          <w:p w14:paraId="4E842E92" w14:textId="6E39F6DF" w:rsidR="008B650C" w:rsidRDefault="00B60A8A" w:rsidP="00C94F9F">
            <w:r>
              <w:t>Activity</w:t>
            </w:r>
          </w:p>
        </w:tc>
        <w:tc>
          <w:tcPr>
            <w:tcW w:w="3006" w:type="dxa"/>
          </w:tcPr>
          <w:p w14:paraId="3FFB797F" w14:textId="4E78898E" w:rsidR="008B650C" w:rsidRDefault="00B60A8A" w:rsidP="00C94F9F">
            <w:r>
              <w:t>Cost (£)</w:t>
            </w:r>
          </w:p>
        </w:tc>
      </w:tr>
      <w:tr w:rsidR="00B52881" w14:paraId="1FE6BF8C" w14:textId="77777777" w:rsidTr="008B650C">
        <w:tc>
          <w:tcPr>
            <w:tcW w:w="3005" w:type="dxa"/>
          </w:tcPr>
          <w:p w14:paraId="5B16DBF5" w14:textId="79509507" w:rsidR="00B52881" w:rsidRDefault="00B52881" w:rsidP="00B52881">
            <w:r>
              <w:lastRenderedPageBreak/>
              <w:t>A</w:t>
            </w:r>
          </w:p>
        </w:tc>
        <w:tc>
          <w:tcPr>
            <w:tcW w:w="3005" w:type="dxa"/>
          </w:tcPr>
          <w:p w14:paraId="17013F51" w14:textId="2948906E" w:rsidR="00B52881" w:rsidRDefault="00B52881" w:rsidP="00B52881">
            <w:r w:rsidRPr="009F131D">
              <w:t>Project initiation &amp; stakeholder engagement</w:t>
            </w:r>
          </w:p>
        </w:tc>
        <w:tc>
          <w:tcPr>
            <w:tcW w:w="3006" w:type="dxa"/>
          </w:tcPr>
          <w:p w14:paraId="25E6BCD3" w14:textId="19E5E50D" w:rsidR="00B52881" w:rsidRDefault="00B52881" w:rsidP="00B52881">
            <w:r>
              <w:t>6,000</w:t>
            </w:r>
          </w:p>
        </w:tc>
      </w:tr>
      <w:tr w:rsidR="00B52881" w14:paraId="6E14C514" w14:textId="77777777" w:rsidTr="008B650C">
        <w:tc>
          <w:tcPr>
            <w:tcW w:w="3005" w:type="dxa"/>
          </w:tcPr>
          <w:p w14:paraId="724F2FFA" w14:textId="23722F65" w:rsidR="00B52881" w:rsidRDefault="00B52881" w:rsidP="00B52881">
            <w:r>
              <w:t>B</w:t>
            </w:r>
          </w:p>
        </w:tc>
        <w:tc>
          <w:tcPr>
            <w:tcW w:w="3005" w:type="dxa"/>
          </w:tcPr>
          <w:p w14:paraId="62F08D05" w14:textId="5FD9A4D3" w:rsidR="00B52881" w:rsidRDefault="00B52881" w:rsidP="00B52881">
            <w:r w:rsidRPr="009F131D">
              <w:t>Topographical &amp; utilities surveys</w:t>
            </w:r>
          </w:p>
        </w:tc>
        <w:tc>
          <w:tcPr>
            <w:tcW w:w="3006" w:type="dxa"/>
          </w:tcPr>
          <w:p w14:paraId="415ED4C1" w14:textId="3E81F021" w:rsidR="00B52881" w:rsidRDefault="00B52881" w:rsidP="00B52881">
            <w:r>
              <w:t>12,000</w:t>
            </w:r>
          </w:p>
        </w:tc>
      </w:tr>
      <w:tr w:rsidR="00906A6A" w14:paraId="347E15CF" w14:textId="77777777" w:rsidTr="008B650C">
        <w:tc>
          <w:tcPr>
            <w:tcW w:w="3005" w:type="dxa"/>
          </w:tcPr>
          <w:p w14:paraId="2DD98FB8" w14:textId="6E910749" w:rsidR="00906A6A" w:rsidRDefault="00906A6A" w:rsidP="00906A6A">
            <w:r>
              <w:t>C</w:t>
            </w:r>
          </w:p>
        </w:tc>
        <w:tc>
          <w:tcPr>
            <w:tcW w:w="3005" w:type="dxa"/>
          </w:tcPr>
          <w:p w14:paraId="0E6B5EA3" w14:textId="0448398F" w:rsidR="00906A6A" w:rsidRDefault="00906A6A" w:rsidP="00906A6A">
            <w:r w:rsidRPr="00915960">
              <w:t>Outline design &amp; option selection</w:t>
            </w:r>
          </w:p>
        </w:tc>
        <w:tc>
          <w:tcPr>
            <w:tcW w:w="3006" w:type="dxa"/>
          </w:tcPr>
          <w:p w14:paraId="481A500E" w14:textId="5ECA3459" w:rsidR="00906A6A" w:rsidRDefault="00906A6A" w:rsidP="00906A6A">
            <w:r>
              <w:t>18,000</w:t>
            </w:r>
          </w:p>
        </w:tc>
      </w:tr>
      <w:tr w:rsidR="00906A6A" w14:paraId="40D60E2C" w14:textId="77777777" w:rsidTr="008B650C">
        <w:tc>
          <w:tcPr>
            <w:tcW w:w="3005" w:type="dxa"/>
          </w:tcPr>
          <w:p w14:paraId="64176F2D" w14:textId="4CD1744E" w:rsidR="00906A6A" w:rsidRDefault="00906A6A" w:rsidP="00906A6A">
            <w:r>
              <w:t>D</w:t>
            </w:r>
          </w:p>
        </w:tc>
        <w:tc>
          <w:tcPr>
            <w:tcW w:w="3005" w:type="dxa"/>
          </w:tcPr>
          <w:p w14:paraId="72110E66" w14:textId="61D4CEA1" w:rsidR="00906A6A" w:rsidRDefault="00906A6A" w:rsidP="00906A6A">
            <w:r w:rsidRPr="00915960">
              <w:t>Environmental &amp; consents (incl. approvals)</w:t>
            </w:r>
          </w:p>
        </w:tc>
        <w:tc>
          <w:tcPr>
            <w:tcW w:w="3006" w:type="dxa"/>
          </w:tcPr>
          <w:p w14:paraId="13626554" w14:textId="3EB2A06F" w:rsidR="00906A6A" w:rsidRDefault="00906A6A" w:rsidP="00906A6A">
            <w:r>
              <w:t>22,000</w:t>
            </w:r>
          </w:p>
        </w:tc>
      </w:tr>
      <w:tr w:rsidR="00906A6A" w14:paraId="769CA865" w14:textId="77777777" w:rsidTr="008B650C">
        <w:tc>
          <w:tcPr>
            <w:tcW w:w="3005" w:type="dxa"/>
          </w:tcPr>
          <w:p w14:paraId="6EEA92D6" w14:textId="1A67A6AF" w:rsidR="00906A6A" w:rsidRDefault="00906A6A" w:rsidP="00906A6A">
            <w:r>
              <w:t>E</w:t>
            </w:r>
          </w:p>
        </w:tc>
        <w:tc>
          <w:tcPr>
            <w:tcW w:w="3005" w:type="dxa"/>
          </w:tcPr>
          <w:p w14:paraId="38100850" w14:textId="3C07F2B8" w:rsidR="00906A6A" w:rsidRDefault="00906A6A" w:rsidP="00906A6A">
            <w:r w:rsidRPr="00915960">
              <w:t>Detailed design (civil/structural)</w:t>
            </w:r>
          </w:p>
        </w:tc>
        <w:tc>
          <w:tcPr>
            <w:tcW w:w="3006" w:type="dxa"/>
          </w:tcPr>
          <w:p w14:paraId="5A1BC68B" w14:textId="77024EC4" w:rsidR="00906A6A" w:rsidRDefault="00906A6A" w:rsidP="00906A6A">
            <w:r>
              <w:t>32,000</w:t>
            </w:r>
          </w:p>
        </w:tc>
      </w:tr>
      <w:tr w:rsidR="00906A6A" w14:paraId="58474714" w14:textId="77777777" w:rsidTr="008B650C">
        <w:tc>
          <w:tcPr>
            <w:tcW w:w="3005" w:type="dxa"/>
          </w:tcPr>
          <w:p w14:paraId="72F52C17" w14:textId="157252F4" w:rsidR="00906A6A" w:rsidRDefault="00906A6A" w:rsidP="00906A6A">
            <w:r>
              <w:t>F</w:t>
            </w:r>
          </w:p>
        </w:tc>
        <w:tc>
          <w:tcPr>
            <w:tcW w:w="3005" w:type="dxa"/>
          </w:tcPr>
          <w:p w14:paraId="42A962DE" w14:textId="17F75CD4" w:rsidR="00906A6A" w:rsidRDefault="00906A6A" w:rsidP="00906A6A">
            <w:r w:rsidRPr="00915960">
              <w:t>Procurement of materials &amp; subcontractors</w:t>
            </w:r>
          </w:p>
        </w:tc>
        <w:tc>
          <w:tcPr>
            <w:tcW w:w="3006" w:type="dxa"/>
          </w:tcPr>
          <w:p w14:paraId="7742C9DE" w14:textId="2E94AC44" w:rsidR="00906A6A" w:rsidRDefault="00906A6A" w:rsidP="00906A6A">
            <w:r>
              <w:t>28,000</w:t>
            </w:r>
          </w:p>
        </w:tc>
      </w:tr>
      <w:tr w:rsidR="00906A6A" w14:paraId="0AD7CF6E" w14:textId="77777777" w:rsidTr="008B650C">
        <w:tc>
          <w:tcPr>
            <w:tcW w:w="3005" w:type="dxa"/>
          </w:tcPr>
          <w:p w14:paraId="417EA6CD" w14:textId="5DE52A23" w:rsidR="00906A6A" w:rsidRDefault="00906A6A" w:rsidP="00906A6A">
            <w:r>
              <w:t>G</w:t>
            </w:r>
          </w:p>
        </w:tc>
        <w:tc>
          <w:tcPr>
            <w:tcW w:w="3005" w:type="dxa"/>
          </w:tcPr>
          <w:p w14:paraId="32D1ECD3" w14:textId="07B0FEA5" w:rsidR="00906A6A" w:rsidRDefault="00906A6A" w:rsidP="00906A6A">
            <w:r w:rsidRPr="00915960">
              <w:t>Possession planning &amp; access arrangements</w:t>
            </w:r>
          </w:p>
        </w:tc>
        <w:tc>
          <w:tcPr>
            <w:tcW w:w="3006" w:type="dxa"/>
          </w:tcPr>
          <w:p w14:paraId="3A773923" w14:textId="18A1784F" w:rsidR="00906A6A" w:rsidRDefault="00906A6A" w:rsidP="00906A6A">
            <w:r>
              <w:t>9,000</w:t>
            </w:r>
          </w:p>
        </w:tc>
      </w:tr>
      <w:tr w:rsidR="00906A6A" w14:paraId="3CAC49DA" w14:textId="77777777" w:rsidTr="008B650C">
        <w:tc>
          <w:tcPr>
            <w:tcW w:w="3005" w:type="dxa"/>
          </w:tcPr>
          <w:p w14:paraId="143D6F07" w14:textId="3B8E7634" w:rsidR="00906A6A" w:rsidRDefault="00906A6A" w:rsidP="00906A6A">
            <w:r>
              <w:t>H</w:t>
            </w:r>
          </w:p>
        </w:tc>
        <w:tc>
          <w:tcPr>
            <w:tcW w:w="3005" w:type="dxa"/>
          </w:tcPr>
          <w:p w14:paraId="13D91EA3" w14:textId="2C25BA50" w:rsidR="00906A6A" w:rsidRDefault="00906A6A" w:rsidP="00906A6A">
            <w:r w:rsidRPr="00915960">
              <w:t>Site setup &amp; welfare</w:t>
            </w:r>
          </w:p>
        </w:tc>
        <w:tc>
          <w:tcPr>
            <w:tcW w:w="3006" w:type="dxa"/>
          </w:tcPr>
          <w:p w14:paraId="0B790472" w14:textId="05912CBE" w:rsidR="00906A6A" w:rsidRDefault="00906A6A" w:rsidP="00906A6A">
            <w:r>
              <w:t>7,000</w:t>
            </w:r>
          </w:p>
        </w:tc>
      </w:tr>
      <w:tr w:rsidR="00906A6A" w14:paraId="5EA34BAC" w14:textId="77777777" w:rsidTr="008B650C">
        <w:tc>
          <w:tcPr>
            <w:tcW w:w="3005" w:type="dxa"/>
          </w:tcPr>
          <w:p w14:paraId="389A1221" w14:textId="42BD8B32" w:rsidR="00906A6A" w:rsidRDefault="00906A6A" w:rsidP="00906A6A">
            <w:r>
              <w:t>I</w:t>
            </w:r>
          </w:p>
        </w:tc>
        <w:tc>
          <w:tcPr>
            <w:tcW w:w="3005" w:type="dxa"/>
          </w:tcPr>
          <w:p w14:paraId="09B63EFA" w14:textId="3E6955A5" w:rsidR="00906A6A" w:rsidRDefault="00906A6A" w:rsidP="00906A6A">
            <w:r w:rsidRPr="00915960">
              <w:t>Platform foundations (night possessions)</w:t>
            </w:r>
          </w:p>
        </w:tc>
        <w:tc>
          <w:tcPr>
            <w:tcW w:w="3006" w:type="dxa"/>
          </w:tcPr>
          <w:p w14:paraId="2F9ABF22" w14:textId="2D6E37C9" w:rsidR="00906A6A" w:rsidRDefault="00906A6A" w:rsidP="00906A6A">
            <w:r>
              <w:t>45,000</w:t>
            </w:r>
          </w:p>
        </w:tc>
      </w:tr>
      <w:tr w:rsidR="00906A6A" w14:paraId="27C8BAD7" w14:textId="77777777" w:rsidTr="008B650C">
        <w:tc>
          <w:tcPr>
            <w:tcW w:w="3005" w:type="dxa"/>
          </w:tcPr>
          <w:p w14:paraId="399AFAE6" w14:textId="7C91CDDC" w:rsidR="00906A6A" w:rsidRDefault="00906A6A" w:rsidP="00906A6A">
            <w:r>
              <w:t>J</w:t>
            </w:r>
          </w:p>
        </w:tc>
        <w:tc>
          <w:tcPr>
            <w:tcW w:w="3005" w:type="dxa"/>
          </w:tcPr>
          <w:p w14:paraId="0998153C" w14:textId="6A0778D3" w:rsidR="00906A6A" w:rsidRDefault="00906A6A" w:rsidP="00906A6A">
            <w:r w:rsidRPr="00915960">
              <w:t>Platform slab &amp; edge coping units</w:t>
            </w:r>
          </w:p>
        </w:tc>
        <w:tc>
          <w:tcPr>
            <w:tcW w:w="3006" w:type="dxa"/>
          </w:tcPr>
          <w:p w14:paraId="2A7363CF" w14:textId="785EEDC9" w:rsidR="00906A6A" w:rsidRDefault="00906A6A" w:rsidP="00906A6A">
            <w:r>
              <w:t>40,000</w:t>
            </w:r>
          </w:p>
        </w:tc>
      </w:tr>
      <w:tr w:rsidR="00906A6A" w14:paraId="3997AFEB" w14:textId="77777777" w:rsidTr="008B650C">
        <w:tc>
          <w:tcPr>
            <w:tcW w:w="3005" w:type="dxa"/>
          </w:tcPr>
          <w:p w14:paraId="5AB49E40" w14:textId="009362D1" w:rsidR="00906A6A" w:rsidRDefault="00906A6A" w:rsidP="00906A6A">
            <w:r>
              <w:t>K</w:t>
            </w:r>
          </w:p>
        </w:tc>
        <w:tc>
          <w:tcPr>
            <w:tcW w:w="3005" w:type="dxa"/>
          </w:tcPr>
          <w:p w14:paraId="5E27D66A" w14:textId="3BB32758" w:rsidR="00906A6A" w:rsidRDefault="00906A6A" w:rsidP="00906A6A">
            <w:r w:rsidRPr="00915960">
              <w:t>Drainage &amp; ducting works</w:t>
            </w:r>
          </w:p>
        </w:tc>
        <w:tc>
          <w:tcPr>
            <w:tcW w:w="3006" w:type="dxa"/>
          </w:tcPr>
          <w:p w14:paraId="39598031" w14:textId="6CD53B11" w:rsidR="00906A6A" w:rsidRDefault="00906A6A" w:rsidP="00906A6A">
            <w:r>
              <w:t>15,000</w:t>
            </w:r>
          </w:p>
        </w:tc>
      </w:tr>
      <w:tr w:rsidR="00906A6A" w14:paraId="7BB1F819" w14:textId="77777777" w:rsidTr="008B650C">
        <w:tc>
          <w:tcPr>
            <w:tcW w:w="3005" w:type="dxa"/>
          </w:tcPr>
          <w:p w14:paraId="0B44953A" w14:textId="3142A300" w:rsidR="00906A6A" w:rsidRDefault="00906A6A" w:rsidP="00906A6A">
            <w:r>
              <w:t>L</w:t>
            </w:r>
          </w:p>
        </w:tc>
        <w:tc>
          <w:tcPr>
            <w:tcW w:w="3005" w:type="dxa"/>
          </w:tcPr>
          <w:p w14:paraId="611D9727" w14:textId="62F93C00" w:rsidR="00906A6A" w:rsidRDefault="00906A6A" w:rsidP="00906A6A">
            <w:r w:rsidRPr="00915960">
              <w:t>Canopies, lighting &amp; PA/CIS install</w:t>
            </w:r>
          </w:p>
        </w:tc>
        <w:tc>
          <w:tcPr>
            <w:tcW w:w="3006" w:type="dxa"/>
          </w:tcPr>
          <w:p w14:paraId="473C9F24" w14:textId="4B47EF8A" w:rsidR="00906A6A" w:rsidRDefault="00906A6A" w:rsidP="00906A6A">
            <w:r>
              <w:t>35,000</w:t>
            </w:r>
          </w:p>
        </w:tc>
      </w:tr>
      <w:tr w:rsidR="00906A6A" w14:paraId="0048810E" w14:textId="77777777" w:rsidTr="008B650C">
        <w:tc>
          <w:tcPr>
            <w:tcW w:w="3005" w:type="dxa"/>
          </w:tcPr>
          <w:p w14:paraId="7587D6FB" w14:textId="7E00AA4C" w:rsidR="00906A6A" w:rsidRDefault="00906A6A" w:rsidP="00906A6A">
            <w:r>
              <w:t>M</w:t>
            </w:r>
          </w:p>
        </w:tc>
        <w:tc>
          <w:tcPr>
            <w:tcW w:w="3005" w:type="dxa"/>
          </w:tcPr>
          <w:p w14:paraId="774F5DC8" w14:textId="0E7FAE76" w:rsidR="00906A6A" w:rsidRDefault="00906A6A" w:rsidP="00906A6A">
            <w:r w:rsidRPr="00915960">
              <w:t>Platform surfacing &amp; tactiles</w:t>
            </w:r>
          </w:p>
        </w:tc>
        <w:tc>
          <w:tcPr>
            <w:tcW w:w="3006" w:type="dxa"/>
          </w:tcPr>
          <w:p w14:paraId="3ACDB293" w14:textId="21BD5E6C" w:rsidR="00906A6A" w:rsidRDefault="00906A6A" w:rsidP="00906A6A">
            <w:r>
              <w:t>18,000</w:t>
            </w:r>
          </w:p>
        </w:tc>
      </w:tr>
      <w:tr w:rsidR="00906A6A" w14:paraId="5F0C4B2C" w14:textId="77777777" w:rsidTr="008B650C">
        <w:tc>
          <w:tcPr>
            <w:tcW w:w="3005" w:type="dxa"/>
          </w:tcPr>
          <w:p w14:paraId="788BACC8" w14:textId="7A921865" w:rsidR="00906A6A" w:rsidRDefault="00906A6A" w:rsidP="00906A6A">
            <w:r>
              <w:t>N</w:t>
            </w:r>
          </w:p>
        </w:tc>
        <w:tc>
          <w:tcPr>
            <w:tcW w:w="3005" w:type="dxa"/>
          </w:tcPr>
          <w:p w14:paraId="2170656D" w14:textId="53548BE7" w:rsidR="00906A6A" w:rsidRDefault="00906A6A" w:rsidP="00906A6A">
            <w:r w:rsidRPr="00915960">
              <w:t>Testing &amp; commissioning (E&amp;P, comms)</w:t>
            </w:r>
          </w:p>
        </w:tc>
        <w:tc>
          <w:tcPr>
            <w:tcW w:w="3006" w:type="dxa"/>
          </w:tcPr>
          <w:p w14:paraId="6FEFD6B2" w14:textId="78DC0E2D" w:rsidR="00906A6A" w:rsidRDefault="00906A6A" w:rsidP="00906A6A">
            <w:r>
              <w:t>16,000</w:t>
            </w:r>
          </w:p>
        </w:tc>
      </w:tr>
      <w:tr w:rsidR="00906A6A" w14:paraId="5F78C2AB" w14:textId="77777777" w:rsidTr="008B650C">
        <w:tc>
          <w:tcPr>
            <w:tcW w:w="3005" w:type="dxa"/>
          </w:tcPr>
          <w:p w14:paraId="75ACAF06" w14:textId="51BEE562" w:rsidR="00906A6A" w:rsidRDefault="00906A6A" w:rsidP="00906A6A">
            <w:r>
              <w:t>O</w:t>
            </w:r>
          </w:p>
        </w:tc>
        <w:tc>
          <w:tcPr>
            <w:tcW w:w="3005" w:type="dxa"/>
          </w:tcPr>
          <w:p w14:paraId="7CC3636D" w14:textId="6D880F1B" w:rsidR="00906A6A" w:rsidRDefault="00906A6A" w:rsidP="00906A6A">
            <w:r w:rsidRPr="00915960">
              <w:t>Safety validation &amp; approvals</w:t>
            </w:r>
          </w:p>
        </w:tc>
        <w:tc>
          <w:tcPr>
            <w:tcW w:w="3006" w:type="dxa"/>
          </w:tcPr>
          <w:p w14:paraId="6ECA3C50" w14:textId="2D18D65A" w:rsidR="00906A6A" w:rsidRDefault="00906A6A" w:rsidP="00906A6A">
            <w:r>
              <w:t>9,000</w:t>
            </w:r>
          </w:p>
        </w:tc>
      </w:tr>
      <w:tr w:rsidR="00906A6A" w14:paraId="116D42F3" w14:textId="77777777" w:rsidTr="008B650C">
        <w:tc>
          <w:tcPr>
            <w:tcW w:w="3005" w:type="dxa"/>
          </w:tcPr>
          <w:p w14:paraId="36D112D5" w14:textId="2372C2D6" w:rsidR="00906A6A" w:rsidRDefault="00906A6A" w:rsidP="00906A6A">
            <w:r>
              <w:t>P</w:t>
            </w:r>
          </w:p>
        </w:tc>
        <w:tc>
          <w:tcPr>
            <w:tcW w:w="3005" w:type="dxa"/>
          </w:tcPr>
          <w:p w14:paraId="0DCC40C3" w14:textId="17B8781F" w:rsidR="00906A6A" w:rsidRDefault="00906A6A" w:rsidP="00906A6A">
            <w:r w:rsidRPr="00915960">
              <w:t>Operational handover &amp; closeout</w:t>
            </w:r>
          </w:p>
        </w:tc>
        <w:tc>
          <w:tcPr>
            <w:tcW w:w="3006" w:type="dxa"/>
          </w:tcPr>
          <w:p w14:paraId="6FDD21F9" w14:textId="2CE3F3DE" w:rsidR="00906A6A" w:rsidRDefault="00906A6A" w:rsidP="00906A6A">
            <w:r>
              <w:t>6,000</w:t>
            </w:r>
          </w:p>
        </w:tc>
      </w:tr>
    </w:tbl>
    <w:p w14:paraId="0C408D32" w14:textId="77777777" w:rsidR="008B650C" w:rsidRDefault="008B650C" w:rsidP="00C94F9F"/>
    <w:p w14:paraId="3C9EF39A" w14:textId="77777777" w:rsidR="008B650C" w:rsidRDefault="008B650C" w:rsidP="00C94F9F"/>
    <w:p w14:paraId="0F7D2D29" w14:textId="16BFB40A" w:rsidR="00C94F9F" w:rsidRDefault="00C94F9F" w:rsidP="00C94F9F">
      <w:r>
        <w:t xml:space="preserve">The budget is managed with explicit linkage to schedule decisions because time–cost trade-offs (including crashing) are well-recognized and must be handled systematically rather than ad hoc </w:t>
      </w:r>
      <w:r w:rsidR="00514C70">
        <w:t>(</w:t>
      </w:r>
      <w:r>
        <w:t>Forero &amp; Rodríguez 2020), (Laslo &amp; Gurevich, 2011</w:t>
      </w:r>
      <w:r w:rsidR="00514C70">
        <w:t>)</w:t>
      </w:r>
      <w:r>
        <w:t xml:space="preserve">, </w:t>
      </w:r>
      <w:r w:rsidR="00E71E09">
        <w:t>(</w:t>
      </w:r>
      <w:r>
        <w:t>Shen et al., 2010).</w:t>
      </w:r>
    </w:p>
    <w:p w14:paraId="503A2FDF" w14:textId="77777777" w:rsidR="00C94F9F" w:rsidRDefault="00C94F9F" w:rsidP="00C94F9F"/>
    <w:p w14:paraId="634B5DC5" w14:textId="77777777" w:rsidR="00C94F9F" w:rsidRPr="00C94F9F" w:rsidRDefault="00C94F9F" w:rsidP="00C94F9F">
      <w:pPr>
        <w:rPr>
          <w:b/>
          <w:bCs/>
        </w:rPr>
      </w:pPr>
      <w:r w:rsidRPr="00C94F9F">
        <w:rPr>
          <w:b/>
          <w:bCs/>
        </w:rPr>
        <w:t>5.2 Cost–Safety Relationship (Governance Principle)</w:t>
      </w:r>
    </w:p>
    <w:p w14:paraId="5D592DA6" w14:textId="155E6069" w:rsidR="00C94F9F" w:rsidRDefault="00C94F9F" w:rsidP="00C94F9F">
      <w:r>
        <w:t xml:space="preserve">Railway safety interventions can impose extremely large costs at the system level (e.g., broad operational restrictions after safety events), demonstrating why safety-related decisions must be justified and proportionate rather than purely reactive </w:t>
      </w:r>
      <w:r w:rsidR="00514C70">
        <w:t>(</w:t>
      </w:r>
      <w:r>
        <w:t xml:space="preserve">Thomas &amp; </w:t>
      </w:r>
      <w:proofErr w:type="spellStart"/>
      <w:r>
        <w:t>Stupples</w:t>
      </w:r>
      <w:proofErr w:type="spellEnd"/>
      <w:r>
        <w:t xml:space="preserve">, 2006). At the same time, rail safety performance is multi-factorial (people, </w:t>
      </w:r>
      <w:r>
        <w:lastRenderedPageBreak/>
        <w:t xml:space="preserve">equipment, management), requiring investment not only in physical works but also in management controls and assurance activities </w:t>
      </w:r>
      <w:r w:rsidR="00514C70">
        <w:t>(</w:t>
      </w:r>
      <w:r>
        <w:t>Sun et al., 2018</w:t>
      </w:r>
      <w:r w:rsidR="00514C70">
        <w:t>)</w:t>
      </w:r>
      <w:r>
        <w:t xml:space="preserve">. Therefore, cost management is explicitly integrated with safety governance so that acceleration measures do not erode assurance quality—a principle consistent with the need for robust scheduling and critical-path protection under uncertainty </w:t>
      </w:r>
      <w:r w:rsidR="001117A4">
        <w:t>(</w:t>
      </w:r>
      <w:r>
        <w:t>Shen et al., 2010).</w:t>
      </w:r>
    </w:p>
    <w:p w14:paraId="41392667" w14:textId="77777777" w:rsidR="00C94F9F" w:rsidRDefault="00C94F9F" w:rsidP="00C94F9F"/>
    <w:p w14:paraId="488302E0" w14:textId="77777777" w:rsidR="00C94F9F" w:rsidRPr="00C94F9F" w:rsidRDefault="00C94F9F" w:rsidP="00C94F9F">
      <w:pPr>
        <w:rPr>
          <w:b/>
          <w:bCs/>
        </w:rPr>
      </w:pPr>
      <w:r w:rsidRPr="00C94F9F">
        <w:rPr>
          <w:b/>
          <w:bCs/>
        </w:rPr>
        <w:t>6. Risk Management: Identification, Analysis, and Mitigation</w:t>
      </w:r>
    </w:p>
    <w:p w14:paraId="651233D3" w14:textId="77777777" w:rsidR="00C94F9F" w:rsidRPr="00C94F9F" w:rsidRDefault="00C94F9F" w:rsidP="00C94F9F">
      <w:pPr>
        <w:rPr>
          <w:b/>
          <w:bCs/>
        </w:rPr>
      </w:pPr>
      <w:r w:rsidRPr="00C94F9F">
        <w:rPr>
          <w:b/>
          <w:bCs/>
        </w:rPr>
        <w:t>6.1 Risk Management Methods Selected</w:t>
      </w:r>
    </w:p>
    <w:p w14:paraId="6D3908BC" w14:textId="692EE71D" w:rsidR="00C94F9F" w:rsidRDefault="00C94F9F" w:rsidP="00C94F9F">
      <w:r>
        <w:t>Risk identification, analysis, and assessment are widely emphasi</w:t>
      </w:r>
      <w:r w:rsidR="001117A4">
        <w:t>s</w:t>
      </w:r>
      <w:r>
        <w:t>ed as beneficial for contingency planning and mitigation in complex projects (Laslo &amp; Gurevich, 2011</w:t>
      </w:r>
      <w:r w:rsidR="001117A4">
        <w:t>)</w:t>
      </w:r>
      <w:r>
        <w:t xml:space="preserve">. Formal risk evaluation methods (including guideline-based and fuzzy-model approaches) are developed specifically to cope with the complexity and dynamics of executive projects and to improve performance and success likelihood (Asadi et al., 2018). In addition, uncertainty-aware scheduling research recommends proactive/robust approaches (rather than purely reactive ones) when constrained resources and uncertainty threaten critical paths </w:t>
      </w:r>
      <w:r w:rsidR="0098243B">
        <w:t>(</w:t>
      </w:r>
      <w:r>
        <w:t>Shen et al., 2010).</w:t>
      </w:r>
    </w:p>
    <w:p w14:paraId="40110537" w14:textId="3E6AAA1C" w:rsidR="00C94F9F" w:rsidRDefault="00C94F9F" w:rsidP="00C94F9F">
      <w:r>
        <w:t>Accordingly, this project uses a combined qualitative–quantitative approach: (</w:t>
      </w:r>
      <w:proofErr w:type="spellStart"/>
      <w:r>
        <w:t>i</w:t>
      </w:r>
      <w:proofErr w:type="spellEnd"/>
      <w:r>
        <w:t>) a structured risk register with ownership and actions (consistent with formal risk management practice) (Asadi et al., 2018), (ii) uncertainty-aware schedule interpretation (recognizing stochastic durations and critical-path vulnerability) (Laslo &amp; Gurevich, 2011</w:t>
      </w:r>
      <w:r w:rsidR="00E71E09">
        <w:t>)</w:t>
      </w:r>
      <w:r>
        <w:t xml:space="preserve">, </w:t>
      </w:r>
      <w:r w:rsidR="00E71E09">
        <w:t>(</w:t>
      </w:r>
      <w:r>
        <w:t>Shen et al., 2010), and (iii) targeted mitigations emphasi</w:t>
      </w:r>
      <w:r w:rsidR="0098243B">
        <w:t>s</w:t>
      </w:r>
      <w:r>
        <w:t xml:space="preserve">ing early stakeholder alignment and transparent engagement to reduce approval/access shocks </w:t>
      </w:r>
      <w:r w:rsidR="0098243B">
        <w:t>(</w:t>
      </w:r>
      <w:r>
        <w:t xml:space="preserve">Ninan et al., 2019), </w:t>
      </w:r>
      <w:r w:rsidR="0098243B">
        <w:t>(</w:t>
      </w:r>
      <w:r>
        <w:t>Tian, 202</w:t>
      </w:r>
      <w:r w:rsidR="0098243B">
        <w:t>2)</w:t>
      </w:r>
      <w:r>
        <w:t>.</w:t>
      </w:r>
    </w:p>
    <w:p w14:paraId="6801DEA1" w14:textId="77777777" w:rsidR="00C94F9F" w:rsidRDefault="00C94F9F" w:rsidP="00C94F9F"/>
    <w:p w14:paraId="2AC6A38D" w14:textId="2D6A0B2E" w:rsidR="00C94F9F" w:rsidRPr="00C94F9F" w:rsidRDefault="00C94F9F" w:rsidP="00C94F9F">
      <w:pPr>
        <w:rPr>
          <w:b/>
          <w:bCs/>
        </w:rPr>
      </w:pPr>
      <w:r w:rsidRPr="00C94F9F">
        <w:rPr>
          <w:b/>
          <w:bCs/>
        </w:rPr>
        <w:t>6.2 Key Risks and Mitigations (Synthesi</w:t>
      </w:r>
      <w:r w:rsidR="00253F2E">
        <w:rPr>
          <w:b/>
          <w:bCs/>
        </w:rPr>
        <w:t>s</w:t>
      </w:r>
      <w:r w:rsidRPr="00C94F9F">
        <w:rPr>
          <w:b/>
          <w:bCs/>
        </w:rPr>
        <w:t>ed)</w:t>
      </w:r>
    </w:p>
    <w:p w14:paraId="217D22A1" w14:textId="681F5887" w:rsidR="00C94F9F" w:rsidRDefault="00C94F9F" w:rsidP="00C94F9F">
      <w:r>
        <w:t xml:space="preserve">The risk set below is aligned with typical construction delay drivers </w:t>
      </w:r>
      <w:r w:rsidR="00253F2E">
        <w:t>(</w:t>
      </w:r>
      <w:r>
        <w:t>Tomczak &amp; Piotr, 2020</w:t>
      </w:r>
      <w:r w:rsidR="00253F2E">
        <w:t>)</w:t>
      </w:r>
      <w:r>
        <w:t xml:space="preserve">; and rail safety/operational interface sensitivity </w:t>
      </w:r>
      <w:r w:rsidR="00721F30">
        <w:t>(</w:t>
      </w:r>
      <w:r>
        <w:t xml:space="preserve">Sun et al., </w:t>
      </w:r>
      <w:r w:rsidR="00721F30">
        <w:t>2018</w:t>
      </w:r>
      <w:r w:rsidR="00E71E09">
        <w:t>)</w:t>
      </w:r>
      <w:r w:rsidR="00721F30">
        <w:t>,</w:t>
      </w:r>
      <w:r>
        <w:t xml:space="preserve"> </w:t>
      </w:r>
      <w:r w:rsidR="00E71E09">
        <w:t>(</w:t>
      </w:r>
      <w:r>
        <w:t xml:space="preserve">Thomas &amp; </w:t>
      </w:r>
      <w:proofErr w:type="spellStart"/>
      <w:r>
        <w:t>Stupples</w:t>
      </w:r>
      <w:proofErr w:type="spellEnd"/>
      <w:r>
        <w:t>, 2006). Mitigations emphasi</w:t>
      </w:r>
      <w:r w:rsidR="00253F2E">
        <w:t>s</w:t>
      </w:r>
      <w:r>
        <w:t xml:space="preserve">e proactive scheduling and stakeholder management to reduce uncertainty impacts on critical-path activities </w:t>
      </w:r>
      <w:r w:rsidR="00721F30">
        <w:t>(</w:t>
      </w:r>
      <w:r>
        <w:t xml:space="preserve">Shen et al., 2010), </w:t>
      </w:r>
      <w:r w:rsidR="00E71E09">
        <w:t>(</w:t>
      </w:r>
      <w:r>
        <w:t xml:space="preserve">Ninan et al., 2019), (Laslo &amp; Gurevich, </w:t>
      </w:r>
      <w:r w:rsidR="00721F30">
        <w:t>2011).</w:t>
      </w:r>
    </w:p>
    <w:p w14:paraId="2B3DC4FB" w14:textId="3ED8C593" w:rsidR="00C94F9F" w:rsidRDefault="00C94F9F" w:rsidP="00C94F9F">
      <w:r>
        <w:t>Risk Theme</w:t>
      </w:r>
    </w:p>
    <w:p w14:paraId="423482E1" w14:textId="77777777" w:rsidR="00C94F9F" w:rsidRDefault="00C94F9F" w:rsidP="00C94F9F">
      <w:r>
        <w:t>Why Material (Evidence-Based Framing)</w:t>
      </w:r>
      <w:r>
        <w:tab/>
      </w:r>
    </w:p>
    <w:p w14:paraId="7C5D75F5" w14:textId="7BBAA40D" w:rsidR="00C94F9F" w:rsidRDefault="00C94F9F" w:rsidP="00C94F9F">
      <w:r>
        <w:t>Mitigation Logic (Technique-Driven)</w:t>
      </w:r>
    </w:p>
    <w:p w14:paraId="764EAB65" w14:textId="77777777" w:rsidR="00C94F9F" w:rsidRDefault="00C94F9F" w:rsidP="00C94F9F">
      <w:r>
        <w:t>Access/possession constraints and late changes</w:t>
      </w:r>
      <w:r>
        <w:tab/>
      </w:r>
    </w:p>
    <w:p w14:paraId="78FEB376" w14:textId="0933B634" w:rsidR="00C94F9F" w:rsidRDefault="00C94F9F" w:rsidP="00C94F9F">
      <w:r>
        <w:lastRenderedPageBreak/>
        <w:t xml:space="preserve">Constrained resource allocation and limited transferability are known drivers for needing proactive scheduling and advance commitments </w:t>
      </w:r>
      <w:r w:rsidR="008811C9">
        <w:t>(</w:t>
      </w:r>
      <w:r>
        <w:t xml:space="preserve">Shen et al., 2010); construction delay exposure is common </w:t>
      </w:r>
      <w:r w:rsidR="008811C9">
        <w:t>(</w:t>
      </w:r>
      <w:r>
        <w:t xml:space="preserve">Tomczak &amp; Piotr, </w:t>
      </w:r>
      <w:r>
        <w:t>2020</w:t>
      </w:r>
      <w:r w:rsidR="008811C9">
        <w:t>)</w:t>
      </w:r>
      <w:r>
        <w:t>.</w:t>
      </w:r>
      <w:r>
        <w:tab/>
      </w:r>
    </w:p>
    <w:p w14:paraId="28832C25" w14:textId="11FEE4E6" w:rsidR="00C94F9F" w:rsidRDefault="00C94F9F" w:rsidP="00C94F9F">
      <w:r>
        <w:t xml:space="preserve">Secure commitments early via stakeholder "exchange/consultation" mechanisms where appropriate </w:t>
      </w:r>
      <w:r w:rsidR="008811C9">
        <w:t>(</w:t>
      </w:r>
      <w:r>
        <w:t>Ninan et al., 2019</w:t>
      </w:r>
      <w:r>
        <w:t>) and</w:t>
      </w:r>
      <w:r>
        <w:t xml:space="preserve"> protect the critical path with robust readiness gates and contingency options </w:t>
      </w:r>
      <w:r w:rsidR="008811C9">
        <w:t>(</w:t>
      </w:r>
      <w:r>
        <w:t xml:space="preserve">Shen et al., 2010), (Laslo &amp; Gurevich, </w:t>
      </w:r>
      <w:r>
        <w:t>2011</w:t>
      </w:r>
      <w:r w:rsidR="008811C9">
        <w:t>)</w:t>
      </w:r>
      <w:r>
        <w:t>.</w:t>
      </w:r>
    </w:p>
    <w:p w14:paraId="73E8AB9D" w14:textId="24505DBF" w:rsidR="00C94F9F" w:rsidRPr="00C94F9F" w:rsidRDefault="00C94F9F" w:rsidP="00C94F9F">
      <w:pPr>
        <w:rPr>
          <w:b/>
          <w:bCs/>
        </w:rPr>
      </w:pPr>
      <w:r w:rsidRPr="00C94F9F">
        <w:rPr>
          <w:b/>
          <w:bCs/>
        </w:rPr>
        <w:t>Approval and consent delays</w:t>
      </w:r>
    </w:p>
    <w:p w14:paraId="4565AEDD" w14:textId="5A3ACF9F" w:rsidR="00C94F9F" w:rsidRDefault="00C94F9F" w:rsidP="00C94F9F">
      <w:r>
        <w:t xml:space="preserve">Approvals behave like high-impact uncertainty nodes that can dominate critical paths; uncertainty-aware critical-path protection is recommended </w:t>
      </w:r>
      <w:r w:rsidR="00383854">
        <w:t>(</w:t>
      </w:r>
      <w:r>
        <w:t xml:space="preserve">Shen et al., 2010), (Laslo &amp; Gurevich, </w:t>
      </w:r>
      <w:r>
        <w:t>2011</w:t>
      </w:r>
      <w:r w:rsidR="00383854">
        <w:t>)</w:t>
      </w:r>
      <w:r>
        <w:t>.</w:t>
      </w:r>
    </w:p>
    <w:p w14:paraId="4B414FE6" w14:textId="15942709" w:rsidR="00C94F9F" w:rsidRDefault="00C94F9F" w:rsidP="00C94F9F">
      <w:r>
        <w:t xml:space="preserve">Early and transparent engagement to reduce friction and rework </w:t>
      </w:r>
      <w:r w:rsidR="00383854">
        <w:t>(</w:t>
      </w:r>
      <w:r>
        <w:t>Tian, 2022</w:t>
      </w:r>
      <w:r w:rsidR="00383854">
        <w:t>)</w:t>
      </w:r>
      <w:r>
        <w:t>;</w:t>
      </w:r>
      <w:r>
        <w:t xml:space="preserve"> paired with structured milestone/variance controls common in time management practice </w:t>
      </w:r>
      <w:r w:rsidR="00383854">
        <w:t>(</w:t>
      </w:r>
      <w:r>
        <w:t>Forero &amp; Rodríguez 2020).</w:t>
      </w:r>
    </w:p>
    <w:p w14:paraId="7131E028" w14:textId="77777777" w:rsidR="00E71E09" w:rsidRDefault="00E71E09" w:rsidP="00C94F9F"/>
    <w:p w14:paraId="405AE398" w14:textId="77777777" w:rsidR="00C94F9F" w:rsidRPr="00C94F9F" w:rsidRDefault="00C94F9F" w:rsidP="00C94F9F">
      <w:pPr>
        <w:rPr>
          <w:b/>
          <w:bCs/>
        </w:rPr>
      </w:pPr>
      <w:r w:rsidRPr="00C94F9F">
        <w:rPr>
          <w:b/>
          <w:bCs/>
        </w:rPr>
        <w:t>Ground/settlement and interface risks near operational track</w:t>
      </w:r>
      <w:r w:rsidRPr="00C94F9F">
        <w:rPr>
          <w:b/>
          <w:bCs/>
        </w:rPr>
        <w:tab/>
      </w:r>
    </w:p>
    <w:p w14:paraId="1A708A97" w14:textId="4DF6095C" w:rsidR="00C94F9F" w:rsidRDefault="00C94F9F" w:rsidP="00C94F9F">
      <w:r>
        <w:t xml:space="preserve">Rail safety is affected by equipment and management factors beyond incident counts </w:t>
      </w:r>
      <w:r w:rsidR="00383854">
        <w:t>(</w:t>
      </w:r>
      <w:r>
        <w:t>Sun et al., 2018</w:t>
      </w:r>
      <w:r w:rsidR="00383854">
        <w:t>)</w:t>
      </w:r>
      <w:r>
        <w:t>;</w:t>
      </w:r>
      <w:r>
        <w:t xml:space="preserve"> technical controls for track settlement effects are documented in station-adjacent works (Li et al., 2024</w:t>
      </w:r>
      <w:r>
        <w:t>).</w:t>
      </w:r>
      <w:r>
        <w:tab/>
      </w:r>
    </w:p>
    <w:p w14:paraId="23A2F6D5" w14:textId="55607816" w:rsidR="00C94F9F" w:rsidRDefault="00C94F9F" w:rsidP="00C94F9F">
      <w:r>
        <w:t>Apply engineered ground/control measures and parameter optimi</w:t>
      </w:r>
      <w:r w:rsidR="00771406">
        <w:t>s</w:t>
      </w:r>
      <w:r>
        <w:t>ation approaches consistent with settlement-control evidence (e.g., reinforcement/grouting strategies and construction-parameter optimi</w:t>
      </w:r>
      <w:r w:rsidR="00771406">
        <w:t>s</w:t>
      </w:r>
      <w:r>
        <w:t xml:space="preserve">ation where relevant) (Li et al., </w:t>
      </w:r>
      <w:r>
        <w:t>2024),</w:t>
      </w:r>
      <w:r>
        <w:t xml:space="preserve"> alongside management controls and assurance </w:t>
      </w:r>
      <w:r w:rsidR="00771406">
        <w:t>(</w:t>
      </w:r>
      <w:r>
        <w:t xml:space="preserve">Sun et al., </w:t>
      </w:r>
      <w:r>
        <w:t>2018</w:t>
      </w:r>
      <w:r w:rsidR="00771406">
        <w:t>)</w:t>
      </w:r>
      <w:r>
        <w:t>.</w:t>
      </w:r>
    </w:p>
    <w:p w14:paraId="3F04E72E" w14:textId="77777777" w:rsidR="00C94F9F" w:rsidRPr="00C94F9F" w:rsidRDefault="00C94F9F" w:rsidP="00C94F9F">
      <w:pPr>
        <w:rPr>
          <w:b/>
          <w:bCs/>
        </w:rPr>
      </w:pPr>
      <w:r w:rsidRPr="00C94F9F">
        <w:rPr>
          <w:b/>
          <w:bCs/>
        </w:rPr>
        <w:t>Safety assurance and commissioning integration risk</w:t>
      </w:r>
      <w:r w:rsidRPr="00C94F9F">
        <w:rPr>
          <w:b/>
          <w:bCs/>
        </w:rPr>
        <w:tab/>
      </w:r>
    </w:p>
    <w:p w14:paraId="3AB59B8D" w14:textId="0BCD0927" w:rsidR="00C94F9F" w:rsidRDefault="00C94F9F" w:rsidP="00C94F9F">
      <w:r>
        <w:t>Mission-critical operational performance depends on reliable communications and controlled commissioning; safety depends on multi-factor management and assurance (</w:t>
      </w:r>
      <w:proofErr w:type="spellStart"/>
      <w:r>
        <w:t>Răstoceanu</w:t>
      </w:r>
      <w:proofErr w:type="spellEnd"/>
      <w:r>
        <w:t xml:space="preserve"> et al., 2025).</w:t>
      </w:r>
      <w:r>
        <w:tab/>
      </w:r>
    </w:p>
    <w:p w14:paraId="3DE41FC6" w14:textId="53E4D9B6" w:rsidR="00C94F9F" w:rsidRDefault="00C94F9F" w:rsidP="00C94F9F">
      <w:r>
        <w:t>Staged testing/commissioning with high-integrity communications practices aligned with mission-critical requirements for availability/reliability (</w:t>
      </w:r>
      <w:proofErr w:type="spellStart"/>
      <w:r>
        <w:t>Răstoceanu</w:t>
      </w:r>
      <w:proofErr w:type="spellEnd"/>
      <w:r>
        <w:t xml:space="preserve"> et al., 2025), and governance emphasizing proportionate safety decision-making </w:t>
      </w:r>
      <w:r w:rsidR="00771406">
        <w:t>(</w:t>
      </w:r>
      <w:r>
        <w:t xml:space="preserve">Thomas &amp; </w:t>
      </w:r>
      <w:proofErr w:type="spellStart"/>
      <w:r>
        <w:t>Stupples</w:t>
      </w:r>
      <w:proofErr w:type="spellEnd"/>
      <w:r>
        <w:t>, 2006).</w:t>
      </w:r>
    </w:p>
    <w:p w14:paraId="73A3B2F6" w14:textId="2F3AD40E" w:rsidR="00C94F9F" w:rsidRDefault="00C94F9F" w:rsidP="00C94F9F">
      <w:r>
        <w:t>Weather and external disruption</w:t>
      </w:r>
      <w:r>
        <w:t xml:space="preserve">. </w:t>
      </w:r>
      <w:r>
        <w:t xml:space="preserve">Construction projects are widely exposed to external factors causing delay </w:t>
      </w:r>
      <w:r w:rsidR="00771406">
        <w:t>(</w:t>
      </w:r>
      <w:r>
        <w:t>Tomczak &amp; Piotr, 2020</w:t>
      </w:r>
      <w:r w:rsidR="00771406">
        <w:t>)</w:t>
      </w:r>
      <w:r>
        <w:t xml:space="preserve">. </w:t>
      </w:r>
      <w:r>
        <w:t xml:space="preserve">Use robust scheduling concepts and contingency planning consistent with uncertainty-aware scheduling recommendations </w:t>
      </w:r>
      <w:r w:rsidR="00771406">
        <w:t>(</w:t>
      </w:r>
      <w:r>
        <w:t>Shen et al., 2010), (Laslo &amp; Gurevich, 2011</w:t>
      </w:r>
      <w:r w:rsidR="00771406">
        <w:t>)</w:t>
      </w:r>
      <w:r>
        <w:t>.</w:t>
      </w:r>
    </w:p>
    <w:p w14:paraId="647B4E44" w14:textId="77777777" w:rsidR="000D33CE" w:rsidRDefault="000D33CE" w:rsidP="00C94F9F"/>
    <w:p w14:paraId="6A1584DF" w14:textId="77777777" w:rsidR="00C94F9F" w:rsidRPr="00C94F9F" w:rsidRDefault="00C94F9F" w:rsidP="00C94F9F">
      <w:pPr>
        <w:rPr>
          <w:b/>
          <w:bCs/>
        </w:rPr>
      </w:pPr>
      <w:r w:rsidRPr="00C94F9F">
        <w:rPr>
          <w:b/>
          <w:bCs/>
        </w:rPr>
        <w:lastRenderedPageBreak/>
        <w:t>6.3 Quantitative/Uncertainty-Aware Perspective</w:t>
      </w:r>
    </w:p>
    <w:p w14:paraId="56974271" w14:textId="56FBB70C" w:rsidR="00C94F9F" w:rsidRDefault="00C94F9F" w:rsidP="00C94F9F">
      <w:r>
        <w:t xml:space="preserve">Because deterministic CPM/crashing can under-represent real variance, the plan treats the 78-day baseline as a central estimate derived via standard CPM practice </w:t>
      </w:r>
      <w:r w:rsidR="00771406">
        <w:t>(</w:t>
      </w:r>
      <w:r>
        <w:t xml:space="preserve">Forero &amp; Rodríguez 2020), while using uncertainty-aware insights to avoid overcommitting to deterministic targets without contingency (Laslo &amp; Gurevich, </w:t>
      </w:r>
      <w:r>
        <w:t>2011</w:t>
      </w:r>
      <w:r w:rsidR="00E71E09">
        <w:t>)</w:t>
      </w:r>
      <w:r>
        <w:t>;</w:t>
      </w:r>
      <w:r>
        <w:t xml:space="preserve"> </w:t>
      </w:r>
      <w:r w:rsidR="00E71E09">
        <w:t>(</w:t>
      </w:r>
      <w:r>
        <w:t xml:space="preserve">Shen et al., 2010). This aligns with the observation that schedule crashing often ignores stochastic duration/cost </w:t>
      </w:r>
      <w:r>
        <w:t>behaviour</w:t>
      </w:r>
      <w:r>
        <w:t xml:space="preserve">, which can undermine reliability if not managed explicitly (Laslo &amp; Gurevich, </w:t>
      </w:r>
      <w:r>
        <w:t>2011</w:t>
      </w:r>
      <w:r w:rsidR="004E5CBD">
        <w:t>)</w:t>
      </w:r>
      <w:r>
        <w:t>.</w:t>
      </w:r>
    </w:p>
    <w:p w14:paraId="03DCC451" w14:textId="77777777" w:rsidR="00C94F9F" w:rsidRDefault="00C94F9F" w:rsidP="00C94F9F"/>
    <w:p w14:paraId="4764140B" w14:textId="77777777" w:rsidR="00C94F9F" w:rsidRPr="00C94F9F" w:rsidRDefault="00C94F9F" w:rsidP="00C94F9F">
      <w:pPr>
        <w:rPr>
          <w:b/>
          <w:bCs/>
        </w:rPr>
      </w:pPr>
      <w:r w:rsidRPr="00C94F9F">
        <w:rPr>
          <w:b/>
          <w:bCs/>
        </w:rPr>
        <w:t>7. Communications Management Plan (Safety-Critical Rail Delivery)</w:t>
      </w:r>
    </w:p>
    <w:p w14:paraId="6561C1CF" w14:textId="77777777" w:rsidR="00C94F9F" w:rsidRPr="00C94F9F" w:rsidRDefault="00C94F9F" w:rsidP="00C94F9F">
      <w:pPr>
        <w:rPr>
          <w:b/>
          <w:bCs/>
        </w:rPr>
      </w:pPr>
      <w:r w:rsidRPr="00C94F9F">
        <w:rPr>
          <w:b/>
          <w:bCs/>
        </w:rPr>
        <w:t>7.1 Why Communication is Treated as a Core Control</w:t>
      </w:r>
    </w:p>
    <w:p w14:paraId="72551DE7" w14:textId="11AA332F" w:rsidR="00C94F9F" w:rsidRDefault="00C94F9F" w:rsidP="00C94F9F">
      <w:r>
        <w:t>Communication is repeatedly identified as a critical enabler of effective management and cost control under tight schedules and challenging logistics (Xu et al., 2023</w:t>
      </w:r>
      <w:r w:rsidR="004E5CBD">
        <w:t>)</w:t>
      </w:r>
      <w:r>
        <w:t>. More broadly, communications management is a recogni</w:t>
      </w:r>
      <w:r w:rsidR="004E5CBD">
        <w:t>s</w:t>
      </w:r>
      <w:r>
        <w:t xml:space="preserve">ed project management knowledge area used alongside time, cost, risk, procurement, and integration practices across the life cycle </w:t>
      </w:r>
      <w:r w:rsidR="004E5CBD">
        <w:t>(</w:t>
      </w:r>
      <w:r>
        <w:t>Forero &amp; Rodríguez 2020), (Martin et al., 2021</w:t>
      </w:r>
      <w:r w:rsidR="004E5CBD">
        <w:t>)</w:t>
      </w:r>
      <w:r>
        <w:t xml:space="preserve">. Empirical work on project management tools and techniques supports the view that structured managerial practices (including communications routines) contribute to project success rather than being adopted only by popularity </w:t>
      </w:r>
      <w:r w:rsidR="0053366B">
        <w:t>(</w:t>
      </w:r>
      <w:proofErr w:type="spellStart"/>
      <w:r>
        <w:t>Patanakul</w:t>
      </w:r>
      <w:proofErr w:type="spellEnd"/>
      <w:r>
        <w:t xml:space="preserve"> et al., 2010).</w:t>
      </w:r>
    </w:p>
    <w:p w14:paraId="466922D9" w14:textId="77777777" w:rsidR="00C94F9F" w:rsidRDefault="00C94F9F" w:rsidP="00C94F9F"/>
    <w:p w14:paraId="4A6AC974" w14:textId="77777777" w:rsidR="00C94F9F" w:rsidRPr="00C94F9F" w:rsidRDefault="00C94F9F" w:rsidP="00C94F9F">
      <w:pPr>
        <w:rPr>
          <w:b/>
          <w:bCs/>
        </w:rPr>
      </w:pPr>
      <w:r w:rsidRPr="00C94F9F">
        <w:rPr>
          <w:b/>
          <w:bCs/>
        </w:rPr>
        <w:t>7.2 Communication Design for a Live-Rail Environment</w:t>
      </w:r>
    </w:p>
    <w:p w14:paraId="7DBF532F" w14:textId="46463F5E" w:rsidR="00C94F9F" w:rsidRDefault="00C94F9F" w:rsidP="00C94F9F">
      <w:r>
        <w:t>Given the safety-critical nature of rail operations and the dependence of operational effectiveness on communication performance, the project’s site and commissioning communications are designed to meet high expectations for availability, reliability, and operational coordination, consistent with mission-critical communications requirements documented for critical infrastructure contexts (</w:t>
      </w:r>
      <w:proofErr w:type="spellStart"/>
      <w:r>
        <w:t>Răstoceanu</w:t>
      </w:r>
      <w:proofErr w:type="spellEnd"/>
      <w:r>
        <w:t xml:space="preserve"> et al., 2025). Since rail safety performance depends on personnel and management factors alongside equipment, structured communication and briefing regimes function as a management risk control, not merely an administrative practice </w:t>
      </w:r>
      <w:r w:rsidR="0053366B">
        <w:t>(</w:t>
      </w:r>
      <w:r>
        <w:t>Sun et al., 2018</w:t>
      </w:r>
      <w:r w:rsidR="0053366B">
        <w:t>)</w:t>
      </w:r>
      <w:r>
        <w:t xml:space="preserve">. Moreover, because reactive system-wide responses to safety concerns can impose very large costs, proactive communication and assurance help avoid escalations triggered by uncertainty or misunderstanding </w:t>
      </w:r>
      <w:r w:rsidR="003F6CAC">
        <w:t>(</w:t>
      </w:r>
      <w:r>
        <w:t xml:space="preserve">Thomas &amp; </w:t>
      </w:r>
      <w:proofErr w:type="spellStart"/>
      <w:r>
        <w:t>Stupples</w:t>
      </w:r>
      <w:proofErr w:type="spellEnd"/>
      <w:r>
        <w:t>, 2006).</w:t>
      </w:r>
    </w:p>
    <w:p w14:paraId="2FE72F6E" w14:textId="77777777" w:rsidR="00C94F9F" w:rsidRDefault="00C94F9F" w:rsidP="00C94F9F"/>
    <w:p w14:paraId="53136474" w14:textId="77777777" w:rsidR="00C94F9F" w:rsidRPr="00C94F9F" w:rsidRDefault="00C94F9F" w:rsidP="00C94F9F">
      <w:pPr>
        <w:rPr>
          <w:b/>
          <w:bCs/>
        </w:rPr>
      </w:pPr>
      <w:r w:rsidRPr="00C94F9F">
        <w:rPr>
          <w:b/>
          <w:bCs/>
        </w:rPr>
        <w:t>7.3 Artefacts and Cadence (Technique-Consistent)</w:t>
      </w:r>
    </w:p>
    <w:p w14:paraId="2A0199A6" w14:textId="1A044874" w:rsidR="00C94F9F" w:rsidRDefault="00C94F9F" w:rsidP="00C94F9F">
      <w:r>
        <w:t xml:space="preserve">The communications approach uses structured reporting and performance documentation consistent with established project termination and reporting practices </w:t>
      </w:r>
      <w:r w:rsidR="003F6CAC">
        <w:lastRenderedPageBreak/>
        <w:t>(</w:t>
      </w:r>
      <w:r>
        <w:t xml:space="preserve">Forero &amp; Rodríguez 2020), and schedule-control practices that emphasize milestones and variance monitoring </w:t>
      </w:r>
      <w:r w:rsidR="003F6CAC">
        <w:t>(</w:t>
      </w:r>
      <w:r>
        <w:t xml:space="preserve">Forero &amp; Rodríguez 2020). Communication is integrated with stakeholder engagement strategies that stress consultation and transparent, context-sensitive engagement to reduce conflict and improve acceptance </w:t>
      </w:r>
      <w:r w:rsidR="006547B4">
        <w:t>(</w:t>
      </w:r>
      <w:r>
        <w:t xml:space="preserve">Ninan et al., 2019), </w:t>
      </w:r>
      <w:r w:rsidR="006547B4">
        <w:t>(</w:t>
      </w:r>
      <w:r>
        <w:t>Tian, 2022</w:t>
      </w:r>
      <w:r w:rsidR="006547B4">
        <w:t>)</w:t>
      </w:r>
      <w:r>
        <w:t>.</w:t>
      </w:r>
    </w:p>
    <w:p w14:paraId="1A70312D" w14:textId="77777777" w:rsidR="00C94F9F" w:rsidRDefault="00C94F9F" w:rsidP="00C94F9F"/>
    <w:p w14:paraId="5D1B43D8" w14:textId="77777777" w:rsidR="00C94F9F" w:rsidRPr="00C94F9F" w:rsidRDefault="00C94F9F" w:rsidP="00C94F9F">
      <w:pPr>
        <w:rPr>
          <w:b/>
          <w:bCs/>
        </w:rPr>
      </w:pPr>
      <w:r w:rsidRPr="00C94F9F">
        <w:rPr>
          <w:b/>
          <w:bCs/>
        </w:rPr>
        <w:t>8. Time–Cost Trade-Off and Crash Costing (7-Day Reduction)</w:t>
      </w:r>
    </w:p>
    <w:p w14:paraId="7A068DA8" w14:textId="77777777" w:rsidR="00C94F9F" w:rsidRPr="00C94F9F" w:rsidRDefault="00C94F9F" w:rsidP="00C94F9F">
      <w:pPr>
        <w:rPr>
          <w:b/>
          <w:bCs/>
        </w:rPr>
      </w:pPr>
      <w:r w:rsidRPr="00C94F9F">
        <w:rPr>
          <w:b/>
          <w:bCs/>
        </w:rPr>
        <w:t>8.1 Rationale and Method</w:t>
      </w:r>
    </w:p>
    <w:p w14:paraId="68755E37" w14:textId="497A5429" w:rsidR="00C94F9F" w:rsidRDefault="00C94F9F" w:rsidP="00C94F9F">
      <w:r>
        <w:t xml:space="preserve">Schedule crashing is a recognized time-management technique used to shorten project duration through time–cost trade-offs </w:t>
      </w:r>
      <w:r w:rsidR="006547B4">
        <w:t>(</w:t>
      </w:r>
      <w:r>
        <w:t xml:space="preserve">Forero &amp; Rodríguez 2020). However, literature on PERT-type projects cautions that traditional crashing often ignores stochastic activity </w:t>
      </w:r>
      <w:r w:rsidR="006547B4">
        <w:t>behaviour</w:t>
      </w:r>
      <w:r>
        <w:t xml:space="preserve"> by reducing uncertainty to deterministic averages, necessitating careful governance when applying crashing to safety- and approval-sensitive rail work (Laslo &amp; Gurevich, 2011</w:t>
      </w:r>
      <w:r w:rsidR="006547B4">
        <w:t>)</w:t>
      </w:r>
      <w:r>
        <w:t>. Uncertainty-aware project scheduling research similarly situates crashing within broader time/cost trade-off problems and emphasi</w:t>
      </w:r>
      <w:r w:rsidR="006547B4">
        <w:t>s</w:t>
      </w:r>
      <w:r>
        <w:t xml:space="preserve">es robust/proactive planning when constraints limit resource flexibility </w:t>
      </w:r>
      <w:r w:rsidR="00E71E09">
        <w:t>(</w:t>
      </w:r>
      <w:r>
        <w:t xml:space="preserve">Shen et al., 2010). Construction acceleration is also discussed in terms of relocating or intensifying resources to shorten execution time, reflecting the practical logic behind crashing actions </w:t>
      </w:r>
      <w:r w:rsidR="006547B4">
        <w:t>(</w:t>
      </w:r>
      <w:r>
        <w:t>Tomczak &amp; Piotr, 2020</w:t>
      </w:r>
      <w:r w:rsidR="006547B4">
        <w:t>)</w:t>
      </w:r>
      <w:r>
        <w:t>.</w:t>
      </w:r>
    </w:p>
    <w:p w14:paraId="79AC4B4E" w14:textId="77777777" w:rsidR="00C94F9F" w:rsidRDefault="00C94F9F" w:rsidP="00C94F9F"/>
    <w:p w14:paraId="61D1DBAE" w14:textId="13C0A0F6" w:rsidR="00C94F9F" w:rsidRDefault="00C94F9F" w:rsidP="00C94F9F">
      <w:r>
        <w:t xml:space="preserve">Accordingly, the crash plan applied here follows a stepwise rule: crash only activities on the current critical path, prioritize by cost-per-day benefit, and re-evaluate the critical path after each step—consistent with disciplined crashing logic in time-management toolsets </w:t>
      </w:r>
      <w:r w:rsidR="00574DE5">
        <w:t>(</w:t>
      </w:r>
      <w:r>
        <w:t>Forero &amp; Rodríguez 2020), (Laslo &amp; Gurevich, 2011</w:t>
      </w:r>
      <w:r w:rsidR="00574DE5">
        <w:t>)</w:t>
      </w:r>
      <w:r>
        <w:t xml:space="preserve">, </w:t>
      </w:r>
      <w:r w:rsidR="00574DE5">
        <w:t>(</w:t>
      </w:r>
      <w:r>
        <w:t>Shen et al., 2010).</w:t>
      </w:r>
    </w:p>
    <w:p w14:paraId="4AE5953A" w14:textId="77777777" w:rsidR="00C94F9F" w:rsidRDefault="00C94F9F" w:rsidP="00C94F9F"/>
    <w:p w14:paraId="649AA4F0" w14:textId="77777777" w:rsidR="00C94F9F" w:rsidRPr="00C94F9F" w:rsidRDefault="00C94F9F" w:rsidP="00C94F9F">
      <w:pPr>
        <w:rPr>
          <w:b/>
          <w:bCs/>
        </w:rPr>
      </w:pPr>
      <w:r w:rsidRPr="00C94F9F">
        <w:rPr>
          <w:b/>
          <w:bCs/>
        </w:rPr>
        <w:t>8.2 Crash Actions and Result (From the Provided Plan)</w:t>
      </w:r>
    </w:p>
    <w:p w14:paraId="1BB68759" w14:textId="61E76744" w:rsidR="00C94F9F" w:rsidRDefault="00C94F9F" w:rsidP="00C94F9F">
      <w:r>
        <w:t xml:space="preserve">Applying the above approach yields a 7-day reduction from 78 days to 71 days, at incremental cost £12,000, using the following actions, interpreted through the standard time–cost trade-off framework </w:t>
      </w:r>
      <w:r w:rsidR="00574DE5">
        <w:t>(</w:t>
      </w:r>
      <w:r>
        <w:t xml:space="preserve">Forero &amp; Rodríguez 2020), (Laslo &amp; Gurevich, </w:t>
      </w:r>
      <w:r>
        <w:t>2011</w:t>
      </w:r>
      <w:r w:rsidR="00574DE5">
        <w:t>)</w:t>
      </w:r>
      <w:r>
        <w:t>;</w:t>
      </w:r>
      <w:r>
        <w:t xml:space="preserve"> </w:t>
      </w:r>
      <w:r w:rsidR="00574DE5">
        <w:t>(</w:t>
      </w:r>
      <w:r>
        <w:t>Shen et al., 2010):</w:t>
      </w:r>
    </w:p>
    <w:tbl>
      <w:tblPr>
        <w:tblStyle w:val="TableGrid"/>
        <w:tblW w:w="0" w:type="auto"/>
        <w:tblLook w:val="04A0" w:firstRow="1" w:lastRow="0" w:firstColumn="1" w:lastColumn="0" w:noHBand="0" w:noVBand="1"/>
      </w:tblPr>
      <w:tblGrid>
        <w:gridCol w:w="2357"/>
        <w:gridCol w:w="2219"/>
        <w:gridCol w:w="2220"/>
        <w:gridCol w:w="2220"/>
      </w:tblGrid>
      <w:tr w:rsidR="00E63063" w14:paraId="633E64A5" w14:textId="77777777" w:rsidTr="00E63063">
        <w:tc>
          <w:tcPr>
            <w:tcW w:w="2357" w:type="dxa"/>
          </w:tcPr>
          <w:p w14:paraId="2338A1CE" w14:textId="6725E3E8" w:rsidR="00E63063" w:rsidRDefault="00E63063" w:rsidP="00C94F9F">
            <w:r>
              <w:t>ID</w:t>
            </w:r>
          </w:p>
        </w:tc>
        <w:tc>
          <w:tcPr>
            <w:tcW w:w="2219" w:type="dxa"/>
          </w:tcPr>
          <w:p w14:paraId="4EA41D2D" w14:textId="35AADED0" w:rsidR="00E63063" w:rsidRDefault="00E63063" w:rsidP="00C94F9F">
            <w:r>
              <w:t>Activity</w:t>
            </w:r>
          </w:p>
        </w:tc>
        <w:tc>
          <w:tcPr>
            <w:tcW w:w="2220" w:type="dxa"/>
          </w:tcPr>
          <w:p w14:paraId="5177960E" w14:textId="6F0A8AA3" w:rsidR="00E63063" w:rsidRDefault="00E63063" w:rsidP="00C94F9F">
            <w:r>
              <w:t>New Duration (Days)</w:t>
            </w:r>
          </w:p>
        </w:tc>
        <w:tc>
          <w:tcPr>
            <w:tcW w:w="2220" w:type="dxa"/>
          </w:tcPr>
          <w:p w14:paraId="09001550" w14:textId="446F6044" w:rsidR="00E63063" w:rsidRDefault="00E63063" w:rsidP="00C94F9F">
            <w:r>
              <w:t>Incremental Cost (£)</w:t>
            </w:r>
          </w:p>
        </w:tc>
      </w:tr>
      <w:tr w:rsidR="00E63063" w14:paraId="3979ED75" w14:textId="77777777" w:rsidTr="00E63063">
        <w:tc>
          <w:tcPr>
            <w:tcW w:w="2357" w:type="dxa"/>
          </w:tcPr>
          <w:p w14:paraId="6BA7EBD3" w14:textId="33A533FE" w:rsidR="00E63063" w:rsidRDefault="00E63063" w:rsidP="00C94F9F">
            <w:r>
              <w:t>B</w:t>
            </w:r>
          </w:p>
        </w:tc>
        <w:tc>
          <w:tcPr>
            <w:tcW w:w="2219" w:type="dxa"/>
          </w:tcPr>
          <w:p w14:paraId="240EEE59" w14:textId="1E860DF1" w:rsidR="00E63063" w:rsidRDefault="00BB7BBB" w:rsidP="00C94F9F">
            <w:r>
              <w:t>Surveys</w:t>
            </w:r>
          </w:p>
        </w:tc>
        <w:tc>
          <w:tcPr>
            <w:tcW w:w="2220" w:type="dxa"/>
          </w:tcPr>
          <w:p w14:paraId="794AE352" w14:textId="2FA0F48E" w:rsidR="00E63063" w:rsidRDefault="00F434C5" w:rsidP="00C94F9F">
            <w:r>
              <w:t>6</w:t>
            </w:r>
          </w:p>
        </w:tc>
        <w:tc>
          <w:tcPr>
            <w:tcW w:w="2220" w:type="dxa"/>
          </w:tcPr>
          <w:p w14:paraId="6BDA8700" w14:textId="4D0A4076" w:rsidR="00E63063" w:rsidRDefault="00BB7BBB" w:rsidP="00C94F9F">
            <w:r>
              <w:t>1,500</w:t>
            </w:r>
          </w:p>
        </w:tc>
      </w:tr>
      <w:tr w:rsidR="00E63063" w14:paraId="47240324" w14:textId="77777777" w:rsidTr="00E63063">
        <w:tc>
          <w:tcPr>
            <w:tcW w:w="2357" w:type="dxa"/>
          </w:tcPr>
          <w:p w14:paraId="15976F0F" w14:textId="63C862A6" w:rsidR="00E63063" w:rsidRDefault="00E63063" w:rsidP="00C94F9F">
            <w:r>
              <w:t>B</w:t>
            </w:r>
          </w:p>
        </w:tc>
        <w:tc>
          <w:tcPr>
            <w:tcW w:w="2219" w:type="dxa"/>
          </w:tcPr>
          <w:p w14:paraId="6D8C45D9" w14:textId="7042EBAB" w:rsidR="00E63063" w:rsidRDefault="00BB7BBB" w:rsidP="00C94F9F">
            <w:r>
              <w:t>Surveys</w:t>
            </w:r>
          </w:p>
        </w:tc>
        <w:tc>
          <w:tcPr>
            <w:tcW w:w="2220" w:type="dxa"/>
          </w:tcPr>
          <w:p w14:paraId="4DE7573E" w14:textId="4CD2B743" w:rsidR="00E63063" w:rsidRDefault="00F434C5" w:rsidP="00C94F9F">
            <w:r>
              <w:t>5</w:t>
            </w:r>
          </w:p>
        </w:tc>
        <w:tc>
          <w:tcPr>
            <w:tcW w:w="2220" w:type="dxa"/>
          </w:tcPr>
          <w:p w14:paraId="396086E6" w14:textId="70B75BED" w:rsidR="00E63063" w:rsidRDefault="00BB7BBB" w:rsidP="00C94F9F">
            <w:r>
              <w:t>1,500</w:t>
            </w:r>
          </w:p>
        </w:tc>
      </w:tr>
      <w:tr w:rsidR="00E63063" w14:paraId="1303839C" w14:textId="77777777" w:rsidTr="00E63063">
        <w:tc>
          <w:tcPr>
            <w:tcW w:w="2357" w:type="dxa"/>
          </w:tcPr>
          <w:p w14:paraId="4B9950E6" w14:textId="197D702B" w:rsidR="00E63063" w:rsidRDefault="00E63063" w:rsidP="00C94F9F">
            <w:r>
              <w:t>H</w:t>
            </w:r>
          </w:p>
        </w:tc>
        <w:tc>
          <w:tcPr>
            <w:tcW w:w="2219" w:type="dxa"/>
          </w:tcPr>
          <w:p w14:paraId="53C152B5" w14:textId="0951CC90" w:rsidR="00E63063" w:rsidRDefault="00BB7BBB" w:rsidP="00C94F9F">
            <w:r>
              <w:t>Site Setup &amp; Welfare</w:t>
            </w:r>
          </w:p>
        </w:tc>
        <w:tc>
          <w:tcPr>
            <w:tcW w:w="2220" w:type="dxa"/>
          </w:tcPr>
          <w:p w14:paraId="0E400F7B" w14:textId="4ACD70B6" w:rsidR="00E63063" w:rsidRDefault="00F434C5" w:rsidP="00C94F9F">
            <w:r>
              <w:t>3</w:t>
            </w:r>
          </w:p>
        </w:tc>
        <w:tc>
          <w:tcPr>
            <w:tcW w:w="2220" w:type="dxa"/>
          </w:tcPr>
          <w:p w14:paraId="3A8ECAB6" w14:textId="7818A6E7" w:rsidR="00E63063" w:rsidRDefault="00BB7BBB" w:rsidP="00C94F9F">
            <w:r>
              <w:t>1,500</w:t>
            </w:r>
          </w:p>
        </w:tc>
      </w:tr>
      <w:tr w:rsidR="00E63063" w14:paraId="526D7CD6" w14:textId="77777777" w:rsidTr="00E63063">
        <w:tc>
          <w:tcPr>
            <w:tcW w:w="2357" w:type="dxa"/>
          </w:tcPr>
          <w:p w14:paraId="08DCA2D6" w14:textId="7C44F0BE" w:rsidR="00E63063" w:rsidRDefault="00E63063" w:rsidP="00C94F9F">
            <w:r>
              <w:lastRenderedPageBreak/>
              <w:t>P</w:t>
            </w:r>
          </w:p>
        </w:tc>
        <w:tc>
          <w:tcPr>
            <w:tcW w:w="2219" w:type="dxa"/>
          </w:tcPr>
          <w:p w14:paraId="135F90D6" w14:textId="0C02817D" w:rsidR="00E63063" w:rsidRDefault="00BB7BBB" w:rsidP="00C94F9F">
            <w:r>
              <w:t>Operational Handover &amp; Closeout</w:t>
            </w:r>
          </w:p>
        </w:tc>
        <w:tc>
          <w:tcPr>
            <w:tcW w:w="2220" w:type="dxa"/>
          </w:tcPr>
          <w:p w14:paraId="1A6AA61F" w14:textId="4669DB1F" w:rsidR="00E63063" w:rsidRDefault="00F434C5" w:rsidP="00C94F9F">
            <w:r>
              <w:t>2</w:t>
            </w:r>
          </w:p>
        </w:tc>
        <w:tc>
          <w:tcPr>
            <w:tcW w:w="2220" w:type="dxa"/>
          </w:tcPr>
          <w:p w14:paraId="544411D8" w14:textId="6196D2C4" w:rsidR="00E63063" w:rsidRDefault="00F434C5" w:rsidP="00C94F9F">
            <w:r>
              <w:t>1,500</w:t>
            </w:r>
          </w:p>
        </w:tc>
      </w:tr>
      <w:tr w:rsidR="00E63063" w14:paraId="4A0EF70F" w14:textId="77777777" w:rsidTr="00E63063">
        <w:tc>
          <w:tcPr>
            <w:tcW w:w="2357" w:type="dxa"/>
          </w:tcPr>
          <w:p w14:paraId="4D5AF0C3" w14:textId="7BD4A208" w:rsidR="00E63063" w:rsidRDefault="00E63063" w:rsidP="00C94F9F">
            <w:r>
              <w:t>O</w:t>
            </w:r>
          </w:p>
        </w:tc>
        <w:tc>
          <w:tcPr>
            <w:tcW w:w="2219" w:type="dxa"/>
          </w:tcPr>
          <w:p w14:paraId="34D34C92" w14:textId="347A5E8B" w:rsidR="00E63063" w:rsidRDefault="00BB7BBB" w:rsidP="00C94F9F">
            <w:r>
              <w:t>Safety Validation &amp; Approvals</w:t>
            </w:r>
          </w:p>
        </w:tc>
        <w:tc>
          <w:tcPr>
            <w:tcW w:w="2220" w:type="dxa"/>
          </w:tcPr>
          <w:p w14:paraId="2A1C1C77" w14:textId="66080867" w:rsidR="00E63063" w:rsidRDefault="00F434C5" w:rsidP="00C94F9F">
            <w:r>
              <w:t>3</w:t>
            </w:r>
          </w:p>
        </w:tc>
        <w:tc>
          <w:tcPr>
            <w:tcW w:w="2220" w:type="dxa"/>
          </w:tcPr>
          <w:p w14:paraId="292D4DD0" w14:textId="289D5FD1" w:rsidR="00E63063" w:rsidRDefault="00F434C5" w:rsidP="00C94F9F">
            <w:r>
              <w:t>1,500</w:t>
            </w:r>
          </w:p>
        </w:tc>
      </w:tr>
      <w:tr w:rsidR="00E63063" w14:paraId="3DBAFFA0" w14:textId="77777777" w:rsidTr="00E63063">
        <w:tc>
          <w:tcPr>
            <w:tcW w:w="2357" w:type="dxa"/>
          </w:tcPr>
          <w:p w14:paraId="3B28D3C4" w14:textId="2758F43C" w:rsidR="00E63063" w:rsidRDefault="00E63063" w:rsidP="00C94F9F">
            <w:r>
              <w:t>A</w:t>
            </w:r>
          </w:p>
        </w:tc>
        <w:tc>
          <w:tcPr>
            <w:tcW w:w="2219" w:type="dxa"/>
          </w:tcPr>
          <w:p w14:paraId="2850CD76" w14:textId="678C2FFE" w:rsidR="00E63063" w:rsidRDefault="00BB7BBB" w:rsidP="00C94F9F">
            <w:r>
              <w:t xml:space="preserve">Initiation &amp; Stakeholder Engagement </w:t>
            </w:r>
          </w:p>
        </w:tc>
        <w:tc>
          <w:tcPr>
            <w:tcW w:w="2220" w:type="dxa"/>
          </w:tcPr>
          <w:p w14:paraId="49DF45EB" w14:textId="5D3756F2" w:rsidR="00E63063" w:rsidRDefault="00F434C5" w:rsidP="00C94F9F">
            <w:r>
              <w:t>4</w:t>
            </w:r>
          </w:p>
        </w:tc>
        <w:tc>
          <w:tcPr>
            <w:tcW w:w="2220" w:type="dxa"/>
          </w:tcPr>
          <w:p w14:paraId="3EE6F7BE" w14:textId="716BEF6A" w:rsidR="00E63063" w:rsidRDefault="00F434C5" w:rsidP="00C94F9F">
            <w:r>
              <w:t>2,000</w:t>
            </w:r>
          </w:p>
        </w:tc>
      </w:tr>
      <w:tr w:rsidR="00E63063" w14:paraId="3F5EB304" w14:textId="77777777" w:rsidTr="00E63063">
        <w:tc>
          <w:tcPr>
            <w:tcW w:w="2357" w:type="dxa"/>
          </w:tcPr>
          <w:p w14:paraId="49ED8187" w14:textId="1A9E67DC" w:rsidR="00E63063" w:rsidRDefault="00E63063" w:rsidP="00C94F9F">
            <w:r>
              <w:t>N</w:t>
            </w:r>
          </w:p>
        </w:tc>
        <w:tc>
          <w:tcPr>
            <w:tcW w:w="2219" w:type="dxa"/>
          </w:tcPr>
          <w:p w14:paraId="378F012B" w14:textId="245083AA" w:rsidR="00E63063" w:rsidRDefault="00BB7BBB" w:rsidP="00C94F9F">
            <w:r>
              <w:t>Testing &amp; Commissioning</w:t>
            </w:r>
          </w:p>
        </w:tc>
        <w:tc>
          <w:tcPr>
            <w:tcW w:w="2220" w:type="dxa"/>
          </w:tcPr>
          <w:p w14:paraId="27A6B24F" w14:textId="2F0F6199" w:rsidR="00E63063" w:rsidRDefault="00F434C5" w:rsidP="00C94F9F">
            <w:r>
              <w:t>5</w:t>
            </w:r>
          </w:p>
        </w:tc>
        <w:tc>
          <w:tcPr>
            <w:tcW w:w="2220" w:type="dxa"/>
          </w:tcPr>
          <w:p w14:paraId="042CA265" w14:textId="5F894174" w:rsidR="00E63063" w:rsidRDefault="00F434C5" w:rsidP="00C94F9F">
            <w:r>
              <w:t>1,500</w:t>
            </w:r>
          </w:p>
        </w:tc>
      </w:tr>
      <w:tr w:rsidR="00E63063" w14:paraId="144366D4" w14:textId="77777777" w:rsidTr="00E63063">
        <w:tc>
          <w:tcPr>
            <w:tcW w:w="2357" w:type="dxa"/>
          </w:tcPr>
          <w:p w14:paraId="2F066E61" w14:textId="756D4B13" w:rsidR="00E63063" w:rsidRDefault="00E63063" w:rsidP="00C94F9F">
            <w:r>
              <w:t>Total</w:t>
            </w:r>
          </w:p>
        </w:tc>
        <w:tc>
          <w:tcPr>
            <w:tcW w:w="2219" w:type="dxa"/>
          </w:tcPr>
          <w:p w14:paraId="24C5557C" w14:textId="77777777" w:rsidR="00E63063" w:rsidRDefault="00E63063" w:rsidP="00C94F9F"/>
        </w:tc>
        <w:tc>
          <w:tcPr>
            <w:tcW w:w="2220" w:type="dxa"/>
          </w:tcPr>
          <w:p w14:paraId="66C85ABF" w14:textId="77777777" w:rsidR="00E63063" w:rsidRDefault="00E63063" w:rsidP="00C94F9F"/>
        </w:tc>
        <w:tc>
          <w:tcPr>
            <w:tcW w:w="2220" w:type="dxa"/>
          </w:tcPr>
          <w:p w14:paraId="416D2C25" w14:textId="203164F2" w:rsidR="00E63063" w:rsidRDefault="00BB7BBB" w:rsidP="00C94F9F">
            <w:r>
              <w:t>12,000</w:t>
            </w:r>
          </w:p>
        </w:tc>
      </w:tr>
    </w:tbl>
    <w:p w14:paraId="447313FC" w14:textId="77777777" w:rsidR="00C94F9F" w:rsidRDefault="00C94F9F" w:rsidP="00C94F9F"/>
    <w:p w14:paraId="57EB550A" w14:textId="5C661933" w:rsidR="00C94F9F" w:rsidRDefault="00C94F9F" w:rsidP="00C94F9F">
      <w:r>
        <w:t xml:space="preserve">This selection is consistent with the general acceleration logic of adding/relocating resources to shorten execution </w:t>
      </w:r>
      <w:r w:rsidR="00F434C5">
        <w:t>(</w:t>
      </w:r>
      <w:r>
        <w:t>Tomczak &amp; Piotr, 2020</w:t>
      </w:r>
      <w:r w:rsidR="00F434C5">
        <w:t>)</w:t>
      </w:r>
      <w:r>
        <w:t>, while recogni</w:t>
      </w:r>
      <w:r w:rsidR="00F434C5">
        <w:t>s</w:t>
      </w:r>
      <w:r>
        <w:t xml:space="preserve">ing that late-stage integration and assurance steps (testing/commissioning; validation/approvals) are schedule-sensitive and must remain robust under uncertainty </w:t>
      </w:r>
      <w:r w:rsidR="00F434C5">
        <w:t>(</w:t>
      </w:r>
      <w:r>
        <w:t>Shen et al., 2010), (Laslo &amp; Gurevich, 2011</w:t>
      </w:r>
      <w:r w:rsidR="00F434C5">
        <w:t>).</w:t>
      </w:r>
    </w:p>
    <w:p w14:paraId="7A2A46C2" w14:textId="77777777" w:rsidR="00C94F9F" w:rsidRDefault="00C94F9F" w:rsidP="00C94F9F"/>
    <w:p w14:paraId="42E9706B" w14:textId="77777777" w:rsidR="00C94F9F" w:rsidRPr="00C94F9F" w:rsidRDefault="00C94F9F" w:rsidP="00C94F9F">
      <w:pPr>
        <w:rPr>
          <w:b/>
          <w:bCs/>
        </w:rPr>
      </w:pPr>
      <w:r w:rsidRPr="00C94F9F">
        <w:rPr>
          <w:b/>
          <w:bCs/>
        </w:rPr>
        <w:t>8.3 Safety and Governance Implications of Crashing</w:t>
      </w:r>
    </w:p>
    <w:p w14:paraId="108AA119" w14:textId="43AAC6AE" w:rsidR="00C94F9F" w:rsidRDefault="00C94F9F" w:rsidP="00C94F9F">
      <w:r>
        <w:t xml:space="preserve">Because rail safety outcomes depend on management and personnel factors in addition to equipment and technical completion, crashing must not reduce the integrity of assurance and commissioning controls </w:t>
      </w:r>
      <w:r w:rsidR="00F434C5">
        <w:t>(</w:t>
      </w:r>
      <w:r>
        <w:t>Sun et al., 2018</w:t>
      </w:r>
      <w:r w:rsidR="00F434C5">
        <w:t>)</w:t>
      </w:r>
      <w:r>
        <w:t xml:space="preserve">. Furthermore, the high costs associated with broad, reactive safety measures highlight the value of proportionate, evidence-based safety governance rather than sacrificing assurance quality for speed </w:t>
      </w:r>
      <w:r w:rsidR="00F434C5">
        <w:t>(</w:t>
      </w:r>
      <w:r>
        <w:t xml:space="preserve">Thomas &amp; </w:t>
      </w:r>
      <w:proofErr w:type="spellStart"/>
      <w:r>
        <w:t>Stupples</w:t>
      </w:r>
      <w:proofErr w:type="spellEnd"/>
      <w:r>
        <w:t>, 2006). Therefore, crashing actions that touch commissioning and approvals are constrained by readiness criteria, staged evidence capture, and communication reliability expectations aligned with mission-critical service principles (availability, reliability, QoS) in critical infrastructure contexts (</w:t>
      </w:r>
      <w:proofErr w:type="spellStart"/>
      <w:r>
        <w:t>Răstoceanu</w:t>
      </w:r>
      <w:proofErr w:type="spellEnd"/>
      <w:r>
        <w:t xml:space="preserve"> et al., 2025).</w:t>
      </w:r>
    </w:p>
    <w:p w14:paraId="315308F6" w14:textId="77777777" w:rsidR="00C94F9F" w:rsidRDefault="00C94F9F" w:rsidP="00C94F9F"/>
    <w:p w14:paraId="598B86C7" w14:textId="77777777" w:rsidR="00C94F9F" w:rsidRPr="00C94F9F" w:rsidRDefault="00C94F9F" w:rsidP="00C94F9F">
      <w:pPr>
        <w:rPr>
          <w:b/>
          <w:bCs/>
        </w:rPr>
      </w:pPr>
      <w:r w:rsidRPr="00C94F9F">
        <w:rPr>
          <w:b/>
          <w:bCs/>
        </w:rPr>
        <w:t>9. Procurement and Resource Strategy</w:t>
      </w:r>
    </w:p>
    <w:p w14:paraId="58BE7016" w14:textId="257CA401" w:rsidR="00C94F9F" w:rsidRDefault="00C94F9F" w:rsidP="00C94F9F">
      <w:r>
        <w:t xml:space="preserve">Procurement management is a standard project knowledge area and is explicitly linked to schedule risk because supply lead times can become critical-path drivers; this aligns with the documented breadth of PM toolsets across procurement and time management </w:t>
      </w:r>
      <w:r w:rsidR="00994660">
        <w:t>(</w:t>
      </w:r>
      <w:r>
        <w:t>Forero &amp; Rodríguez 2020), (Martin et al., 2021</w:t>
      </w:r>
      <w:r w:rsidR="00994660">
        <w:t>)</w:t>
      </w:r>
      <w:r>
        <w:t xml:space="preserve">. Acceleration approaches that shift or intensify resources to achieve earlier completion are consistent with construction acceleration literature, which notes strong owner preference for short delivery times and the prevalence of delay causes in civil projects </w:t>
      </w:r>
      <w:r w:rsidR="00994660">
        <w:t>(</w:t>
      </w:r>
      <w:r>
        <w:t>Tomczak &amp; Piotr, 2020</w:t>
      </w:r>
      <w:r w:rsidR="00994660">
        <w:t>)</w:t>
      </w:r>
      <w:r>
        <w:t xml:space="preserve">. Additionally, stakeholder negotiation strategies (consultation and exchange) are </w:t>
      </w:r>
      <w:r>
        <w:lastRenderedPageBreak/>
        <w:t xml:space="preserve">relevant where access, coordination, and shared constraints require negotiated agreements with external parties </w:t>
      </w:r>
      <w:r w:rsidR="00FD5923">
        <w:t>(</w:t>
      </w:r>
      <w:r>
        <w:t xml:space="preserve">Ninan et al., 2019), and transparent engagement supports acceptance and reduces friction in rail-adjacent operational contexts </w:t>
      </w:r>
      <w:r w:rsidR="00FD5923">
        <w:t>(</w:t>
      </w:r>
      <w:r>
        <w:t xml:space="preserve">Tian, </w:t>
      </w:r>
      <w:r w:rsidR="000D33CE">
        <w:t>2022</w:t>
      </w:r>
      <w:r w:rsidR="00FD5923">
        <w:t>)</w:t>
      </w:r>
      <w:r w:rsidR="000D33CE">
        <w:t>.</w:t>
      </w:r>
    </w:p>
    <w:p w14:paraId="1CDED622" w14:textId="77777777" w:rsidR="00C94F9F" w:rsidRDefault="00C94F9F" w:rsidP="00C94F9F"/>
    <w:p w14:paraId="2BC99D89" w14:textId="77777777" w:rsidR="00C94F9F" w:rsidRPr="00C94F9F" w:rsidRDefault="00C94F9F" w:rsidP="00C94F9F">
      <w:pPr>
        <w:rPr>
          <w:b/>
          <w:bCs/>
        </w:rPr>
      </w:pPr>
      <w:r w:rsidRPr="00C94F9F">
        <w:rPr>
          <w:b/>
          <w:bCs/>
        </w:rPr>
        <w:t>10. Testing, Commissioning, Assurance, and Quality/Safety Controls</w:t>
      </w:r>
    </w:p>
    <w:p w14:paraId="45561192" w14:textId="01128D46" w:rsidR="00C94F9F" w:rsidRDefault="00C94F9F" w:rsidP="00C94F9F">
      <w:r>
        <w:t>Testing and commissioning are treated as high-criticality activities because operational effectiveness in critical infrastructure is tightly coupled to communication reliability and coordination capabilities (</w:t>
      </w:r>
      <w:proofErr w:type="spellStart"/>
      <w:r>
        <w:t>Răstoceanu</w:t>
      </w:r>
      <w:proofErr w:type="spellEnd"/>
      <w:r>
        <w:t xml:space="preserve"> et al., 2025). Safety performance measurement research emphasi</w:t>
      </w:r>
      <w:r w:rsidR="00FD5923">
        <w:t>s</w:t>
      </w:r>
      <w:r>
        <w:t xml:space="preserve">es that focusing on single indicators is insufficient; personnel, equipment, and management factors must be managed together, which supports maintaining strong management controls, assurance documentation, and disciplined commissioning processes </w:t>
      </w:r>
      <w:r w:rsidR="00FD5923">
        <w:t>(</w:t>
      </w:r>
      <w:r>
        <w:t xml:space="preserve">Sun et al., </w:t>
      </w:r>
      <w:r>
        <w:t>2018</w:t>
      </w:r>
      <w:r w:rsidR="00FD5923">
        <w:t>)</w:t>
      </w:r>
      <w:r>
        <w:t>;</w:t>
      </w:r>
      <w:r>
        <w:t xml:space="preserve"> Technical interface risks (e.g., settlement effects near station track areas) are addressed through documented control measures and parameter optimi</w:t>
      </w:r>
      <w:r w:rsidR="008B7371">
        <w:t>s</w:t>
      </w:r>
      <w:r>
        <w:t xml:space="preserve">ation approaches that reduce impacts in station-adjacent construction, reinforcing the integration of engineering mitigations with management assurance (Li et al., </w:t>
      </w:r>
      <w:r>
        <w:t>2024</w:t>
      </w:r>
      <w:r w:rsidR="008B7371">
        <w:t>)</w:t>
      </w:r>
      <w:r>
        <w:t>;</w:t>
      </w:r>
      <w:r>
        <w:t xml:space="preserve"> </w:t>
      </w:r>
      <w:r w:rsidR="008B7371">
        <w:t>(</w:t>
      </w:r>
      <w:r>
        <w:t>Sun et al., 2018</w:t>
      </w:r>
      <w:r w:rsidR="008B7371">
        <w:t>)</w:t>
      </w:r>
      <w:r>
        <w:t>.</w:t>
      </w:r>
    </w:p>
    <w:p w14:paraId="11ECF212" w14:textId="77777777" w:rsidR="00C94F9F" w:rsidRPr="00C94F9F" w:rsidRDefault="00C94F9F" w:rsidP="00C94F9F">
      <w:pPr>
        <w:rPr>
          <w:b/>
          <w:bCs/>
        </w:rPr>
      </w:pPr>
      <w:r w:rsidRPr="00C94F9F">
        <w:rPr>
          <w:b/>
          <w:bCs/>
        </w:rPr>
        <w:t>11. Handover, Closeout, and Post-Implementation Support</w:t>
      </w:r>
    </w:p>
    <w:p w14:paraId="4A0F62D2" w14:textId="77777777" w:rsidR="00C94F9F" w:rsidRPr="00C94F9F" w:rsidRDefault="00C94F9F" w:rsidP="00C94F9F">
      <w:pPr>
        <w:rPr>
          <w:b/>
          <w:bCs/>
        </w:rPr>
      </w:pPr>
      <w:r w:rsidRPr="00C94F9F">
        <w:rPr>
          <w:b/>
          <w:bCs/>
        </w:rPr>
        <w:t>11.1 Closeout as a Formal Project Phase</w:t>
      </w:r>
    </w:p>
    <w:p w14:paraId="4B4EFAAA" w14:textId="44B3F095" w:rsidR="00C94F9F" w:rsidRDefault="00C94F9F" w:rsidP="00C94F9F">
      <w:r>
        <w:t xml:space="preserve">Project termination/closeout is explicitly planned as a structured phase involving delivery of outputs and performance reporting, consistent with life-cycle descriptions of termination activities </w:t>
      </w:r>
      <w:r w:rsidR="008B7371">
        <w:t>(</w:t>
      </w:r>
      <w:r>
        <w:t xml:space="preserve">Forero &amp; Rodríguez 2020). Empirical evidence that systematic tool use supports success reinforces treating handover as a managed workstream rather than an administrative afterthought </w:t>
      </w:r>
      <w:r w:rsidR="007E6EEA">
        <w:t>(</w:t>
      </w:r>
      <w:proofErr w:type="spellStart"/>
      <w:r>
        <w:t>Patanakul</w:t>
      </w:r>
      <w:proofErr w:type="spellEnd"/>
      <w:r>
        <w:t xml:space="preserve"> et al., 2010), </w:t>
      </w:r>
      <w:r w:rsidR="00BD7FA7">
        <w:t>(</w:t>
      </w:r>
      <w:r>
        <w:t>Forero &amp; Rodríguez 2020).</w:t>
      </w:r>
    </w:p>
    <w:p w14:paraId="2FF32692" w14:textId="77777777" w:rsidR="00C94F9F" w:rsidRDefault="00C94F9F" w:rsidP="00C94F9F"/>
    <w:p w14:paraId="1E1B8E93" w14:textId="77777777" w:rsidR="00C94F9F" w:rsidRPr="00C94F9F" w:rsidRDefault="00C94F9F" w:rsidP="00C94F9F">
      <w:pPr>
        <w:rPr>
          <w:b/>
          <w:bCs/>
        </w:rPr>
      </w:pPr>
      <w:r w:rsidRPr="00C94F9F">
        <w:rPr>
          <w:b/>
          <w:bCs/>
        </w:rPr>
        <w:t>11.2 Information, Interoperability, and Asset Data</w:t>
      </w:r>
    </w:p>
    <w:p w14:paraId="22396795" w14:textId="2C30F517" w:rsidR="00C94F9F" w:rsidRDefault="00C94F9F" w:rsidP="00C94F9F">
      <w:r>
        <w:t>European railway digital interoperability initiatives emphasi</w:t>
      </w:r>
      <w:r w:rsidR="00BD7FA7">
        <w:t>s</w:t>
      </w:r>
      <w:r>
        <w:t xml:space="preserve">e data-centric design and semantic/linked-data approaches to achieve interoperable data exchange across the railway domain, and these directions support rigorous handover information structuring rather than ad hoc documentation dumps </w:t>
      </w:r>
      <w:r w:rsidR="00BD7FA7">
        <w:t>(</w:t>
      </w:r>
      <w:r>
        <w:t>Rojas et al., 2021</w:t>
      </w:r>
      <w:r w:rsidR="00BD7FA7">
        <w:t>)</w:t>
      </w:r>
      <w:r>
        <w:t xml:space="preserve">. Maintenance literature on condition-based maintenance highlights the operational importance of inspection/maintenance strategies and the data that supports them, implying handover must provide maintainable, usable asset information for future inspection, replacement, and prognosis activities </w:t>
      </w:r>
      <w:r w:rsidR="00BD7FA7">
        <w:t>(</w:t>
      </w:r>
      <w:r>
        <w:t>Quatrini et al., 2020). Where project data is migrated into enterprise project/asset systems, best practice emphasi</w:t>
      </w:r>
      <w:r w:rsidR="00BD7FA7">
        <w:t>s</w:t>
      </w:r>
      <w:r>
        <w:t xml:space="preserve">es cleansing, mapping, validation, and testing to ensure accuracy and integrity—controls directly </w:t>
      </w:r>
      <w:r>
        <w:lastRenderedPageBreak/>
        <w:t xml:space="preserve">applicable to asset data uploads and handover packs </w:t>
      </w:r>
      <w:r w:rsidR="00FA6183">
        <w:t>(</w:t>
      </w:r>
      <w:r>
        <w:t>"DATA MIGRATION STRATEGIES FOR SAP PS: BEST PRACTICES AND CASE STUDIES", 2024</w:t>
      </w:r>
      <w:r w:rsidR="00FA6183">
        <w:t>)</w:t>
      </w:r>
      <w:r>
        <w:t>.</w:t>
      </w:r>
    </w:p>
    <w:p w14:paraId="0F47923A" w14:textId="77777777" w:rsidR="00C94F9F" w:rsidRDefault="00C94F9F" w:rsidP="00C94F9F"/>
    <w:p w14:paraId="47C17F68" w14:textId="7C713627" w:rsidR="00C94F9F" w:rsidRPr="00C94F9F" w:rsidRDefault="00C94F9F" w:rsidP="00C94F9F">
      <w:pPr>
        <w:rPr>
          <w:b/>
          <w:bCs/>
        </w:rPr>
      </w:pPr>
      <w:r w:rsidRPr="00C94F9F">
        <w:rPr>
          <w:b/>
          <w:bCs/>
        </w:rPr>
        <w:t>11.3 Hypercare and Operational Stabili</w:t>
      </w:r>
      <w:r w:rsidR="00FA6183">
        <w:rPr>
          <w:b/>
          <w:bCs/>
        </w:rPr>
        <w:t>s</w:t>
      </w:r>
      <w:r w:rsidRPr="00C94F9F">
        <w:rPr>
          <w:b/>
          <w:bCs/>
        </w:rPr>
        <w:t>ation</w:t>
      </w:r>
    </w:p>
    <w:p w14:paraId="6541856E" w14:textId="094FDE34" w:rsidR="00C94F9F" w:rsidRDefault="00C94F9F" w:rsidP="00C94F9F">
      <w:r>
        <w:t>A structured post-handover stabili</w:t>
      </w:r>
      <w:r w:rsidR="00FA6183">
        <w:t>s</w:t>
      </w:r>
      <w:r>
        <w:t>ation period is justified as a management control that protects operational performance in safety-critical environments where communications and coordination reliability are fundamental (</w:t>
      </w:r>
      <w:proofErr w:type="spellStart"/>
      <w:r>
        <w:t>Răstoceanu</w:t>
      </w:r>
      <w:proofErr w:type="spellEnd"/>
      <w:r>
        <w:t xml:space="preserve"> et al., 2025). Because rail safety is multi-factor and management-dependent, early-life support and feedback capture serve as risk controls and learning mechanisms </w:t>
      </w:r>
      <w:r w:rsidR="00FA6183">
        <w:t>(</w:t>
      </w:r>
      <w:r>
        <w:t>Sun et al., 2018</w:t>
      </w:r>
      <w:r w:rsidR="00FA6183">
        <w:t>)</w:t>
      </w:r>
      <w:r>
        <w:t xml:space="preserve">, while formal closeout reporting aligns with termination-phase expectations </w:t>
      </w:r>
      <w:r w:rsidR="00FA6183">
        <w:t>(</w:t>
      </w:r>
      <w:r>
        <w:t>Forero &amp; Rodríguez 2020).</w:t>
      </w:r>
    </w:p>
    <w:p w14:paraId="1DA8C633" w14:textId="77777777" w:rsidR="00C94F9F" w:rsidRDefault="00C94F9F" w:rsidP="00C94F9F"/>
    <w:p w14:paraId="1FA7FB2D" w14:textId="77777777" w:rsidR="00FA6183" w:rsidRDefault="00FA6183" w:rsidP="00C94F9F"/>
    <w:p w14:paraId="6EC841F4" w14:textId="77777777" w:rsidR="00C94F9F" w:rsidRPr="00C94F9F" w:rsidRDefault="00C94F9F" w:rsidP="00C94F9F">
      <w:pPr>
        <w:rPr>
          <w:b/>
          <w:bCs/>
        </w:rPr>
      </w:pPr>
      <w:r w:rsidRPr="00C94F9F">
        <w:rPr>
          <w:b/>
          <w:bCs/>
        </w:rPr>
        <w:t>12. Consolidated Conclusions (Evidence-Supported)</w:t>
      </w:r>
    </w:p>
    <w:p w14:paraId="13972D06" w14:textId="0907C5CE" w:rsidR="00C94F9F" w:rsidRDefault="00C94F9F" w:rsidP="00C94F9F">
      <w:r>
        <w:t xml:space="preserve">A </w:t>
      </w:r>
      <w:r w:rsidR="007E6EEA">
        <w:t>life cycle</w:t>
      </w:r>
      <w:r>
        <w:t xml:space="preserve">, knowledge-area-based framework (integration, scope, time, cost, risk, procurement, communications, stakeholder management) is consistent with established PM practice and </w:t>
      </w:r>
      <w:proofErr w:type="gramStart"/>
      <w:r>
        <w:t>research, and</w:t>
      </w:r>
      <w:proofErr w:type="gramEnd"/>
      <w:r>
        <w:t xml:space="preserve"> is appropriate for complex rail infrastructure delivery (Martin et al., 2021</w:t>
      </w:r>
      <w:r w:rsidR="00FA6183">
        <w:t>)</w:t>
      </w:r>
      <w:r>
        <w:t xml:space="preserve">, </w:t>
      </w:r>
      <w:r w:rsidR="00FA6183">
        <w:t>(</w:t>
      </w:r>
      <w:r>
        <w:t xml:space="preserve">Forero &amp; Rodríguez 2020), </w:t>
      </w:r>
      <w:r w:rsidR="00FA6183">
        <w:t>(</w:t>
      </w:r>
      <w:proofErr w:type="spellStart"/>
      <w:r>
        <w:t>Patanakul</w:t>
      </w:r>
      <w:proofErr w:type="spellEnd"/>
      <w:r>
        <w:t xml:space="preserve"> et al., 2010).</w:t>
      </w:r>
    </w:p>
    <w:p w14:paraId="29A6EA91" w14:textId="16F39115" w:rsidR="00C94F9F" w:rsidRDefault="00C94F9F" w:rsidP="00C94F9F">
      <w:r>
        <w:t xml:space="preserve">CPM/Gantt-based scheduling and structured schedule control (milestones, variance analysis) are validated as common and effective PM time-management techniques and are suitable for identifying and protecting the controlling sequence of rail activities </w:t>
      </w:r>
      <w:r w:rsidR="00FA6183">
        <w:t>(</w:t>
      </w:r>
      <w:r>
        <w:t xml:space="preserve">Forero &amp; Rodríguez 2020), </w:t>
      </w:r>
      <w:r w:rsidR="00FA6183">
        <w:t>(</w:t>
      </w:r>
      <w:proofErr w:type="spellStart"/>
      <w:r>
        <w:t>Patanakul</w:t>
      </w:r>
      <w:proofErr w:type="spellEnd"/>
      <w:r>
        <w:t xml:space="preserve"> et al., 2010).</w:t>
      </w:r>
    </w:p>
    <w:p w14:paraId="038176AD" w14:textId="58640259" w:rsidR="00C94F9F" w:rsidRDefault="00C94F9F" w:rsidP="00C94F9F">
      <w:r>
        <w:t>Uncertainty-aware perspectives (stochastic/robust scheduling and critical-path protection) are necessary because deterministic crashing and CPM can understate uncertainty and because constrained resource allocation requires proactive scheduling (Laslo &amp; Gurevich, 2011</w:t>
      </w:r>
      <w:r w:rsidR="00FA6183">
        <w:t>)</w:t>
      </w:r>
      <w:r>
        <w:t xml:space="preserve">, </w:t>
      </w:r>
      <w:r w:rsidR="00FA6183">
        <w:t>(</w:t>
      </w:r>
      <w:r>
        <w:t>Shen et al., 2010).</w:t>
      </w:r>
    </w:p>
    <w:p w14:paraId="18B26E97" w14:textId="259EADEE" w:rsidR="00C94F9F" w:rsidRDefault="00C94F9F" w:rsidP="00C94F9F">
      <w:r>
        <w:t>The provided crash plan is consistent with recogni</w:t>
      </w:r>
      <w:r w:rsidR="00FA6183">
        <w:t>s</w:t>
      </w:r>
      <w:r>
        <w:t xml:space="preserve">ed time–cost trade-off/crashing methods and construction acceleration logic, while requiring explicit safety and assurance protections due to rail’s multi-factor safety dependencies and high consequence of poor safety governance </w:t>
      </w:r>
      <w:r w:rsidR="00FA6183">
        <w:t>(</w:t>
      </w:r>
      <w:r>
        <w:t xml:space="preserve">Forero &amp; Rodríguez 2020), </w:t>
      </w:r>
      <w:r w:rsidR="00FA6183">
        <w:t>(</w:t>
      </w:r>
      <w:r>
        <w:t>Tomczak &amp; Piotr, 2020</w:t>
      </w:r>
      <w:r w:rsidR="00FA6183">
        <w:t>)</w:t>
      </w:r>
      <w:r>
        <w:t xml:space="preserve">, </w:t>
      </w:r>
      <w:r w:rsidR="00FA6183">
        <w:t>(</w:t>
      </w:r>
      <w:r>
        <w:t>Sun et al., 2018</w:t>
      </w:r>
      <w:r w:rsidR="00FA6183">
        <w:t>)</w:t>
      </w:r>
      <w:r>
        <w:t xml:space="preserve">, </w:t>
      </w:r>
      <w:r w:rsidR="00FA6183">
        <w:t>(</w:t>
      </w:r>
      <w:r>
        <w:t xml:space="preserve">Thomas &amp; </w:t>
      </w:r>
      <w:proofErr w:type="spellStart"/>
      <w:r>
        <w:t>Stupples</w:t>
      </w:r>
      <w:proofErr w:type="spellEnd"/>
      <w:r>
        <w:t>, 2006).</w:t>
      </w:r>
    </w:p>
    <w:p w14:paraId="104962FC" w14:textId="13FBE856" w:rsidR="00C94F9F" w:rsidRDefault="00C94F9F" w:rsidP="00C94F9F">
      <w:r>
        <w:t>Communication and stakeholder engagement are treated as core controls because evidence links communication and management discipline to cost/schedule success, and rail stakeholder acceptance improves with transparent, context-sensitive engagement (Xu et al., 2023</w:t>
      </w:r>
      <w:r w:rsidR="00FA6183">
        <w:t>)</w:t>
      </w:r>
      <w:r>
        <w:t xml:space="preserve">, </w:t>
      </w:r>
      <w:r w:rsidR="00FA6183">
        <w:t>(</w:t>
      </w:r>
      <w:r>
        <w:t>Tian, 2022</w:t>
      </w:r>
      <w:r w:rsidR="00FA6183">
        <w:t>)</w:t>
      </w:r>
      <w:r>
        <w:t xml:space="preserve">, </w:t>
      </w:r>
      <w:r w:rsidR="00FA6183">
        <w:t>(</w:t>
      </w:r>
      <w:r>
        <w:t>Ninan et al., 2019).</w:t>
      </w:r>
    </w:p>
    <w:p w14:paraId="15641B01" w14:textId="7AB8EDF7" w:rsidR="0060667F" w:rsidRDefault="00C94F9F" w:rsidP="00C94F9F">
      <w:r>
        <w:lastRenderedPageBreak/>
        <w:t xml:space="preserve">Handover is managed as a formal termination phase with strong documentation, interoperability-aware asset data, and validated migration practices to support long-term maintainability and operational performance </w:t>
      </w:r>
      <w:r w:rsidR="00FA6183">
        <w:t>(</w:t>
      </w:r>
      <w:r>
        <w:t xml:space="preserve">Forero &amp; Rodríguez 2020), </w:t>
      </w:r>
      <w:r w:rsidR="00FA6183">
        <w:t>(</w:t>
      </w:r>
      <w:r>
        <w:t>Rojas et al., 2021</w:t>
      </w:r>
      <w:r w:rsidR="00FA6183">
        <w:t>)</w:t>
      </w:r>
      <w:r>
        <w:t xml:space="preserve">, </w:t>
      </w:r>
      <w:r w:rsidR="00FA6183">
        <w:t>(</w:t>
      </w:r>
      <w:r>
        <w:t>Quatrini et al., 2020).</w:t>
      </w:r>
    </w:p>
    <w:p w14:paraId="7888EC92" w14:textId="77777777" w:rsidR="00FA6183" w:rsidRDefault="00FA6183" w:rsidP="00C94F9F"/>
    <w:p w14:paraId="712A4DC0" w14:textId="77777777" w:rsidR="00FA6183" w:rsidRDefault="00FA6183" w:rsidP="00C94F9F"/>
    <w:p w14:paraId="30D73490" w14:textId="77777777" w:rsidR="00FA6183" w:rsidRDefault="00FA6183" w:rsidP="00C94F9F"/>
    <w:p w14:paraId="192D74E1" w14:textId="77777777" w:rsidR="00FA6183" w:rsidRDefault="00FA6183" w:rsidP="00C94F9F"/>
    <w:p w14:paraId="3D47CCBD" w14:textId="77777777" w:rsidR="00FA6183" w:rsidRDefault="00FA6183" w:rsidP="00C94F9F"/>
    <w:p w14:paraId="6AB48FDB" w14:textId="77777777" w:rsidR="00FA6183" w:rsidRDefault="00FA6183" w:rsidP="00C94F9F"/>
    <w:p w14:paraId="0CFB8C39" w14:textId="77777777" w:rsidR="00FA6183" w:rsidRDefault="00FA6183" w:rsidP="00C94F9F"/>
    <w:p w14:paraId="770435EA" w14:textId="77777777" w:rsidR="00FA6183" w:rsidRDefault="00FA6183" w:rsidP="00C94F9F"/>
    <w:p w14:paraId="655D47A1" w14:textId="77777777" w:rsidR="00E76DAD" w:rsidRPr="00E76DAD" w:rsidRDefault="00E76DAD" w:rsidP="00E76DAD">
      <w:pPr>
        <w:spacing w:after="240" w:line="360" w:lineRule="auto"/>
        <w:outlineLvl w:val="0"/>
        <w:rPr>
          <w:rFonts w:eastAsia="Times New Roman" w:cs="Times New Roman"/>
          <w:b/>
          <w:bCs/>
          <w:kern w:val="36"/>
          <w:lang w:eastAsia="en-GB"/>
          <w14:ligatures w14:val="none"/>
        </w:rPr>
      </w:pPr>
      <w:r w:rsidRPr="00E76DAD">
        <w:rPr>
          <w:rFonts w:eastAsia="Times New Roman" w:cs="Times New Roman"/>
          <w:b/>
          <w:bCs/>
          <w:kern w:val="36"/>
          <w:lang w:eastAsia="en-GB"/>
          <w14:ligatures w14:val="none"/>
        </w:rPr>
        <w:t>Reference list</w:t>
      </w:r>
    </w:p>
    <w:p w14:paraId="4691C973"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Asadi, P., Zeidi, J.R., </w:t>
      </w:r>
      <w:proofErr w:type="spellStart"/>
      <w:r w:rsidRPr="00E76DAD">
        <w:rPr>
          <w:rFonts w:eastAsia="Times New Roman" w:cs="Times New Roman"/>
          <w:kern w:val="0"/>
          <w:lang w:eastAsia="en-GB"/>
          <w14:ligatures w14:val="none"/>
        </w:rPr>
        <w:t>Mojibi</w:t>
      </w:r>
      <w:proofErr w:type="spellEnd"/>
      <w:r w:rsidRPr="00E76DAD">
        <w:rPr>
          <w:rFonts w:eastAsia="Times New Roman" w:cs="Times New Roman"/>
          <w:kern w:val="0"/>
          <w:lang w:eastAsia="en-GB"/>
          <w14:ligatures w14:val="none"/>
        </w:rPr>
        <w:t>, T., Yazdani-</w:t>
      </w:r>
      <w:proofErr w:type="spellStart"/>
      <w:r w:rsidRPr="00E76DAD">
        <w:rPr>
          <w:rFonts w:eastAsia="Times New Roman" w:cs="Times New Roman"/>
          <w:kern w:val="0"/>
          <w:lang w:eastAsia="en-GB"/>
          <w14:ligatures w14:val="none"/>
        </w:rPr>
        <w:t>Chamzini</w:t>
      </w:r>
      <w:proofErr w:type="spellEnd"/>
      <w:r w:rsidRPr="00E76DAD">
        <w:rPr>
          <w:rFonts w:eastAsia="Times New Roman" w:cs="Times New Roman"/>
          <w:kern w:val="0"/>
          <w:lang w:eastAsia="en-GB"/>
          <w14:ligatures w14:val="none"/>
        </w:rPr>
        <w:t xml:space="preserve">, A. and </w:t>
      </w:r>
      <w:proofErr w:type="spellStart"/>
      <w:r w:rsidRPr="00E76DAD">
        <w:rPr>
          <w:rFonts w:eastAsia="Times New Roman" w:cs="Times New Roman"/>
          <w:kern w:val="0"/>
          <w:lang w:eastAsia="en-GB"/>
          <w14:ligatures w14:val="none"/>
        </w:rPr>
        <w:t>Tamošaitienė</w:t>
      </w:r>
      <w:proofErr w:type="spellEnd"/>
      <w:r w:rsidRPr="00E76DAD">
        <w:rPr>
          <w:rFonts w:eastAsia="Times New Roman" w:cs="Times New Roman"/>
          <w:kern w:val="0"/>
          <w:lang w:eastAsia="en-GB"/>
          <w14:ligatures w14:val="none"/>
        </w:rPr>
        <w:t xml:space="preserve">, J. (2018). PROJECT RISK EVALUATION BY USING A NEW FUZZY MODEL BASED ON ELENA GUIDELINE. </w:t>
      </w:r>
      <w:r w:rsidRPr="00E76DAD">
        <w:rPr>
          <w:rFonts w:eastAsia="Times New Roman" w:cs="Times New Roman"/>
          <w:i/>
          <w:iCs/>
          <w:kern w:val="0"/>
          <w:lang w:eastAsia="en-GB"/>
          <w14:ligatures w14:val="none"/>
        </w:rPr>
        <w:t>Journal of Civil Engineering and Management</w:t>
      </w:r>
      <w:r w:rsidRPr="00E76DAD">
        <w:rPr>
          <w:rFonts w:eastAsia="Times New Roman" w:cs="Times New Roman"/>
          <w:kern w:val="0"/>
          <w:lang w:eastAsia="en-GB"/>
          <w14:ligatures w14:val="none"/>
        </w:rPr>
        <w:t xml:space="preserve">, 24(4), pp.284–300.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://doi.org/10.3846/jcem.2018.3070</w:t>
      </w:r>
      <w:proofErr w:type="gramEnd"/>
      <w:r w:rsidRPr="00E76DAD">
        <w:rPr>
          <w:rFonts w:eastAsia="Times New Roman" w:cs="Times New Roman"/>
          <w:kern w:val="0"/>
          <w:lang w:eastAsia="en-GB"/>
          <w14:ligatures w14:val="none"/>
        </w:rPr>
        <w:t>.</w:t>
      </w:r>
    </w:p>
    <w:p w14:paraId="61EA1213"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DATA MIGRATION STRATEGIES FOR SAP PS: BEST PRACTICES AND CASE STUDIES. (2024). </w:t>
      </w:r>
      <w:r w:rsidRPr="00E76DAD">
        <w:rPr>
          <w:rFonts w:eastAsia="Times New Roman" w:cs="Times New Roman"/>
          <w:i/>
          <w:iCs/>
          <w:kern w:val="0"/>
          <w:lang w:eastAsia="en-GB"/>
          <w14:ligatures w14:val="none"/>
        </w:rPr>
        <w:t>International Research Journal of Modernization in Engineering Technology and Science</w:t>
      </w:r>
      <w:r w:rsidRPr="00E76DAD">
        <w:rPr>
          <w:rFonts w:eastAsia="Times New Roman" w:cs="Times New Roman"/>
          <w:kern w:val="0"/>
          <w:lang w:eastAsia="en-GB"/>
          <w14:ligatures w14:val="none"/>
        </w:rPr>
        <w:t xml:space="preserve">.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://doi.org/10.56726/irjmets60925</w:t>
      </w:r>
      <w:proofErr w:type="gramEnd"/>
      <w:r w:rsidRPr="00E76DAD">
        <w:rPr>
          <w:rFonts w:eastAsia="Times New Roman" w:cs="Times New Roman"/>
          <w:kern w:val="0"/>
          <w:lang w:eastAsia="en-GB"/>
          <w14:ligatures w14:val="none"/>
        </w:rPr>
        <w:t>.</w:t>
      </w:r>
    </w:p>
    <w:p w14:paraId="6BC43FD0"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Florin Rastoceanu, Constantin Grozea, Mihai Enache, Raluca </w:t>
      </w:r>
      <w:proofErr w:type="spellStart"/>
      <w:r w:rsidRPr="00E76DAD">
        <w:rPr>
          <w:rFonts w:eastAsia="Times New Roman" w:cs="Times New Roman"/>
          <w:kern w:val="0"/>
          <w:lang w:eastAsia="en-GB"/>
          <w14:ligatures w14:val="none"/>
        </w:rPr>
        <w:t>Nelega</w:t>
      </w:r>
      <w:proofErr w:type="spellEnd"/>
      <w:r w:rsidRPr="00E76DAD">
        <w:rPr>
          <w:rFonts w:eastAsia="Times New Roman" w:cs="Times New Roman"/>
          <w:kern w:val="0"/>
          <w:lang w:eastAsia="en-GB"/>
          <w14:ligatures w14:val="none"/>
        </w:rPr>
        <w:t xml:space="preserve">, Kovacs, G. and </w:t>
      </w:r>
      <w:proofErr w:type="spellStart"/>
      <w:r w:rsidRPr="00E76DAD">
        <w:rPr>
          <w:rFonts w:eastAsia="Times New Roman" w:cs="Times New Roman"/>
          <w:kern w:val="0"/>
          <w:lang w:eastAsia="en-GB"/>
          <w14:ligatures w14:val="none"/>
        </w:rPr>
        <w:t>Puschita</w:t>
      </w:r>
      <w:proofErr w:type="spellEnd"/>
      <w:r w:rsidRPr="00E76DAD">
        <w:rPr>
          <w:rFonts w:eastAsia="Times New Roman" w:cs="Times New Roman"/>
          <w:kern w:val="0"/>
          <w:lang w:eastAsia="en-GB"/>
          <w14:ligatures w14:val="none"/>
        </w:rPr>
        <w:t xml:space="preserve">, E. (2025). Mission-Critical Services in 4G/5G and Beyond: Standardization, Key Challenges, and Future Perspectives. </w:t>
      </w:r>
      <w:r w:rsidRPr="00E76DAD">
        <w:rPr>
          <w:rFonts w:eastAsia="Times New Roman" w:cs="Times New Roman"/>
          <w:i/>
          <w:iCs/>
          <w:kern w:val="0"/>
          <w:lang w:eastAsia="en-GB"/>
          <w14:ligatures w14:val="none"/>
        </w:rPr>
        <w:t>Sensors</w:t>
      </w:r>
      <w:r w:rsidRPr="00E76DAD">
        <w:rPr>
          <w:rFonts w:eastAsia="Times New Roman" w:cs="Times New Roman"/>
          <w:kern w:val="0"/>
          <w:lang w:eastAsia="en-GB"/>
          <w14:ligatures w14:val="none"/>
        </w:rPr>
        <w:t xml:space="preserve">, 25(16), pp.5156–5156.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://doi.org/10.3390/s25165156</w:t>
      </w:r>
      <w:proofErr w:type="gramEnd"/>
      <w:r w:rsidRPr="00E76DAD">
        <w:rPr>
          <w:rFonts w:eastAsia="Times New Roman" w:cs="Times New Roman"/>
          <w:kern w:val="0"/>
          <w:lang w:eastAsia="en-GB"/>
          <w14:ligatures w14:val="none"/>
        </w:rPr>
        <w:t>.</w:t>
      </w:r>
    </w:p>
    <w:p w14:paraId="62D0F164"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Forero, M.C.G. and Rodríguez, L.J.G. (2020). Relief operations as a multi-project: Colombian case. </w:t>
      </w:r>
      <w:r w:rsidRPr="00E76DAD">
        <w:rPr>
          <w:rFonts w:eastAsia="Times New Roman" w:cs="Times New Roman"/>
          <w:i/>
          <w:iCs/>
          <w:kern w:val="0"/>
          <w:lang w:eastAsia="en-GB"/>
          <w14:ligatures w14:val="none"/>
        </w:rPr>
        <w:t>International Journal of Industrial Engineering Computations</w:t>
      </w:r>
      <w:r w:rsidRPr="00E76DAD">
        <w:rPr>
          <w:rFonts w:eastAsia="Times New Roman" w:cs="Times New Roman"/>
          <w:kern w:val="0"/>
          <w:lang w:eastAsia="en-GB"/>
          <w14:ligatures w14:val="none"/>
        </w:rPr>
        <w:t xml:space="preserve">, pp.153–172.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://doi.org/10.5267/j.ijiec.2019.5.002</w:t>
      </w:r>
      <w:proofErr w:type="gramEnd"/>
      <w:r w:rsidRPr="00E76DAD">
        <w:rPr>
          <w:rFonts w:eastAsia="Times New Roman" w:cs="Times New Roman"/>
          <w:kern w:val="0"/>
          <w:lang w:eastAsia="en-GB"/>
          <w14:ligatures w14:val="none"/>
        </w:rPr>
        <w:t>.</w:t>
      </w:r>
    </w:p>
    <w:p w14:paraId="04C979A6"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lastRenderedPageBreak/>
        <w:t xml:space="preserve">Laslo, Z. and Gurevich, G. (2011). PERT-type projects: time–cost </w:t>
      </w:r>
      <w:proofErr w:type="spellStart"/>
      <w:r w:rsidRPr="00E76DAD">
        <w:rPr>
          <w:rFonts w:eastAsia="Times New Roman" w:cs="Times New Roman"/>
          <w:kern w:val="0"/>
          <w:lang w:eastAsia="en-GB"/>
          <w14:ligatures w14:val="none"/>
        </w:rPr>
        <w:t>tradeoffs</w:t>
      </w:r>
      <w:proofErr w:type="spellEnd"/>
      <w:r w:rsidRPr="00E76DAD">
        <w:rPr>
          <w:rFonts w:eastAsia="Times New Roman" w:cs="Times New Roman"/>
          <w:kern w:val="0"/>
          <w:lang w:eastAsia="en-GB"/>
          <w14:ligatures w14:val="none"/>
        </w:rPr>
        <w:t xml:space="preserve"> under uncertainty. </w:t>
      </w:r>
      <w:r w:rsidRPr="00E76DAD">
        <w:rPr>
          <w:rFonts w:eastAsia="Times New Roman" w:cs="Times New Roman"/>
          <w:i/>
          <w:iCs/>
          <w:kern w:val="0"/>
          <w:lang w:eastAsia="en-GB"/>
          <w14:ligatures w14:val="none"/>
        </w:rPr>
        <w:t>SIMULATION</w:t>
      </w:r>
      <w:r w:rsidRPr="00E76DAD">
        <w:rPr>
          <w:rFonts w:eastAsia="Times New Roman" w:cs="Times New Roman"/>
          <w:kern w:val="0"/>
          <w:lang w:eastAsia="en-GB"/>
          <w14:ligatures w14:val="none"/>
        </w:rPr>
        <w:t xml:space="preserve">, 89(3), pp.278–293.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://doi.org/10.1177/0037549711428341</w:t>
      </w:r>
      <w:proofErr w:type="gramEnd"/>
      <w:r w:rsidRPr="00E76DAD">
        <w:rPr>
          <w:rFonts w:eastAsia="Times New Roman" w:cs="Times New Roman"/>
          <w:kern w:val="0"/>
          <w:lang w:eastAsia="en-GB"/>
          <w14:ligatures w14:val="none"/>
        </w:rPr>
        <w:t>.</w:t>
      </w:r>
    </w:p>
    <w:p w14:paraId="404C937F"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Li, P., Lu, F., Huang, H. and Qiu, W. (2024). Railway track settlement patterns and control measures for multi-tunnel construction underneath a station track group: a case study. </w:t>
      </w:r>
      <w:r w:rsidRPr="00E76DAD">
        <w:rPr>
          <w:rFonts w:eastAsia="Times New Roman" w:cs="Times New Roman"/>
          <w:i/>
          <w:iCs/>
          <w:kern w:val="0"/>
          <w:lang w:eastAsia="en-GB"/>
          <w14:ligatures w14:val="none"/>
        </w:rPr>
        <w:t>Scientific Reports</w:t>
      </w:r>
      <w:r w:rsidRPr="00E76DAD">
        <w:rPr>
          <w:rFonts w:eastAsia="Times New Roman" w:cs="Times New Roman"/>
          <w:kern w:val="0"/>
          <w:lang w:eastAsia="en-GB"/>
          <w14:ligatures w14:val="none"/>
        </w:rPr>
        <w:t xml:space="preserve">, [online] 14(1).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://doi.org/10.1038/s41598-024-64916-6</w:t>
      </w:r>
      <w:proofErr w:type="gramEnd"/>
      <w:r w:rsidRPr="00E76DAD">
        <w:rPr>
          <w:rFonts w:eastAsia="Times New Roman" w:cs="Times New Roman"/>
          <w:kern w:val="0"/>
          <w:lang w:eastAsia="en-GB"/>
          <w14:ligatures w14:val="none"/>
        </w:rPr>
        <w:t>.</w:t>
      </w:r>
    </w:p>
    <w:p w14:paraId="54C33FD5"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Martin, F., Chen, Y., Oyarzun, B. and Lee, M. (2021). Learning and development roles and competency domains in higher education: a content analysis of job announcements. </w:t>
      </w:r>
      <w:r w:rsidRPr="00E76DAD">
        <w:rPr>
          <w:rFonts w:eastAsia="Times New Roman" w:cs="Times New Roman"/>
          <w:i/>
          <w:iCs/>
          <w:kern w:val="0"/>
          <w:lang w:eastAsia="en-GB"/>
          <w14:ligatures w14:val="none"/>
        </w:rPr>
        <w:t>Journal of Computing in Higher Education</w:t>
      </w:r>
      <w:r w:rsidRPr="00E76DAD">
        <w:rPr>
          <w:rFonts w:eastAsia="Times New Roman" w:cs="Times New Roman"/>
          <w:kern w:val="0"/>
          <w:lang w:eastAsia="en-GB"/>
          <w14:ligatures w14:val="none"/>
        </w:rPr>
        <w:t xml:space="preserve">.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://doi.org/10.1007/s12528-021-09290-2</w:t>
      </w:r>
      <w:proofErr w:type="gramEnd"/>
      <w:r w:rsidRPr="00E76DAD">
        <w:rPr>
          <w:rFonts w:eastAsia="Times New Roman" w:cs="Times New Roman"/>
          <w:kern w:val="0"/>
          <w:lang w:eastAsia="en-GB"/>
          <w14:ligatures w14:val="none"/>
        </w:rPr>
        <w:t>.</w:t>
      </w:r>
    </w:p>
    <w:p w14:paraId="6174C045"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Michał, T. and Piotr, J. (2020). Accelerating the Execution of Construction Projects by Relocating Resources. </w:t>
      </w:r>
      <w:r w:rsidRPr="00E76DAD">
        <w:rPr>
          <w:rFonts w:eastAsia="Times New Roman" w:cs="Times New Roman"/>
          <w:i/>
          <w:iCs/>
          <w:kern w:val="0"/>
          <w:lang w:eastAsia="en-GB"/>
          <w14:ligatures w14:val="none"/>
        </w:rPr>
        <w:t>Proceedings of the Creative Construction e-Conference 2020</w:t>
      </w:r>
      <w:r w:rsidRPr="00E76DAD">
        <w:rPr>
          <w:rFonts w:eastAsia="Times New Roman" w:cs="Times New Roman"/>
          <w:kern w:val="0"/>
          <w:lang w:eastAsia="en-GB"/>
          <w14:ligatures w14:val="none"/>
        </w:rPr>
        <w:t xml:space="preserve">, pp.14–19.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://doi.org/10.3311/ccc2020-041</w:t>
      </w:r>
      <w:proofErr w:type="gramEnd"/>
      <w:r w:rsidRPr="00E76DAD">
        <w:rPr>
          <w:rFonts w:eastAsia="Times New Roman" w:cs="Times New Roman"/>
          <w:kern w:val="0"/>
          <w:lang w:eastAsia="en-GB"/>
          <w14:ligatures w14:val="none"/>
        </w:rPr>
        <w:t>.</w:t>
      </w:r>
    </w:p>
    <w:p w14:paraId="5700F480"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Ninan, J., Mahalingam, A. and Clegg, S. (2019). External Stakeholder Management Strategies and Resources in Megaprojects: An Organizational Power Perspective. </w:t>
      </w:r>
      <w:r w:rsidRPr="00E76DAD">
        <w:rPr>
          <w:rFonts w:eastAsia="Times New Roman" w:cs="Times New Roman"/>
          <w:i/>
          <w:iCs/>
          <w:kern w:val="0"/>
          <w:lang w:eastAsia="en-GB"/>
          <w14:ligatures w14:val="none"/>
        </w:rPr>
        <w:t>Project Management Journal</w:t>
      </w:r>
      <w:r w:rsidRPr="00E76DAD">
        <w:rPr>
          <w:rFonts w:eastAsia="Times New Roman" w:cs="Times New Roman"/>
          <w:kern w:val="0"/>
          <w:lang w:eastAsia="en-GB"/>
          <w14:ligatures w14:val="none"/>
        </w:rPr>
        <w:t xml:space="preserve">, [online] 50(6), p.875697281984704.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://doi.org/10.1177/8756972819847045</w:t>
      </w:r>
      <w:proofErr w:type="gramEnd"/>
      <w:r w:rsidRPr="00E76DAD">
        <w:rPr>
          <w:rFonts w:eastAsia="Times New Roman" w:cs="Times New Roman"/>
          <w:kern w:val="0"/>
          <w:lang w:eastAsia="en-GB"/>
          <w14:ligatures w14:val="none"/>
        </w:rPr>
        <w:t>.</w:t>
      </w:r>
    </w:p>
    <w:p w14:paraId="5AB0BFBF" w14:textId="77777777" w:rsidR="00E76DAD" w:rsidRPr="00E76DAD" w:rsidRDefault="00E76DAD" w:rsidP="00E76DAD">
      <w:pPr>
        <w:spacing w:after="240" w:line="360" w:lineRule="auto"/>
        <w:rPr>
          <w:rFonts w:eastAsia="Times New Roman" w:cs="Times New Roman"/>
          <w:kern w:val="0"/>
          <w:lang w:eastAsia="en-GB"/>
          <w14:ligatures w14:val="none"/>
        </w:rPr>
      </w:pPr>
      <w:proofErr w:type="spellStart"/>
      <w:r w:rsidRPr="00E76DAD">
        <w:rPr>
          <w:rFonts w:eastAsia="Times New Roman" w:cs="Times New Roman"/>
          <w:kern w:val="0"/>
          <w:lang w:eastAsia="en-GB"/>
          <w14:ligatures w14:val="none"/>
        </w:rPr>
        <w:t>Patanakul</w:t>
      </w:r>
      <w:proofErr w:type="spellEnd"/>
      <w:r w:rsidRPr="00E76DAD">
        <w:rPr>
          <w:rFonts w:eastAsia="Times New Roman" w:cs="Times New Roman"/>
          <w:kern w:val="0"/>
          <w:lang w:eastAsia="en-GB"/>
          <w14:ligatures w14:val="none"/>
        </w:rPr>
        <w:t xml:space="preserve">, P., </w:t>
      </w:r>
      <w:proofErr w:type="spellStart"/>
      <w:r w:rsidRPr="00E76DAD">
        <w:rPr>
          <w:rFonts w:eastAsia="Times New Roman" w:cs="Times New Roman"/>
          <w:kern w:val="0"/>
          <w:lang w:eastAsia="en-GB"/>
          <w14:ligatures w14:val="none"/>
        </w:rPr>
        <w:t>Iewwongcharoen</w:t>
      </w:r>
      <w:proofErr w:type="spellEnd"/>
      <w:r w:rsidRPr="00E76DAD">
        <w:rPr>
          <w:rFonts w:eastAsia="Times New Roman" w:cs="Times New Roman"/>
          <w:kern w:val="0"/>
          <w:lang w:eastAsia="en-GB"/>
          <w14:ligatures w14:val="none"/>
        </w:rPr>
        <w:t xml:space="preserve">, B. and Milosevic, D. (2010). An Empirical Study on the use of Project Management Tools and Techniques across Project </w:t>
      </w:r>
      <w:proofErr w:type="gramStart"/>
      <w:r w:rsidRPr="00E76DAD">
        <w:rPr>
          <w:rFonts w:eastAsia="Times New Roman" w:cs="Times New Roman"/>
          <w:kern w:val="0"/>
          <w:lang w:eastAsia="en-GB"/>
          <w14:ligatures w14:val="none"/>
        </w:rPr>
        <w:t>Life-Cycle</w:t>
      </w:r>
      <w:proofErr w:type="gramEnd"/>
      <w:r w:rsidRPr="00E76DAD">
        <w:rPr>
          <w:rFonts w:eastAsia="Times New Roman" w:cs="Times New Roman"/>
          <w:kern w:val="0"/>
          <w:lang w:eastAsia="en-GB"/>
          <w14:ligatures w14:val="none"/>
        </w:rPr>
        <w:t xml:space="preserve"> and their Impact on Project Success. </w:t>
      </w:r>
      <w:r w:rsidRPr="00E76DAD">
        <w:rPr>
          <w:rFonts w:eastAsia="Times New Roman" w:cs="Times New Roman"/>
          <w:i/>
          <w:iCs/>
          <w:kern w:val="0"/>
          <w:lang w:eastAsia="en-GB"/>
          <w14:ligatures w14:val="none"/>
        </w:rPr>
        <w:t>Journal of General Management</w:t>
      </w:r>
      <w:r w:rsidRPr="00E76DAD">
        <w:rPr>
          <w:rFonts w:eastAsia="Times New Roman" w:cs="Times New Roman"/>
          <w:kern w:val="0"/>
          <w:lang w:eastAsia="en-GB"/>
          <w14:ligatures w14:val="none"/>
        </w:rPr>
        <w:t xml:space="preserve">, [online] 35(3), pp.41–66.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://doi.org/10.1177/030630701003500304</w:t>
      </w:r>
      <w:proofErr w:type="gramEnd"/>
      <w:r w:rsidRPr="00E76DAD">
        <w:rPr>
          <w:rFonts w:eastAsia="Times New Roman" w:cs="Times New Roman"/>
          <w:kern w:val="0"/>
          <w:lang w:eastAsia="en-GB"/>
          <w14:ligatures w14:val="none"/>
        </w:rPr>
        <w:t>.</w:t>
      </w:r>
    </w:p>
    <w:p w14:paraId="49B8D5C8"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Quatrini, E., Costantino, F., Di Gravio, G. and Patriarca, R. (2020). Condition-Based Maintenance—An Extensive Literature Review. </w:t>
      </w:r>
      <w:r w:rsidRPr="00E76DAD">
        <w:rPr>
          <w:rFonts w:eastAsia="Times New Roman" w:cs="Times New Roman"/>
          <w:i/>
          <w:iCs/>
          <w:kern w:val="0"/>
          <w:lang w:eastAsia="en-GB"/>
          <w14:ligatures w14:val="none"/>
        </w:rPr>
        <w:t>Machines</w:t>
      </w:r>
      <w:r w:rsidRPr="00E76DAD">
        <w:rPr>
          <w:rFonts w:eastAsia="Times New Roman" w:cs="Times New Roman"/>
          <w:kern w:val="0"/>
          <w:lang w:eastAsia="en-GB"/>
          <w14:ligatures w14:val="none"/>
        </w:rPr>
        <w:t xml:space="preserve">, 8(2), p.31.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://doi.org/10.3390/machines8020031</w:t>
      </w:r>
      <w:proofErr w:type="gramEnd"/>
      <w:r w:rsidRPr="00E76DAD">
        <w:rPr>
          <w:rFonts w:eastAsia="Times New Roman" w:cs="Times New Roman"/>
          <w:kern w:val="0"/>
          <w:lang w:eastAsia="en-GB"/>
          <w14:ligatures w14:val="none"/>
        </w:rPr>
        <w:t>.</w:t>
      </w:r>
    </w:p>
    <w:p w14:paraId="52EE39DD"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Rojas, J.A., Aguado, M., Polymnia Vasilopoulou, Ivo Velitchkov, Assche, D.V., Colpaert, P. and </w:t>
      </w:r>
      <w:proofErr w:type="spellStart"/>
      <w:r w:rsidRPr="00E76DAD">
        <w:rPr>
          <w:rFonts w:eastAsia="Times New Roman" w:cs="Times New Roman"/>
          <w:kern w:val="0"/>
          <w:lang w:eastAsia="en-GB"/>
          <w14:ligatures w14:val="none"/>
        </w:rPr>
        <w:t>Verborgh</w:t>
      </w:r>
      <w:proofErr w:type="spellEnd"/>
      <w:r w:rsidRPr="00E76DAD">
        <w:rPr>
          <w:rFonts w:eastAsia="Times New Roman" w:cs="Times New Roman"/>
          <w:kern w:val="0"/>
          <w:lang w:eastAsia="en-GB"/>
          <w14:ligatures w14:val="none"/>
        </w:rPr>
        <w:t xml:space="preserve">, R. (2021). Leveraging Semantic Technologies for Digital </w:t>
      </w:r>
      <w:r w:rsidRPr="00E76DAD">
        <w:rPr>
          <w:rFonts w:eastAsia="Times New Roman" w:cs="Times New Roman"/>
          <w:kern w:val="0"/>
          <w:lang w:eastAsia="en-GB"/>
          <w14:ligatures w14:val="none"/>
        </w:rPr>
        <w:lastRenderedPageBreak/>
        <w:t xml:space="preserve">Interoperability in the European Railway Domain. </w:t>
      </w:r>
      <w:r w:rsidRPr="00E76DAD">
        <w:rPr>
          <w:rFonts w:eastAsia="Times New Roman" w:cs="Times New Roman"/>
          <w:i/>
          <w:iCs/>
          <w:kern w:val="0"/>
          <w:lang w:eastAsia="en-GB"/>
          <w14:ligatures w14:val="none"/>
        </w:rPr>
        <w:t>Lecture notes in computer science</w:t>
      </w:r>
      <w:r w:rsidRPr="00E76DAD">
        <w:rPr>
          <w:rFonts w:eastAsia="Times New Roman" w:cs="Times New Roman"/>
          <w:kern w:val="0"/>
          <w:lang w:eastAsia="en-GB"/>
          <w14:ligatures w14:val="none"/>
        </w:rPr>
        <w:t xml:space="preserve">, pp.648–664.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://doi.org/10.1007/978-3-030-88361-4_38</w:t>
      </w:r>
      <w:proofErr w:type="gramEnd"/>
      <w:r w:rsidRPr="00E76DAD">
        <w:rPr>
          <w:rFonts w:eastAsia="Times New Roman" w:cs="Times New Roman"/>
          <w:kern w:val="0"/>
          <w:lang w:eastAsia="en-GB"/>
          <w14:ligatures w14:val="none"/>
        </w:rPr>
        <w:t>.</w:t>
      </w:r>
    </w:p>
    <w:p w14:paraId="182EB5D2"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Shen, S., Smith, J.C. and Ahmed, S. (2010). Expectation and Chance-Constrained Models and Algorithms for Insuring Critical Paths. </w:t>
      </w:r>
      <w:r w:rsidRPr="00E76DAD">
        <w:rPr>
          <w:rFonts w:eastAsia="Times New Roman" w:cs="Times New Roman"/>
          <w:i/>
          <w:iCs/>
          <w:kern w:val="0"/>
          <w:lang w:eastAsia="en-GB"/>
          <w14:ligatures w14:val="none"/>
        </w:rPr>
        <w:t>Management Science</w:t>
      </w:r>
      <w:r w:rsidRPr="00E76DAD">
        <w:rPr>
          <w:rFonts w:eastAsia="Times New Roman" w:cs="Times New Roman"/>
          <w:kern w:val="0"/>
          <w:lang w:eastAsia="en-GB"/>
          <w14:ligatures w14:val="none"/>
        </w:rPr>
        <w:t xml:space="preserve">, 56(10), pp.1794–1814.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://doi.org/10.1287/mnsc.1100.1208</w:t>
      </w:r>
      <w:proofErr w:type="gramEnd"/>
      <w:r w:rsidRPr="00E76DAD">
        <w:rPr>
          <w:rFonts w:eastAsia="Times New Roman" w:cs="Times New Roman"/>
          <w:kern w:val="0"/>
          <w:lang w:eastAsia="en-GB"/>
          <w14:ligatures w14:val="none"/>
        </w:rPr>
        <w:t>.</w:t>
      </w:r>
    </w:p>
    <w:p w14:paraId="5301E74B"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Sun, D., Jia, Y., Qin, L., Yang, Y. and Zhang, J. (2018). A Variance Maximization Based Weight Optimization Method for Railway Transportation Safety Performance Measurement. </w:t>
      </w:r>
      <w:r w:rsidRPr="00E76DAD">
        <w:rPr>
          <w:rFonts w:eastAsia="Times New Roman" w:cs="Times New Roman"/>
          <w:i/>
          <w:iCs/>
          <w:kern w:val="0"/>
          <w:lang w:eastAsia="en-GB"/>
          <w14:ligatures w14:val="none"/>
        </w:rPr>
        <w:t>Sustainability</w:t>
      </w:r>
      <w:r w:rsidRPr="00E76DAD">
        <w:rPr>
          <w:rFonts w:eastAsia="Times New Roman" w:cs="Times New Roman"/>
          <w:kern w:val="0"/>
          <w:lang w:eastAsia="en-GB"/>
          <w14:ligatures w14:val="none"/>
        </w:rPr>
        <w:t xml:space="preserve">, 10(8), p.2903.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://doi.org/10.3390/su10082903</w:t>
      </w:r>
      <w:proofErr w:type="gramEnd"/>
      <w:r w:rsidRPr="00E76DAD">
        <w:rPr>
          <w:rFonts w:eastAsia="Times New Roman" w:cs="Times New Roman"/>
          <w:kern w:val="0"/>
          <w:lang w:eastAsia="en-GB"/>
          <w14:ligatures w14:val="none"/>
        </w:rPr>
        <w:t>.</w:t>
      </w:r>
    </w:p>
    <w:p w14:paraId="0B131652"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Thomas, P. and </w:t>
      </w:r>
      <w:proofErr w:type="spellStart"/>
      <w:r w:rsidRPr="00E76DAD">
        <w:rPr>
          <w:rFonts w:eastAsia="Times New Roman" w:cs="Times New Roman"/>
          <w:kern w:val="0"/>
          <w:lang w:eastAsia="en-GB"/>
          <w14:ligatures w14:val="none"/>
        </w:rPr>
        <w:t>Stupples</w:t>
      </w:r>
      <w:proofErr w:type="spellEnd"/>
      <w:r w:rsidRPr="00E76DAD">
        <w:rPr>
          <w:rFonts w:eastAsia="Times New Roman" w:cs="Times New Roman"/>
          <w:kern w:val="0"/>
          <w:lang w:eastAsia="en-GB"/>
          <w14:ligatures w14:val="none"/>
        </w:rPr>
        <w:t xml:space="preserve">, D. (2006). J-Value/A Universal Scale for Health and Safety Spending. </w:t>
      </w:r>
      <w:r w:rsidRPr="00E76DAD">
        <w:rPr>
          <w:rFonts w:eastAsia="Times New Roman" w:cs="Times New Roman"/>
          <w:i/>
          <w:iCs/>
          <w:kern w:val="0"/>
          <w:lang w:eastAsia="en-GB"/>
          <w14:ligatures w14:val="none"/>
        </w:rPr>
        <w:t>Measurement and Control</w:t>
      </w:r>
      <w:r w:rsidRPr="00E76DAD">
        <w:rPr>
          <w:rFonts w:eastAsia="Times New Roman" w:cs="Times New Roman"/>
          <w:kern w:val="0"/>
          <w:lang w:eastAsia="en-GB"/>
          <w14:ligatures w14:val="none"/>
        </w:rPr>
        <w:t xml:space="preserve">, 39(9), pp.273–276.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://doi.org/10.1177/002029400603900902</w:t>
      </w:r>
      <w:proofErr w:type="gramEnd"/>
      <w:r w:rsidRPr="00E76DAD">
        <w:rPr>
          <w:rFonts w:eastAsia="Times New Roman" w:cs="Times New Roman"/>
          <w:kern w:val="0"/>
          <w:lang w:eastAsia="en-GB"/>
          <w14:ligatures w14:val="none"/>
        </w:rPr>
        <w:t>.</w:t>
      </w:r>
    </w:p>
    <w:p w14:paraId="764BF4BE"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 xml:space="preserve">Tian, G. (2022). Advantages and Disadvantages of Closing Rail Crossings: A Case Study </w:t>
      </w:r>
      <w:proofErr w:type="gramStart"/>
      <w:r w:rsidRPr="00E76DAD">
        <w:rPr>
          <w:rFonts w:eastAsia="Times New Roman" w:cs="Times New Roman"/>
          <w:kern w:val="0"/>
          <w:lang w:eastAsia="en-GB"/>
          <w14:ligatures w14:val="none"/>
        </w:rPr>
        <w:t>From</w:t>
      </w:r>
      <w:proofErr w:type="gramEnd"/>
      <w:r w:rsidRPr="00E76DAD">
        <w:rPr>
          <w:rFonts w:eastAsia="Times New Roman" w:cs="Times New Roman"/>
          <w:kern w:val="0"/>
          <w:lang w:eastAsia="en-GB"/>
          <w14:ligatures w14:val="none"/>
        </w:rPr>
        <w:t xml:space="preserve"> Louisiana. </w:t>
      </w:r>
      <w:r w:rsidRPr="00E76DAD">
        <w:rPr>
          <w:rFonts w:eastAsia="Times New Roman" w:cs="Times New Roman"/>
          <w:i/>
          <w:iCs/>
          <w:kern w:val="0"/>
          <w:lang w:eastAsia="en-GB"/>
          <w14:ligatures w14:val="none"/>
        </w:rPr>
        <w:t>Public Works Management &amp; Policy</w:t>
      </w:r>
      <w:r w:rsidRPr="00E76DAD">
        <w:rPr>
          <w:rFonts w:eastAsia="Times New Roman" w:cs="Times New Roman"/>
          <w:kern w:val="0"/>
          <w:lang w:eastAsia="en-GB"/>
          <w14:ligatures w14:val="none"/>
        </w:rPr>
        <w:t xml:space="preserve">, p.1087724X2211102.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://doi.org/10.1177/1087724x221110230</w:t>
      </w:r>
      <w:proofErr w:type="gramEnd"/>
      <w:r w:rsidRPr="00E76DAD">
        <w:rPr>
          <w:rFonts w:eastAsia="Times New Roman" w:cs="Times New Roman"/>
          <w:kern w:val="0"/>
          <w:lang w:eastAsia="en-GB"/>
          <w14:ligatures w14:val="none"/>
        </w:rPr>
        <w:t>.</w:t>
      </w:r>
    </w:p>
    <w:p w14:paraId="5AF91CA0" w14:textId="77777777" w:rsidR="00E76DAD" w:rsidRPr="00E76DAD" w:rsidRDefault="00E76DAD" w:rsidP="00E76DAD">
      <w:pPr>
        <w:spacing w:after="240" w:line="360" w:lineRule="auto"/>
        <w:rPr>
          <w:rFonts w:eastAsia="Times New Roman" w:cs="Times New Roman"/>
          <w:kern w:val="0"/>
          <w:lang w:eastAsia="en-GB"/>
          <w14:ligatures w14:val="none"/>
        </w:rPr>
      </w:pPr>
      <w:r w:rsidRPr="00E76DAD">
        <w:rPr>
          <w:rFonts w:eastAsia="Times New Roman" w:cs="Times New Roman"/>
          <w:kern w:val="0"/>
          <w:lang w:eastAsia="en-GB"/>
          <w14:ligatures w14:val="none"/>
        </w:rPr>
        <w:t>Xu, N., Wan, A., Elahi, E. and Peng, B. (2023). Evaluating investment risks in overseas renewable energy projects: A WSR and D</w:t>
      </w:r>
      <w:r w:rsidRPr="00E76DAD">
        <w:rPr>
          <w:rFonts w:ascii="Cambria Math" w:eastAsia="Times New Roman" w:hAnsi="Cambria Math" w:cs="Cambria Math"/>
          <w:kern w:val="0"/>
          <w:lang w:eastAsia="en-GB"/>
          <w14:ligatures w14:val="none"/>
        </w:rPr>
        <w:t>‐</w:t>
      </w:r>
      <w:r w:rsidRPr="00E76DAD">
        <w:rPr>
          <w:rFonts w:eastAsia="Times New Roman" w:cs="Times New Roman"/>
          <w:kern w:val="0"/>
          <w:lang w:eastAsia="en-GB"/>
          <w14:ligatures w14:val="none"/>
        </w:rPr>
        <w:t xml:space="preserve">AHP based approach. </w:t>
      </w:r>
      <w:r w:rsidRPr="00E76DAD">
        <w:rPr>
          <w:rFonts w:eastAsia="Times New Roman" w:cs="Times New Roman"/>
          <w:i/>
          <w:iCs/>
          <w:kern w:val="0"/>
          <w:lang w:eastAsia="en-GB"/>
          <w14:ligatures w14:val="none"/>
        </w:rPr>
        <w:t>Environmental progress &amp; sustainable energy</w:t>
      </w:r>
      <w:r w:rsidRPr="00E76DAD">
        <w:rPr>
          <w:rFonts w:eastAsia="Times New Roman" w:cs="Times New Roman"/>
          <w:kern w:val="0"/>
          <w:lang w:eastAsia="en-GB"/>
          <w14:ligatures w14:val="none"/>
        </w:rPr>
        <w:t xml:space="preserve">. </w:t>
      </w:r>
      <w:proofErr w:type="spellStart"/>
      <w:proofErr w:type="gramStart"/>
      <w:r w:rsidRPr="00E76DAD">
        <w:rPr>
          <w:rFonts w:eastAsia="Times New Roman" w:cs="Times New Roman"/>
          <w:kern w:val="0"/>
          <w:lang w:eastAsia="en-GB"/>
          <w14:ligatures w14:val="none"/>
        </w:rPr>
        <w:t>doi:https</w:t>
      </w:r>
      <w:proofErr w:type="spellEnd"/>
      <w:r w:rsidRPr="00E76DAD">
        <w:rPr>
          <w:rFonts w:eastAsia="Times New Roman" w:cs="Times New Roman"/>
          <w:kern w:val="0"/>
          <w:lang w:eastAsia="en-GB"/>
          <w14:ligatures w14:val="none"/>
        </w:rPr>
        <w:t>://doi.org/10.1002/ep.14306</w:t>
      </w:r>
      <w:proofErr w:type="gramEnd"/>
      <w:r w:rsidRPr="00E76DAD">
        <w:rPr>
          <w:rFonts w:eastAsia="Times New Roman" w:cs="Times New Roman"/>
          <w:kern w:val="0"/>
          <w:lang w:eastAsia="en-GB"/>
          <w14:ligatures w14:val="none"/>
        </w:rPr>
        <w:t>.</w:t>
      </w:r>
    </w:p>
    <w:p w14:paraId="32D69D86" w14:textId="77777777" w:rsidR="00FA6183" w:rsidRDefault="00FA6183" w:rsidP="00C94F9F"/>
    <w:sectPr w:rsidR="00FA61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FEED3" w14:textId="77777777" w:rsidR="000D33CE" w:rsidRDefault="000D33CE" w:rsidP="000D33CE">
      <w:pPr>
        <w:spacing w:after="0" w:line="240" w:lineRule="auto"/>
      </w:pPr>
      <w:r>
        <w:separator/>
      </w:r>
    </w:p>
  </w:endnote>
  <w:endnote w:type="continuationSeparator" w:id="0">
    <w:p w14:paraId="7BE0B8D9" w14:textId="77777777" w:rsidR="000D33CE" w:rsidRDefault="000D33CE" w:rsidP="000D3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7A202C" w14:textId="56A08738" w:rsidR="000D33CE" w:rsidRDefault="000D33CE">
    <w:pPr>
      <w:pStyle w:val="Footer"/>
    </w:pPr>
    <w:r w:rsidRPr="000D33CE">
      <w:t>Josh Millard – 2412673 - ACHA7025 - Applying Project Management Techniques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EA8038" w14:textId="77777777" w:rsidR="000D33CE" w:rsidRDefault="000D33CE" w:rsidP="000D33CE">
      <w:pPr>
        <w:spacing w:after="0" w:line="240" w:lineRule="auto"/>
      </w:pPr>
      <w:r>
        <w:separator/>
      </w:r>
    </w:p>
  </w:footnote>
  <w:footnote w:type="continuationSeparator" w:id="0">
    <w:p w14:paraId="1BC3E9BF" w14:textId="77777777" w:rsidR="000D33CE" w:rsidRDefault="000D33CE" w:rsidP="000D33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F9F"/>
    <w:rsid w:val="00076F16"/>
    <w:rsid w:val="00094C8F"/>
    <w:rsid w:val="000A5B17"/>
    <w:rsid w:val="000D33CE"/>
    <w:rsid w:val="000D46C7"/>
    <w:rsid w:val="001117A4"/>
    <w:rsid w:val="00243719"/>
    <w:rsid w:val="00246093"/>
    <w:rsid w:val="00253F2E"/>
    <w:rsid w:val="002B7997"/>
    <w:rsid w:val="00383854"/>
    <w:rsid w:val="003F6CAC"/>
    <w:rsid w:val="00400F26"/>
    <w:rsid w:val="004A460D"/>
    <w:rsid w:val="004E5CBD"/>
    <w:rsid w:val="00514C70"/>
    <w:rsid w:val="0053366B"/>
    <w:rsid w:val="00574DE5"/>
    <w:rsid w:val="0060626A"/>
    <w:rsid w:val="0060667F"/>
    <w:rsid w:val="006547B4"/>
    <w:rsid w:val="006652E2"/>
    <w:rsid w:val="0067043A"/>
    <w:rsid w:val="006D4615"/>
    <w:rsid w:val="00721F30"/>
    <w:rsid w:val="00771406"/>
    <w:rsid w:val="007D4A30"/>
    <w:rsid w:val="007E6EEA"/>
    <w:rsid w:val="008811C9"/>
    <w:rsid w:val="008B650C"/>
    <w:rsid w:val="008B7371"/>
    <w:rsid w:val="008F71F3"/>
    <w:rsid w:val="00906A6A"/>
    <w:rsid w:val="0098243B"/>
    <w:rsid w:val="00994660"/>
    <w:rsid w:val="009B5BC5"/>
    <w:rsid w:val="00A058FD"/>
    <w:rsid w:val="00A425A5"/>
    <w:rsid w:val="00A7401E"/>
    <w:rsid w:val="00AA1CB3"/>
    <w:rsid w:val="00AF0CFB"/>
    <w:rsid w:val="00B52881"/>
    <w:rsid w:val="00B60A8A"/>
    <w:rsid w:val="00B66E24"/>
    <w:rsid w:val="00BB7BBB"/>
    <w:rsid w:val="00BD7FA7"/>
    <w:rsid w:val="00C94F9F"/>
    <w:rsid w:val="00CC2575"/>
    <w:rsid w:val="00CF6591"/>
    <w:rsid w:val="00D42F6B"/>
    <w:rsid w:val="00DD7CFE"/>
    <w:rsid w:val="00E63063"/>
    <w:rsid w:val="00E70E40"/>
    <w:rsid w:val="00E71E09"/>
    <w:rsid w:val="00E76DAD"/>
    <w:rsid w:val="00F1401D"/>
    <w:rsid w:val="00F434C5"/>
    <w:rsid w:val="00FA6183"/>
    <w:rsid w:val="00FD5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6FA2D"/>
  <w15:chartTrackingRefBased/>
  <w15:docId w15:val="{61E8ABFC-CD46-4444-8890-265716849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F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F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F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F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F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F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F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F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F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F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F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F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F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F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F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F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F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F9F"/>
    <w:rPr>
      <w:rFonts w:eastAsiaTheme="majorEastAsia" w:cstheme="majorBidi"/>
      <w:color w:val="272727" w:themeColor="text1" w:themeTint="D8"/>
    </w:rPr>
  </w:style>
  <w:style w:type="paragraph" w:styleId="Title">
    <w:name w:val="Title"/>
    <w:basedOn w:val="Normal"/>
    <w:next w:val="Normal"/>
    <w:link w:val="TitleChar"/>
    <w:uiPriority w:val="10"/>
    <w:qFormat/>
    <w:rsid w:val="00C94F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F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F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F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F9F"/>
    <w:pPr>
      <w:spacing w:before="160"/>
      <w:jc w:val="center"/>
    </w:pPr>
    <w:rPr>
      <w:i/>
      <w:iCs/>
      <w:color w:val="404040" w:themeColor="text1" w:themeTint="BF"/>
    </w:rPr>
  </w:style>
  <w:style w:type="character" w:customStyle="1" w:styleId="QuoteChar">
    <w:name w:val="Quote Char"/>
    <w:basedOn w:val="DefaultParagraphFont"/>
    <w:link w:val="Quote"/>
    <w:uiPriority w:val="29"/>
    <w:rsid w:val="00C94F9F"/>
    <w:rPr>
      <w:i/>
      <w:iCs/>
      <w:color w:val="404040" w:themeColor="text1" w:themeTint="BF"/>
    </w:rPr>
  </w:style>
  <w:style w:type="paragraph" w:styleId="ListParagraph">
    <w:name w:val="List Paragraph"/>
    <w:basedOn w:val="Normal"/>
    <w:uiPriority w:val="34"/>
    <w:qFormat/>
    <w:rsid w:val="00C94F9F"/>
    <w:pPr>
      <w:ind w:left="720"/>
      <w:contextualSpacing/>
    </w:pPr>
  </w:style>
  <w:style w:type="character" w:styleId="IntenseEmphasis">
    <w:name w:val="Intense Emphasis"/>
    <w:basedOn w:val="DefaultParagraphFont"/>
    <w:uiPriority w:val="21"/>
    <w:qFormat/>
    <w:rsid w:val="00C94F9F"/>
    <w:rPr>
      <w:i/>
      <w:iCs/>
      <w:color w:val="0F4761" w:themeColor="accent1" w:themeShade="BF"/>
    </w:rPr>
  </w:style>
  <w:style w:type="paragraph" w:styleId="IntenseQuote">
    <w:name w:val="Intense Quote"/>
    <w:basedOn w:val="Normal"/>
    <w:next w:val="Normal"/>
    <w:link w:val="IntenseQuoteChar"/>
    <w:uiPriority w:val="30"/>
    <w:qFormat/>
    <w:rsid w:val="00C94F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F9F"/>
    <w:rPr>
      <w:i/>
      <w:iCs/>
      <w:color w:val="0F4761" w:themeColor="accent1" w:themeShade="BF"/>
    </w:rPr>
  </w:style>
  <w:style w:type="character" w:styleId="IntenseReference">
    <w:name w:val="Intense Reference"/>
    <w:basedOn w:val="DefaultParagraphFont"/>
    <w:uiPriority w:val="32"/>
    <w:qFormat/>
    <w:rsid w:val="00C94F9F"/>
    <w:rPr>
      <w:b/>
      <w:bCs/>
      <w:smallCaps/>
      <w:color w:val="0F4761" w:themeColor="accent1" w:themeShade="BF"/>
      <w:spacing w:val="5"/>
    </w:rPr>
  </w:style>
  <w:style w:type="paragraph" w:styleId="Header">
    <w:name w:val="header"/>
    <w:basedOn w:val="Normal"/>
    <w:link w:val="HeaderChar"/>
    <w:uiPriority w:val="99"/>
    <w:unhideWhenUsed/>
    <w:rsid w:val="000D3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3CE"/>
  </w:style>
  <w:style w:type="paragraph" w:styleId="Footer">
    <w:name w:val="footer"/>
    <w:basedOn w:val="Normal"/>
    <w:link w:val="FooterChar"/>
    <w:uiPriority w:val="99"/>
    <w:unhideWhenUsed/>
    <w:rsid w:val="000D3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3CE"/>
  </w:style>
  <w:style w:type="table" w:styleId="TableGrid">
    <w:name w:val="Table Grid"/>
    <w:basedOn w:val="TableNormal"/>
    <w:uiPriority w:val="39"/>
    <w:rsid w:val="008B65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216</TotalTime>
  <Pages>17</Pages>
  <Words>4748</Words>
  <Characters>26878</Characters>
  <Application>Microsoft Office Word</Application>
  <DocSecurity>0</DocSecurity>
  <Lines>746</Lines>
  <Paragraphs>854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Millard</dc:creator>
  <cp:keywords/>
  <dc:description/>
  <cp:lastModifiedBy>Josh Millard</cp:lastModifiedBy>
  <cp:revision>54</cp:revision>
  <dcterms:created xsi:type="dcterms:W3CDTF">2026-01-29T10:39:00Z</dcterms:created>
  <dcterms:modified xsi:type="dcterms:W3CDTF">2026-01-29T22:09:00Z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a7b25a8-32e9-4044-88bd-391cf0513fa4_Enabled">
    <vt:lpwstr>true</vt:lpwstr>
  </property>
  <property fmtid="{D5CDD505-2E9C-101B-9397-08002B2CF9AE}" pid="3" name="MSIP_Label_1a7b25a8-32e9-4044-88bd-391cf0513fa4_SetDate">
    <vt:lpwstr>2026-01-29T11:09:03Z</vt:lpwstr>
  </property>
  <property fmtid="{D5CDD505-2E9C-101B-9397-08002B2CF9AE}" pid="4" name="MSIP_Label_1a7b25a8-32e9-4044-88bd-391cf0513fa4_Method">
    <vt:lpwstr>Privileged</vt:lpwstr>
  </property>
  <property fmtid="{D5CDD505-2E9C-101B-9397-08002B2CF9AE}" pid="5" name="MSIP_Label_1a7b25a8-32e9-4044-88bd-391cf0513fa4_Name">
    <vt:lpwstr>NOT PROTECTIVELY MARKED</vt:lpwstr>
  </property>
  <property fmtid="{D5CDD505-2E9C-101B-9397-08002B2CF9AE}" pid="6" name="MSIP_Label_1a7b25a8-32e9-4044-88bd-391cf0513fa4_SiteId">
    <vt:lpwstr>1a67444e-6d14-4022-b01c-c225b1c02a3c</vt:lpwstr>
  </property>
  <property fmtid="{D5CDD505-2E9C-101B-9397-08002B2CF9AE}" pid="7" name="MSIP_Label_1a7b25a8-32e9-4044-88bd-391cf0513fa4_ActionId">
    <vt:lpwstr>7efa2981-cbe0-4c00-9f1b-2274323284c0</vt:lpwstr>
  </property>
  <property fmtid="{D5CDD505-2E9C-101B-9397-08002B2CF9AE}" pid="8" name="MSIP_Label_1a7b25a8-32e9-4044-88bd-391cf0513fa4_ContentBits">
    <vt:lpwstr>0</vt:lpwstr>
  </property>
  <property fmtid="{D5CDD505-2E9C-101B-9397-08002B2CF9AE}" pid="9" name="MSIP_Label_1a7b25a8-32e9-4044-88bd-391cf0513fa4_Tag">
    <vt:lpwstr>10, 0, 1, 1</vt:lpwstr>
  </property>
</Properties>
</file>