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Megan Romano – 1707921</w:t>
      </w: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Event Design and Delivery Assignment 1</w:t>
      </w: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Suzanne Wells</w:t>
      </w: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Creativity and Innovation in Events</w:t>
      </w: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4"/>
          <w:shd w:fill="auto" w:val="clear"/>
        </w:rPr>
        <w:t xml:space="preserve">Creativity and Innovation in Events</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paper aims to examine how creativity, innovation, and entrepreneurship can cause an event to either fail or succeed. Each factor will be described then research will support why companies use the theories to develop and improve their businesses. The essay will explain the relationship between the event design and the experience from customers to consumers. There will be case studies to support the writing and how the event either failed or succeeded and whether they created, innovated or managed sufficiently while planning the event. The event industry is growing every day (Getz, D. 2007). Events can range from musical, to food and beverage, to historical events and team building events. No matter what the event, it can be improved by being more creative and thinking of new ideas that help manage the business into higher achievement. A conclusion will be produced to conduct how cruical it is for an event to have creativity, innovation and enterprise.</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Events have a massive impact on everyone's lives, whether that is conference meetings or a major sporting event. Events can be seen as a social experience which allows a person to be themselves. For an event to be successful, it should be creative and must be managed sufficiently (Goldblatt, J. 2012). For an event to be memorable, it has to have a creative theme that no one can forget (Inntel, 2018). As well as food, music, and books, creativity is crucial for an event to succeed (Wilson, J., Arshed, N. and Shaw, E. 2014). Gemma Banks states that the guests will arrive at an event and expect unique executions so that they can live ‘in the moment' due to the high use of social media, such as Pinterest and Instagram (Banks, G. 2018). Berridge claims that certain events with a high thematic and entertainment element are found more inconsistent but are well-planned events (Berridge, G. 2010). There is always something new in the event industry and the creative element is increasing continuously, innovation lets other organisations build off the history of other events and have new ideas of their own.</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Tomorrowland is a significant event in the industry bringing 400,000 international guests from around the world. In 2017 the festival wanted their stage to look more unique as they are known for their thematic fantasy experiences. According to Neptunus, a creative design organization, Tomorrowland challenged the company to design their centerpiece for their main stage. The organisation also built a dance area, a VIP area, and a floating lounge area. The design of the festival was thought through so well that every area and stage had a different design, they had entertainment and actors in theoretical costumes and all types of food and drink. Due to the setting and theme giving a ‘memorable experience’ for previous visitors they then advertise it through social media and word of mouth which causes the event to be successful every year and for the event tickets to sell out so fast (Neptunus, 2018). Tomorrowland has followed its expectations of ‘creativity’ due to it having an ‘impact’ on visitor's life and allowing them to ‘live in the moment’ through social media.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Innovation means to produce an event and create new ideas to make it better.  When an event takes place for longer than ten years it goes through a ‘product lifecycle’ which starts with an introduction following growth and maturity, then declines before new growth is formed (Allen, O’Toole, McDonnell, &amp; Harris, 2000). Innovation is a way for staff members and consumers to solve everyday problems, such as, questions, situations or difficulties that may arise in connection to reinvention (Routledge, T. 2011).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the journal, the case study on The Great Lake Festival show statistics from 1998 that the festival stands at 300,000 visits in the week it is in progress. It is a highly popular festival in Sweden which involve 50 artists to perform on many stages. The festival took a positive approach to innovate the work on the event. While marketing the festival, they cooperated with a festival in Norway and shared information on marketing channels. In the beginning, the festival did not want to represent commercial interests, but by 1997 they gained sponsors from companies such as breweries and they are now looking to source most of their profit from sponsors. (Routledge, T. 2011). The author also states that The Great Lake Festival did not work with innovation much in 2003 and 2004 due to them having tasks ‘over and above’ the festival. Due to the festival improving their innovation, it is steadily developing into a bigger and more profitable festival. The Great Lake festival thought of ideas that could improve their event and business; therefore their innovation is what is letting their event develop.</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 be entrepreneurial in the events industry, a worker must ‘plan and deliver’ an experience successfully (Getz, D. 2012). Van de Ven explains how not all research are the same there's a big difference between outcome driven and event-driven research (Van de Ven, &amp; Engleman. 2004). Outcome driven research is an analysis of event history (Eisenhardt, K., &amp; Schoonhoven, C. 1990), whereas event-driven research is done by regulating event development over time (Gersick, K. 2015). Being an entrepreneur is innovating ideas and proceeding with the ideas successfully, without the correct management involved the event can go wrong which can give the organization terrible publicity.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According to Telegraph Starbucks had hosted an event in 2012 in a national museum in the UK where they planned to have a live screen and asked the users of Twitter to share a hashtag ‘#spreadthecheer' for Christmas. It was their way of advertising their brand and coffee for the winter time. Unfortunately, they did not plan enough as they did not suggest to filter the messages and bad language was mentioned in front of an audience. Due to the incident, they received bad publicity and customers were angry that they were advertising in a museum while they pay a very small amount of tax for what they earn (Telegraph, 2012). The management did not have a set plan, and they did not think about the target market, the location, or the negative effects that their event was going to have on the public. The event caused a loss in a high number of customers for the business. This case study shows that an organization could be top-rated and still fail due to the lack of management.</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case studies show that social media has a high impact on the event industry. They also show that not only small events can fail but major companies can too. Small events can also become more popular the more advertisement and money that is put into creating and innovating the event. Creativity, innovation and enterprise are important factors for an event to run sufficiently, without them an event can turn into a disaster, no matter how good the idea or how big the company.</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Reference list </w:t>
      </w:r>
    </w:p>
    <w:p>
      <w:pPr>
        <w:spacing w:before="0" w:after="160" w:line="259"/>
        <w:ind w:right="0" w:left="0" w:firstLine="0"/>
        <w:jc w:val="left"/>
        <w:rPr>
          <w:rFonts w:ascii="Calibri" w:hAnsi="Calibri" w:cs="Calibri" w:eastAsia="Calibri"/>
          <w:color w:val="auto"/>
          <w:spacing w:val="0"/>
          <w:position w:val="0"/>
          <w:sz w:val="24"/>
          <w:shd w:fill="auto" w:val="clear"/>
        </w:rPr>
      </w:pP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Allen, J., O’Toole, W., McDonnell, I., &amp; Harris, R. (2002). Festival and special event management (2nd. ed.). Milton, Australia: John Wiley &amp; Sons Australia.</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Banks, G. (2018). </w:t>
      </w:r>
      <w:r>
        <w:rPr>
          <w:rFonts w:ascii="Calibri" w:hAnsi="Calibri" w:cs="Calibri" w:eastAsia="Calibri"/>
          <w:i/>
          <w:color w:val="auto"/>
          <w:spacing w:val="0"/>
          <w:position w:val="0"/>
          <w:sz w:val="24"/>
          <w:shd w:fill="auto" w:val="clear"/>
        </w:rPr>
        <w:t xml:space="preserve">Creativity in Events | Standing Out from The Events Crowd | Create</w:t>
      </w:r>
      <w:r>
        <w:rPr>
          <w:rFonts w:ascii="Calibri" w:hAnsi="Calibri" w:cs="Calibri" w:eastAsia="Calibri"/>
          <w:color w:val="auto"/>
          <w:spacing w:val="0"/>
          <w:position w:val="0"/>
          <w:sz w:val="24"/>
          <w:shd w:fill="auto" w:val="clear"/>
        </w:rPr>
        <w:t xml:space="preserve">. [online] Create. Available at: https://www.createfood.co.uk/creativity-in-events/ [Accessed 12 Nov. 2018].</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Berridge, G. (2010). Event pitching: The role of design and creativity. </w:t>
      </w:r>
      <w:r>
        <w:rPr>
          <w:rFonts w:ascii="Calibri" w:hAnsi="Calibri" w:cs="Calibri" w:eastAsia="Calibri"/>
          <w:i/>
          <w:color w:val="auto"/>
          <w:spacing w:val="0"/>
          <w:position w:val="0"/>
          <w:sz w:val="24"/>
          <w:shd w:fill="auto" w:val="clear"/>
        </w:rPr>
        <w:t xml:space="preserve">International Journal of Hospitality Management,</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29</w:t>
      </w:r>
      <w:r>
        <w:rPr>
          <w:rFonts w:ascii="Calibri" w:hAnsi="Calibri" w:cs="Calibri" w:eastAsia="Calibri"/>
          <w:color w:val="auto"/>
          <w:spacing w:val="0"/>
          <w:position w:val="0"/>
          <w:sz w:val="24"/>
          <w:shd w:fill="auto" w:val="clear"/>
        </w:rPr>
        <w:t xml:space="preserve">(2), 208-215.</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Eisenhardt, K., &amp; Schoonhoven, C. (1990). Organizational Growth: Linking Founding Team, Strategy, Environment, and Growth Among U.S. Semiconductor Ventures, 1978-1988. </w:t>
      </w:r>
      <w:r>
        <w:rPr>
          <w:rFonts w:ascii="Calibri" w:hAnsi="Calibri" w:cs="Calibri" w:eastAsia="Calibri"/>
          <w:i/>
          <w:color w:val="auto"/>
          <w:spacing w:val="0"/>
          <w:position w:val="0"/>
          <w:sz w:val="24"/>
          <w:shd w:fill="auto" w:val="clear"/>
        </w:rPr>
        <w:t xml:space="preserve">Administrative Science Quarterly,35</w:t>
      </w:r>
      <w:r>
        <w:rPr>
          <w:rFonts w:ascii="Calibri" w:hAnsi="Calibri" w:cs="Calibri" w:eastAsia="Calibri"/>
          <w:color w:val="auto"/>
          <w:spacing w:val="0"/>
          <w:position w:val="0"/>
          <w:sz w:val="24"/>
          <w:shd w:fill="auto" w:val="clear"/>
        </w:rPr>
        <w:t xml:space="preserve">(3), 504-529.</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Gersick, K. (2015). Article Commentary: Essay on Practice: Advising Family Enterprise in the Fourth Decade. </w:t>
      </w:r>
      <w:r>
        <w:rPr>
          <w:rFonts w:ascii="Calibri" w:hAnsi="Calibri" w:cs="Calibri" w:eastAsia="Calibri"/>
          <w:i/>
          <w:color w:val="auto"/>
          <w:spacing w:val="0"/>
          <w:position w:val="0"/>
          <w:sz w:val="24"/>
          <w:shd w:fill="auto" w:val="clear"/>
        </w:rPr>
        <w:t xml:space="preserve">Entrepreneurship Theory and Practice,</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39</w:t>
      </w:r>
      <w:r>
        <w:rPr>
          <w:rFonts w:ascii="Calibri" w:hAnsi="Calibri" w:cs="Calibri" w:eastAsia="Calibri"/>
          <w:color w:val="auto"/>
          <w:spacing w:val="0"/>
          <w:position w:val="0"/>
          <w:sz w:val="24"/>
          <w:shd w:fill="auto" w:val="clear"/>
        </w:rPr>
        <w:t xml:space="preserve">(6), 1433-1450.</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Getz, D. (2007). </w:t>
      </w:r>
      <w:r>
        <w:rPr>
          <w:rFonts w:ascii="Calibri" w:hAnsi="Calibri" w:cs="Calibri" w:eastAsia="Calibri"/>
          <w:i/>
          <w:color w:val="auto"/>
          <w:spacing w:val="0"/>
          <w:position w:val="0"/>
          <w:sz w:val="24"/>
          <w:shd w:fill="auto" w:val="clear"/>
        </w:rPr>
        <w:t xml:space="preserve">Event studies: Theory, research, and policy for planned events</w:t>
      </w:r>
      <w:r>
        <w:rPr>
          <w:rFonts w:ascii="Calibri" w:hAnsi="Calibri" w:cs="Calibri" w:eastAsia="Calibri"/>
          <w:color w:val="auto"/>
          <w:spacing w:val="0"/>
          <w:position w:val="0"/>
          <w:sz w:val="24"/>
          <w:shd w:fill="auto" w:val="clear"/>
        </w:rPr>
        <w:t xml:space="preserve"> (Events management series). Amsterdam; London: Elsevier Butterworth-Heinemann.</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Getz, D. (2012). </w:t>
      </w:r>
      <w:r>
        <w:rPr>
          <w:rFonts w:ascii="Calibri" w:hAnsi="Calibri" w:cs="Calibri" w:eastAsia="Calibri"/>
          <w:i/>
          <w:color w:val="auto"/>
          <w:spacing w:val="0"/>
          <w:position w:val="0"/>
          <w:sz w:val="24"/>
          <w:shd w:fill="auto" w:val="clear"/>
        </w:rPr>
        <w:t xml:space="preserve">Event studies: Theory, research, and policy for planned events</w:t>
      </w:r>
      <w:r>
        <w:rPr>
          <w:rFonts w:ascii="Calibri" w:hAnsi="Calibri" w:cs="Calibri" w:eastAsia="Calibri"/>
          <w:color w:val="auto"/>
          <w:spacing w:val="0"/>
          <w:position w:val="0"/>
          <w:sz w:val="24"/>
          <w:shd w:fill="auto" w:val="clear"/>
        </w:rPr>
        <w:t xml:space="preserve"> (2nd ed.). Abingdon: Routledge.</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Goldblatt, J. (2012). The current and future impacts of the 2007-2009 economic recession on the festival and event industry. </w:t>
      </w:r>
      <w:r>
        <w:rPr>
          <w:rFonts w:ascii="Calibri" w:hAnsi="Calibri" w:cs="Calibri" w:eastAsia="Calibri"/>
          <w:i/>
          <w:color w:val="auto"/>
          <w:spacing w:val="0"/>
          <w:position w:val="0"/>
          <w:sz w:val="24"/>
          <w:shd w:fill="auto" w:val="clear"/>
        </w:rPr>
        <w:t xml:space="preserve">International Journal of Event and Festival Management,</w:t>
      </w:r>
      <w:r>
        <w:rPr>
          <w:rFonts w:ascii="Calibri" w:hAnsi="Calibri" w:cs="Calibri" w:eastAsia="Calibri"/>
          <w:color w:val="auto"/>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3</w:t>
      </w:r>
      <w:r>
        <w:rPr>
          <w:rFonts w:ascii="Calibri" w:hAnsi="Calibri" w:cs="Calibri" w:eastAsia="Calibri"/>
          <w:color w:val="auto"/>
          <w:spacing w:val="0"/>
          <w:position w:val="0"/>
          <w:sz w:val="24"/>
          <w:shd w:fill="auto" w:val="clear"/>
        </w:rPr>
        <w:t xml:space="preserve">(2), 137-148.</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Inntel. (2018). </w:t>
      </w:r>
      <w:r>
        <w:rPr>
          <w:rFonts w:ascii="Calibri" w:hAnsi="Calibri" w:cs="Calibri" w:eastAsia="Calibri"/>
          <w:i/>
          <w:color w:val="auto"/>
          <w:spacing w:val="0"/>
          <w:position w:val="0"/>
          <w:sz w:val="24"/>
          <w:shd w:fill="auto" w:val="clear"/>
        </w:rPr>
        <w:t xml:space="preserve">Importance of creativity in events - Inntel</w:t>
      </w:r>
      <w:r>
        <w:rPr>
          <w:rFonts w:ascii="Calibri" w:hAnsi="Calibri" w:cs="Calibri" w:eastAsia="Calibri"/>
          <w:color w:val="auto"/>
          <w:spacing w:val="0"/>
          <w:position w:val="0"/>
          <w:sz w:val="24"/>
          <w:shd w:fill="auto" w:val="clear"/>
        </w:rPr>
        <w:t xml:space="preserve">. [online] Available at: https://www.inntel.co.uk/importance-of-creativity-in-events/ [Accessed 12 Nov. 2018].</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Neptunus. (2018). </w:t>
      </w:r>
      <w:r>
        <w:rPr>
          <w:rFonts w:ascii="Calibri" w:hAnsi="Calibri" w:cs="Calibri" w:eastAsia="Calibri"/>
          <w:i/>
          <w:color w:val="auto"/>
          <w:spacing w:val="0"/>
          <w:position w:val="0"/>
          <w:sz w:val="24"/>
          <w:shd w:fill="auto" w:val="clear"/>
        </w:rPr>
        <w:t xml:space="preserve">Tomorrowland Case Study, Temporary Festival Structures</w:t>
      </w:r>
      <w:r>
        <w:rPr>
          <w:rFonts w:ascii="Calibri" w:hAnsi="Calibri" w:cs="Calibri" w:eastAsia="Calibri"/>
          <w:color w:val="auto"/>
          <w:spacing w:val="0"/>
          <w:position w:val="0"/>
          <w:sz w:val="24"/>
          <w:shd w:fill="auto" w:val="clear"/>
        </w:rPr>
        <w:t xml:space="preserve">. [online] Available at: https://www.neptunus.co.uk/tomorrowland [Accessed 12 Nov. 2018].</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Routledge, T. (2011). Journal of Hospitality Marketing &amp; Management</w:t>
      </w:r>
      <w:r>
        <w:rPr>
          <w:rFonts w:ascii="Calibri" w:hAnsi="Calibri" w:cs="Calibri" w:eastAsia="Calibri"/>
          <w:i/>
          <w:color w:val="auto"/>
          <w:spacing w:val="0"/>
          <w:position w:val="0"/>
          <w:sz w:val="24"/>
          <w:shd w:fill="auto" w:val="clear"/>
        </w:rPr>
        <w:t xml:space="preserve"> </w:t>
      </w:r>
      <w:r>
        <w:rPr>
          <w:rFonts w:ascii="Calibri" w:hAnsi="Calibri" w:cs="Calibri" w:eastAsia="Calibri"/>
          <w:color w:val="auto"/>
          <w:spacing w:val="0"/>
          <w:position w:val="0"/>
          <w:sz w:val="24"/>
          <w:shd w:fill="auto" w:val="clear"/>
        </w:rPr>
        <w:t xml:space="preserve">287 -310.</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Telegraph, (2018). </w:t>
      </w:r>
      <w:r>
        <w:rPr>
          <w:rFonts w:ascii="Calibri" w:hAnsi="Calibri" w:cs="Calibri" w:eastAsia="Calibri"/>
          <w:i/>
          <w:color w:val="auto"/>
          <w:spacing w:val="0"/>
          <w:position w:val="0"/>
          <w:sz w:val="24"/>
          <w:shd w:fill="auto" w:val="clear"/>
        </w:rPr>
        <w:t xml:space="preserve">Starbucks Twitter campaign hijacked by tax protests</w:t>
      </w:r>
      <w:r>
        <w:rPr>
          <w:rFonts w:ascii="Calibri" w:hAnsi="Calibri" w:cs="Calibri" w:eastAsia="Calibri"/>
          <w:color w:val="auto"/>
          <w:spacing w:val="0"/>
          <w:position w:val="0"/>
          <w:sz w:val="24"/>
          <w:shd w:fill="auto" w:val="clear"/>
        </w:rPr>
        <w:t xml:space="preserve">. [online] Telegraph.co.uk. Available at: https://www.telegraph.co.uk/technology/twitter/9750215/Starbucks-Twitter-campaign-hijacked-by-tax-protests.html [Accessed 12 Nov. 2018]. </w:t>
      </w:r>
    </w:p>
    <w:p>
      <w:pPr>
        <w:numPr>
          <w:ilvl w:val="0"/>
          <w:numId w:val="5"/>
        </w:numPr>
        <w:spacing w:before="0" w:after="160" w:line="259"/>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color w:val="auto"/>
          <w:spacing w:val="0"/>
          <w:position w:val="0"/>
          <w:sz w:val="24"/>
          <w:shd w:fill="auto" w:val="clear"/>
        </w:rPr>
        <w:t xml:space="preserve">Van de Ven, &amp; Engleman. (2004). Event- and outcome-driven explanations of entrepreneurship. </w:t>
      </w:r>
      <w:r>
        <w:rPr>
          <w:rFonts w:ascii="Calibri" w:hAnsi="Calibri" w:cs="Calibri" w:eastAsia="Calibri"/>
          <w:i/>
          <w:color w:val="auto"/>
          <w:spacing w:val="0"/>
          <w:position w:val="0"/>
          <w:sz w:val="24"/>
          <w:shd w:fill="auto" w:val="clear"/>
        </w:rPr>
        <w:t xml:space="preserve">Journal of Business Venturing,19</w:t>
      </w:r>
      <w:r>
        <w:rPr>
          <w:rFonts w:ascii="Calibri" w:hAnsi="Calibri" w:cs="Calibri" w:eastAsia="Calibri"/>
          <w:color w:val="auto"/>
          <w:spacing w:val="0"/>
          <w:position w:val="0"/>
          <w:sz w:val="24"/>
          <w:shd w:fill="auto" w:val="clear"/>
        </w:rPr>
        <w:t xml:space="preserve">(3), 343-358.</w:t>
      </w:r>
    </w:p>
    <w:p>
      <w:pPr>
        <w:numPr>
          <w:ilvl w:val="0"/>
          <w:numId w:val="5"/>
        </w:numPr>
        <w:spacing w:before="0" w:after="160" w:line="259"/>
        <w:ind w:right="0" w:left="720" w:hanging="360"/>
        <w:jc w:val="left"/>
        <w:rPr>
          <w:rFonts w:ascii="Calibri" w:hAnsi="Calibri" w:cs="Calibri" w:eastAsia="Calibri"/>
          <w:color w:val="auto"/>
          <w:spacing w:val="0"/>
          <w:position w:val="0"/>
          <w:sz w:val="19"/>
          <w:shd w:fill="auto" w:val="clear"/>
        </w:rPr>
      </w:pPr>
      <w:r>
        <w:rPr>
          <w:rFonts w:ascii="Calibri" w:hAnsi="Calibri" w:cs="Calibri" w:eastAsia="Calibri"/>
          <w:color w:val="auto"/>
          <w:spacing w:val="0"/>
          <w:position w:val="0"/>
          <w:sz w:val="24"/>
          <w:shd w:fill="auto" w:val="clear"/>
        </w:rPr>
        <w:t xml:space="preserve">Wilson, J., Arshed, N., &amp; Shaw, E. (2014). Festival Literature: The Role of the Entrepreneur. </w:t>
      </w:r>
      <w:r>
        <w:rPr>
          <w:rFonts w:ascii="Calibri" w:hAnsi="Calibri" w:cs="Calibri" w:eastAsia="Calibri"/>
          <w:i/>
          <w:color w:val="auto"/>
          <w:spacing w:val="0"/>
          <w:position w:val="0"/>
          <w:sz w:val="24"/>
          <w:shd w:fill="auto" w:val="clear"/>
        </w:rPr>
        <w:t xml:space="preserve">ICSB World Conference Proceedings,</w:t>
      </w:r>
      <w:r>
        <w:rPr>
          <w:rFonts w:ascii="Calibri" w:hAnsi="Calibri" w:cs="Calibri" w:eastAsia="Calibri"/>
          <w:color w:val="auto"/>
          <w:spacing w:val="0"/>
          <w:position w:val="0"/>
          <w:sz w:val="24"/>
          <w:shd w:fill="auto" w:val="clear"/>
        </w:rPr>
        <w:t xml:space="preserve"> 1-4.</w:t>
      </w:r>
    </w:p>
  </w:body>
</w:document>
</file>

<file path=word/numbering.xml><?xml version="1.0" encoding="utf-8"?>
<w:numbering xmlns:w="http://schemas.openxmlformats.org/wordprocessingml/2006/main">
  <w:abstractNum w:abstractNumId="0">
    <w:lvl w:ilvl="0">
      <w:start w:val="1"/>
      <w:numFmt w:val="bullet"/>
      <w:lvlText w:val="•"/>
    </w:lvl>
  </w:abstractNum>
  <w:num w:numId="5">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