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DF8E44" w14:textId="77777777" w:rsidR="00CF1E2D" w:rsidRDefault="00000000">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noProof/>
          <w:sz w:val="24"/>
          <w:szCs w:val="24"/>
        </w:rPr>
        <w:drawing>
          <wp:inline distT="114300" distB="114300" distL="114300" distR="114300" wp14:anchorId="5ED56CB2" wp14:editId="3CB7CC2B">
            <wp:extent cx="5943600" cy="6883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6883400"/>
                    </a:xfrm>
                    <a:prstGeom prst="rect">
                      <a:avLst/>
                    </a:prstGeom>
                    <a:ln/>
                  </pic:spPr>
                </pic:pic>
              </a:graphicData>
            </a:graphic>
          </wp:inline>
        </w:drawing>
      </w:r>
      <w:r>
        <w:br w:type="page"/>
      </w:r>
      <w:r>
        <w:rPr>
          <w:rFonts w:ascii="Times New Roman" w:eastAsia="Times New Roman" w:hAnsi="Times New Roman" w:cs="Times New Roman"/>
          <w:sz w:val="32"/>
          <w:szCs w:val="32"/>
        </w:rPr>
        <w:lastRenderedPageBreak/>
        <w:t>Table of Contents</w:t>
      </w:r>
    </w:p>
    <w:p w14:paraId="6261BD63" w14:textId="77777777" w:rsidR="00CF1E2D" w:rsidRDefault="00CF1E2D">
      <w:pPr>
        <w:spacing w:line="480" w:lineRule="auto"/>
        <w:jc w:val="both"/>
        <w:rPr>
          <w:rFonts w:ascii="Times New Roman" w:eastAsia="Times New Roman" w:hAnsi="Times New Roman" w:cs="Times New Roman"/>
          <w:sz w:val="24"/>
          <w:szCs w:val="24"/>
        </w:rPr>
      </w:pPr>
    </w:p>
    <w:p w14:paraId="5AAB7460" w14:textId="77777777" w:rsidR="00CF1E2D" w:rsidRDefault="00CF1E2D">
      <w:pPr>
        <w:spacing w:line="480" w:lineRule="auto"/>
        <w:jc w:val="both"/>
        <w:rPr>
          <w:rFonts w:ascii="Times New Roman" w:eastAsia="Times New Roman" w:hAnsi="Times New Roman" w:cs="Times New Roman"/>
          <w:sz w:val="24"/>
          <w:szCs w:val="24"/>
        </w:rPr>
      </w:pPr>
    </w:p>
    <w:sdt>
      <w:sdtPr>
        <w:id w:val="1474866596"/>
        <w:docPartObj>
          <w:docPartGallery w:val="Table of Contents"/>
          <w:docPartUnique/>
        </w:docPartObj>
      </w:sdtPr>
      <w:sdtContent>
        <w:p w14:paraId="7E9C78EA" w14:textId="77777777" w:rsidR="00CF1E2D" w:rsidRDefault="00000000">
          <w:pPr>
            <w:widowControl w:val="0"/>
            <w:tabs>
              <w:tab w:val="right" w:pos="9360"/>
            </w:tabs>
            <w:spacing w:before="60" w:line="240" w:lineRule="auto"/>
            <w:rPr>
              <w:rFonts w:ascii="Times New Roman" w:eastAsia="Times New Roman" w:hAnsi="Times New Roman" w:cs="Times New Roman"/>
              <w:b/>
              <w:color w:val="000000"/>
            </w:rPr>
          </w:pPr>
          <w:r>
            <w:fldChar w:fldCharType="begin"/>
          </w:r>
          <w:r>
            <w:instrText xml:space="preserve"> TOC \h \u \z \t "Heading 1,1,Heading 2,2,Heading 3,3,Heading 4,4,Heading 5,5,Heading 6,6,"</w:instrText>
          </w:r>
          <w:r>
            <w:fldChar w:fldCharType="separate"/>
          </w:r>
          <w:hyperlink w:anchor="_nw0msnw9xs3h">
            <w:r>
              <w:rPr>
                <w:rFonts w:ascii="Times New Roman" w:eastAsia="Times New Roman" w:hAnsi="Times New Roman" w:cs="Times New Roman"/>
                <w:b/>
                <w:color w:val="000000"/>
              </w:rPr>
              <w:t>1. Abstract</w:t>
            </w:r>
            <w:r>
              <w:rPr>
                <w:rFonts w:ascii="Times New Roman" w:eastAsia="Times New Roman" w:hAnsi="Times New Roman" w:cs="Times New Roman"/>
                <w:b/>
                <w:color w:val="000000"/>
              </w:rPr>
              <w:tab/>
            </w:r>
          </w:hyperlink>
          <w:r>
            <w:fldChar w:fldCharType="begin"/>
          </w:r>
          <w:r>
            <w:instrText xml:space="preserve"> PAGEREF _nw0msnw9xs3h \h </w:instrText>
          </w:r>
          <w:r>
            <w:fldChar w:fldCharType="separate"/>
          </w:r>
          <w:r>
            <w:rPr>
              <w:rFonts w:ascii="Times New Roman" w:eastAsia="Times New Roman" w:hAnsi="Times New Roman" w:cs="Times New Roman"/>
              <w:b/>
            </w:rPr>
            <w:t>3</w:t>
          </w:r>
          <w:r>
            <w:fldChar w:fldCharType="end"/>
          </w:r>
        </w:p>
        <w:p w14:paraId="53D79461" w14:textId="77777777" w:rsidR="00CF1E2D" w:rsidRDefault="00CF1E2D">
          <w:pPr>
            <w:widowControl w:val="0"/>
            <w:tabs>
              <w:tab w:val="right" w:pos="9360"/>
            </w:tabs>
            <w:spacing w:before="60" w:line="240" w:lineRule="auto"/>
            <w:rPr>
              <w:rFonts w:ascii="Times New Roman" w:eastAsia="Times New Roman" w:hAnsi="Times New Roman" w:cs="Times New Roman"/>
            </w:rPr>
          </w:pPr>
        </w:p>
        <w:p w14:paraId="10643252" w14:textId="77777777" w:rsidR="00CF1E2D" w:rsidRDefault="00000000">
          <w:pPr>
            <w:widowControl w:val="0"/>
            <w:tabs>
              <w:tab w:val="right" w:pos="9360"/>
            </w:tabs>
            <w:spacing w:before="60" w:line="240" w:lineRule="auto"/>
            <w:rPr>
              <w:rFonts w:ascii="Times New Roman" w:eastAsia="Times New Roman" w:hAnsi="Times New Roman" w:cs="Times New Roman"/>
              <w:color w:val="000000"/>
            </w:rPr>
          </w:pPr>
          <w:r>
            <w:rPr>
              <w:rFonts w:ascii="Times New Roman" w:eastAsia="Times New Roman" w:hAnsi="Times New Roman" w:cs="Times New Roman"/>
              <w:b/>
            </w:rPr>
            <w:t>2</w:t>
          </w:r>
          <w:hyperlink w:anchor="_nw0msnw9xs3h">
            <w:r>
              <w:rPr>
                <w:rFonts w:ascii="Times New Roman" w:eastAsia="Times New Roman" w:hAnsi="Times New Roman" w:cs="Times New Roman"/>
                <w:b/>
              </w:rPr>
              <w:t>. Literature Review</w:t>
            </w:r>
            <w:r>
              <w:rPr>
                <w:rFonts w:ascii="Times New Roman" w:eastAsia="Times New Roman" w:hAnsi="Times New Roman" w:cs="Times New Roman"/>
                <w:b/>
              </w:rPr>
              <w:tab/>
            </w:r>
          </w:hyperlink>
          <w:r>
            <w:rPr>
              <w:rFonts w:ascii="Times New Roman" w:eastAsia="Times New Roman" w:hAnsi="Times New Roman" w:cs="Times New Roman"/>
            </w:rPr>
            <w:t>6</w:t>
          </w:r>
        </w:p>
        <w:p w14:paraId="6EEB2889" w14:textId="77777777" w:rsidR="00CF1E2D" w:rsidRDefault="00000000">
          <w:pPr>
            <w:widowControl w:val="0"/>
            <w:tabs>
              <w:tab w:val="right" w:pos="9360"/>
            </w:tabs>
            <w:spacing w:before="60" w:line="240" w:lineRule="auto"/>
            <w:ind w:left="360"/>
            <w:rPr>
              <w:rFonts w:ascii="Times New Roman" w:eastAsia="Times New Roman" w:hAnsi="Times New Roman" w:cs="Times New Roman"/>
              <w:color w:val="000000"/>
            </w:rPr>
          </w:pPr>
          <w:hyperlink w:anchor="_ex3ui715t356">
            <w:r>
              <w:rPr>
                <w:rFonts w:ascii="Times New Roman" w:eastAsia="Times New Roman" w:hAnsi="Times New Roman" w:cs="Times New Roman"/>
                <w:color w:val="000000"/>
              </w:rPr>
              <w:t>2.1 Summary of the Concepts and Theories</w:t>
            </w:r>
            <w:r>
              <w:rPr>
                <w:rFonts w:ascii="Times New Roman" w:eastAsia="Times New Roman" w:hAnsi="Times New Roman" w:cs="Times New Roman"/>
                <w:color w:val="000000"/>
              </w:rPr>
              <w:tab/>
            </w:r>
          </w:hyperlink>
          <w:r>
            <w:fldChar w:fldCharType="begin"/>
          </w:r>
          <w:r>
            <w:instrText xml:space="preserve"> PAGEREF _ex3ui715t356 \h </w:instrText>
          </w:r>
          <w:r>
            <w:fldChar w:fldCharType="separate"/>
          </w:r>
          <w:r>
            <w:rPr>
              <w:rFonts w:ascii="Times New Roman" w:eastAsia="Times New Roman" w:hAnsi="Times New Roman" w:cs="Times New Roman"/>
            </w:rPr>
            <w:t>6</w:t>
          </w:r>
          <w:r>
            <w:fldChar w:fldCharType="end"/>
          </w:r>
        </w:p>
        <w:p w14:paraId="4E7F0B2D"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dga1aep8snnt">
            <w:r>
              <w:rPr>
                <w:rFonts w:ascii="Times New Roman" w:eastAsia="Times New Roman" w:hAnsi="Times New Roman" w:cs="Times New Roman"/>
                <w:color w:val="000000"/>
              </w:rPr>
              <w:t>2.1.1 Understanding Consumer Behaviour</w:t>
            </w:r>
            <w:r>
              <w:rPr>
                <w:rFonts w:ascii="Times New Roman" w:eastAsia="Times New Roman" w:hAnsi="Times New Roman" w:cs="Times New Roman"/>
                <w:color w:val="000000"/>
              </w:rPr>
              <w:tab/>
            </w:r>
          </w:hyperlink>
          <w:r>
            <w:fldChar w:fldCharType="begin"/>
          </w:r>
          <w:r>
            <w:instrText xml:space="preserve"> PAGEREF _dga1aep8snnt \h </w:instrText>
          </w:r>
          <w:r>
            <w:fldChar w:fldCharType="separate"/>
          </w:r>
          <w:r>
            <w:rPr>
              <w:rFonts w:ascii="Times New Roman" w:eastAsia="Times New Roman" w:hAnsi="Times New Roman" w:cs="Times New Roman"/>
            </w:rPr>
            <w:t>7</w:t>
          </w:r>
          <w:r>
            <w:fldChar w:fldCharType="end"/>
          </w:r>
        </w:p>
        <w:p w14:paraId="7ADC9D7A"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ptwa1ojal2n8">
            <w:r>
              <w:rPr>
                <w:rFonts w:ascii="Times New Roman" w:eastAsia="Times New Roman" w:hAnsi="Times New Roman" w:cs="Times New Roman"/>
                <w:color w:val="000000"/>
              </w:rPr>
              <w:t>2.1.2 Market Segmentation Analysis</w:t>
            </w:r>
            <w:r>
              <w:rPr>
                <w:rFonts w:ascii="Times New Roman" w:eastAsia="Times New Roman" w:hAnsi="Times New Roman" w:cs="Times New Roman"/>
                <w:color w:val="000000"/>
              </w:rPr>
              <w:tab/>
            </w:r>
          </w:hyperlink>
          <w:r>
            <w:fldChar w:fldCharType="begin"/>
          </w:r>
          <w:r>
            <w:instrText xml:space="preserve"> PAGEREF _ptwa1ojal2n8 \h </w:instrText>
          </w:r>
          <w:r>
            <w:fldChar w:fldCharType="separate"/>
          </w:r>
          <w:r>
            <w:rPr>
              <w:rFonts w:ascii="Times New Roman" w:eastAsia="Times New Roman" w:hAnsi="Times New Roman" w:cs="Times New Roman"/>
            </w:rPr>
            <w:t>7</w:t>
          </w:r>
          <w:r>
            <w:fldChar w:fldCharType="end"/>
          </w:r>
        </w:p>
        <w:p w14:paraId="7C92533E"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x8rye8kg5d5f">
            <w:r>
              <w:rPr>
                <w:rFonts w:ascii="Times New Roman" w:eastAsia="Times New Roman" w:hAnsi="Times New Roman" w:cs="Times New Roman"/>
                <w:color w:val="000000"/>
              </w:rPr>
              <w:t>2.1.3 Branding and Positioning Strategies</w:t>
            </w:r>
            <w:r>
              <w:rPr>
                <w:rFonts w:ascii="Times New Roman" w:eastAsia="Times New Roman" w:hAnsi="Times New Roman" w:cs="Times New Roman"/>
                <w:color w:val="000000"/>
              </w:rPr>
              <w:tab/>
            </w:r>
          </w:hyperlink>
          <w:r>
            <w:fldChar w:fldCharType="begin"/>
          </w:r>
          <w:r>
            <w:instrText xml:space="preserve"> PAGEREF _x8rye8kg5d5f \h </w:instrText>
          </w:r>
          <w:r>
            <w:fldChar w:fldCharType="separate"/>
          </w:r>
          <w:r>
            <w:rPr>
              <w:rFonts w:ascii="Times New Roman" w:eastAsia="Times New Roman" w:hAnsi="Times New Roman" w:cs="Times New Roman"/>
            </w:rPr>
            <w:t>8</w:t>
          </w:r>
          <w:r>
            <w:fldChar w:fldCharType="end"/>
          </w:r>
        </w:p>
        <w:p w14:paraId="14907088"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lbf5wgq6e7ae">
            <w:r>
              <w:rPr>
                <w:rFonts w:ascii="Times New Roman" w:eastAsia="Times New Roman" w:hAnsi="Times New Roman" w:cs="Times New Roman"/>
                <w:color w:val="000000"/>
              </w:rPr>
              <w:t>2.1.4 Assessment of Marketing Communications</w:t>
            </w:r>
            <w:r>
              <w:rPr>
                <w:rFonts w:ascii="Times New Roman" w:eastAsia="Times New Roman" w:hAnsi="Times New Roman" w:cs="Times New Roman"/>
                <w:color w:val="000000"/>
              </w:rPr>
              <w:tab/>
            </w:r>
          </w:hyperlink>
          <w:r>
            <w:fldChar w:fldCharType="begin"/>
          </w:r>
          <w:r>
            <w:instrText xml:space="preserve"> PAGEREF _lbf5wgq6e7ae \h </w:instrText>
          </w:r>
          <w:r>
            <w:fldChar w:fldCharType="separate"/>
          </w:r>
          <w:r>
            <w:rPr>
              <w:rFonts w:ascii="Times New Roman" w:eastAsia="Times New Roman" w:hAnsi="Times New Roman" w:cs="Times New Roman"/>
            </w:rPr>
            <w:t>8</w:t>
          </w:r>
          <w:r>
            <w:fldChar w:fldCharType="end"/>
          </w:r>
        </w:p>
        <w:p w14:paraId="0439C064"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spp1w1g7rh6j">
            <w:r>
              <w:rPr>
                <w:rFonts w:ascii="Times New Roman" w:eastAsia="Times New Roman" w:hAnsi="Times New Roman" w:cs="Times New Roman"/>
                <w:color w:val="000000"/>
              </w:rPr>
              <w:t>2.1.5 Evaluation of Pricing Strategies</w:t>
            </w:r>
            <w:r>
              <w:rPr>
                <w:rFonts w:ascii="Times New Roman" w:eastAsia="Times New Roman" w:hAnsi="Times New Roman" w:cs="Times New Roman"/>
                <w:color w:val="000000"/>
              </w:rPr>
              <w:tab/>
            </w:r>
          </w:hyperlink>
          <w:r>
            <w:fldChar w:fldCharType="begin"/>
          </w:r>
          <w:r>
            <w:instrText xml:space="preserve"> PAGEREF _spp1w1g7rh6j \h </w:instrText>
          </w:r>
          <w:r>
            <w:fldChar w:fldCharType="separate"/>
          </w:r>
          <w:r>
            <w:rPr>
              <w:rFonts w:ascii="Times New Roman" w:eastAsia="Times New Roman" w:hAnsi="Times New Roman" w:cs="Times New Roman"/>
            </w:rPr>
            <w:t>9</w:t>
          </w:r>
          <w:r>
            <w:fldChar w:fldCharType="end"/>
          </w:r>
        </w:p>
        <w:p w14:paraId="36966B89"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pgrafppaepow">
            <w:r>
              <w:rPr>
                <w:rFonts w:ascii="Times New Roman" w:eastAsia="Times New Roman" w:hAnsi="Times New Roman" w:cs="Times New Roman"/>
                <w:color w:val="000000"/>
              </w:rPr>
              <w:t>2.1.6 Focus on Customer Relationship Management</w:t>
            </w:r>
            <w:r>
              <w:rPr>
                <w:rFonts w:ascii="Times New Roman" w:eastAsia="Times New Roman" w:hAnsi="Times New Roman" w:cs="Times New Roman"/>
                <w:color w:val="000000"/>
              </w:rPr>
              <w:tab/>
            </w:r>
          </w:hyperlink>
          <w:r>
            <w:fldChar w:fldCharType="begin"/>
          </w:r>
          <w:r>
            <w:instrText xml:space="preserve"> PAGEREF _pgrafppaepow \h </w:instrText>
          </w:r>
          <w:r>
            <w:fldChar w:fldCharType="separate"/>
          </w:r>
          <w:r>
            <w:rPr>
              <w:rFonts w:ascii="Times New Roman" w:eastAsia="Times New Roman" w:hAnsi="Times New Roman" w:cs="Times New Roman"/>
            </w:rPr>
            <w:t>9</w:t>
          </w:r>
          <w:r>
            <w:fldChar w:fldCharType="end"/>
          </w:r>
        </w:p>
        <w:p w14:paraId="43A82AE1"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45mvbldeucyh">
            <w:r>
              <w:rPr>
                <w:rFonts w:ascii="Times New Roman" w:eastAsia="Times New Roman" w:hAnsi="Times New Roman" w:cs="Times New Roman"/>
                <w:color w:val="000000"/>
              </w:rPr>
              <w:t>2.1.7 Competitive Analysis Review</w:t>
            </w:r>
            <w:r>
              <w:rPr>
                <w:rFonts w:ascii="Times New Roman" w:eastAsia="Times New Roman" w:hAnsi="Times New Roman" w:cs="Times New Roman"/>
                <w:color w:val="000000"/>
              </w:rPr>
              <w:tab/>
            </w:r>
          </w:hyperlink>
          <w:r>
            <w:fldChar w:fldCharType="begin"/>
          </w:r>
          <w:r>
            <w:instrText xml:space="preserve"> PAGEREF _45mvbldeucyh \h </w:instrText>
          </w:r>
          <w:r>
            <w:fldChar w:fldCharType="separate"/>
          </w:r>
          <w:r>
            <w:rPr>
              <w:rFonts w:ascii="Times New Roman" w:eastAsia="Times New Roman" w:hAnsi="Times New Roman" w:cs="Times New Roman"/>
            </w:rPr>
            <w:t>10</w:t>
          </w:r>
          <w:r>
            <w:fldChar w:fldCharType="end"/>
          </w:r>
        </w:p>
        <w:p w14:paraId="2581D7DA" w14:textId="77777777" w:rsidR="00CF1E2D" w:rsidRDefault="00000000">
          <w:pPr>
            <w:widowControl w:val="0"/>
            <w:tabs>
              <w:tab w:val="right" w:pos="9360"/>
            </w:tabs>
            <w:spacing w:before="60" w:line="240" w:lineRule="auto"/>
            <w:ind w:left="360"/>
            <w:rPr>
              <w:rFonts w:ascii="Times New Roman" w:eastAsia="Times New Roman" w:hAnsi="Times New Roman" w:cs="Times New Roman"/>
              <w:color w:val="000000"/>
            </w:rPr>
          </w:pPr>
          <w:hyperlink w:anchor="_mjwo7gdtymxg">
            <w:r>
              <w:rPr>
                <w:rFonts w:ascii="Times New Roman" w:eastAsia="Times New Roman" w:hAnsi="Times New Roman" w:cs="Times New Roman"/>
                <w:color w:val="000000"/>
              </w:rPr>
              <w:t>2.2 Major Concepts and Theories in the Existing Literature</w:t>
            </w:r>
            <w:r>
              <w:rPr>
                <w:rFonts w:ascii="Times New Roman" w:eastAsia="Times New Roman" w:hAnsi="Times New Roman" w:cs="Times New Roman"/>
                <w:color w:val="000000"/>
              </w:rPr>
              <w:tab/>
            </w:r>
          </w:hyperlink>
          <w:r>
            <w:fldChar w:fldCharType="begin"/>
          </w:r>
          <w:r>
            <w:instrText xml:space="preserve"> PAGEREF _mjwo7gdtymxg \h </w:instrText>
          </w:r>
          <w:r>
            <w:fldChar w:fldCharType="separate"/>
          </w:r>
          <w:r>
            <w:rPr>
              <w:rFonts w:ascii="Times New Roman" w:eastAsia="Times New Roman" w:hAnsi="Times New Roman" w:cs="Times New Roman"/>
            </w:rPr>
            <w:t>11</w:t>
          </w:r>
          <w:r>
            <w:fldChar w:fldCharType="end"/>
          </w:r>
        </w:p>
        <w:p w14:paraId="01427F12"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on15hel7t0qh">
            <w:r>
              <w:rPr>
                <w:rFonts w:ascii="Times New Roman" w:eastAsia="Times New Roman" w:hAnsi="Times New Roman" w:cs="Times New Roman"/>
                <w:color w:val="000000"/>
              </w:rPr>
              <w:t>2.2.1 Consumer Behavior</w:t>
            </w:r>
            <w:r>
              <w:rPr>
                <w:rFonts w:ascii="Times New Roman" w:eastAsia="Times New Roman" w:hAnsi="Times New Roman" w:cs="Times New Roman"/>
                <w:color w:val="000000"/>
              </w:rPr>
              <w:tab/>
            </w:r>
          </w:hyperlink>
          <w:r>
            <w:fldChar w:fldCharType="begin"/>
          </w:r>
          <w:r>
            <w:instrText xml:space="preserve"> PAGEREF _on15hel7t0qh \h </w:instrText>
          </w:r>
          <w:r>
            <w:fldChar w:fldCharType="separate"/>
          </w:r>
          <w:r>
            <w:rPr>
              <w:rFonts w:ascii="Times New Roman" w:eastAsia="Times New Roman" w:hAnsi="Times New Roman" w:cs="Times New Roman"/>
            </w:rPr>
            <w:t>11</w:t>
          </w:r>
          <w:r>
            <w:fldChar w:fldCharType="end"/>
          </w:r>
        </w:p>
        <w:p w14:paraId="6F1183D8"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c2z9uvkqnhu4">
            <w:r>
              <w:rPr>
                <w:rFonts w:ascii="Times New Roman" w:eastAsia="Times New Roman" w:hAnsi="Times New Roman" w:cs="Times New Roman"/>
                <w:color w:val="000000"/>
              </w:rPr>
              <w:t>2.2.2 Market Segmentation</w:t>
            </w:r>
            <w:r>
              <w:rPr>
                <w:rFonts w:ascii="Times New Roman" w:eastAsia="Times New Roman" w:hAnsi="Times New Roman" w:cs="Times New Roman"/>
                <w:color w:val="000000"/>
              </w:rPr>
              <w:tab/>
            </w:r>
          </w:hyperlink>
          <w:r>
            <w:fldChar w:fldCharType="begin"/>
          </w:r>
          <w:r>
            <w:instrText xml:space="preserve"> PAGEREF _c2z9uvkqnhu4 \h </w:instrText>
          </w:r>
          <w:r>
            <w:fldChar w:fldCharType="separate"/>
          </w:r>
          <w:r>
            <w:rPr>
              <w:rFonts w:ascii="Times New Roman" w:eastAsia="Times New Roman" w:hAnsi="Times New Roman" w:cs="Times New Roman"/>
            </w:rPr>
            <w:t>12</w:t>
          </w:r>
          <w:r>
            <w:fldChar w:fldCharType="end"/>
          </w:r>
        </w:p>
        <w:p w14:paraId="0DFBD90E"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nhsxx4fahu79">
            <w:r>
              <w:rPr>
                <w:rFonts w:ascii="Times New Roman" w:eastAsia="Times New Roman" w:hAnsi="Times New Roman" w:cs="Times New Roman"/>
                <w:color w:val="000000"/>
              </w:rPr>
              <w:t>2.2.3 Branding and Positioning</w:t>
            </w:r>
            <w:r>
              <w:rPr>
                <w:rFonts w:ascii="Times New Roman" w:eastAsia="Times New Roman" w:hAnsi="Times New Roman" w:cs="Times New Roman"/>
                <w:color w:val="000000"/>
              </w:rPr>
              <w:tab/>
            </w:r>
          </w:hyperlink>
          <w:r>
            <w:fldChar w:fldCharType="begin"/>
          </w:r>
          <w:r>
            <w:instrText xml:space="preserve"> PAGEREF _nhsxx4fahu79 \h </w:instrText>
          </w:r>
          <w:r>
            <w:fldChar w:fldCharType="separate"/>
          </w:r>
          <w:r>
            <w:rPr>
              <w:rFonts w:ascii="Times New Roman" w:eastAsia="Times New Roman" w:hAnsi="Times New Roman" w:cs="Times New Roman"/>
            </w:rPr>
            <w:t>13</w:t>
          </w:r>
          <w:r>
            <w:fldChar w:fldCharType="end"/>
          </w:r>
        </w:p>
        <w:p w14:paraId="11C2962D"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j7b81cxnwcxu">
            <w:r>
              <w:rPr>
                <w:rFonts w:ascii="Times New Roman" w:eastAsia="Times New Roman" w:hAnsi="Times New Roman" w:cs="Times New Roman"/>
                <w:color w:val="000000"/>
              </w:rPr>
              <w:t>2.2.4 Marketing Communications</w:t>
            </w:r>
            <w:r>
              <w:rPr>
                <w:rFonts w:ascii="Times New Roman" w:eastAsia="Times New Roman" w:hAnsi="Times New Roman" w:cs="Times New Roman"/>
                <w:color w:val="000000"/>
              </w:rPr>
              <w:tab/>
            </w:r>
          </w:hyperlink>
          <w:r>
            <w:fldChar w:fldCharType="begin"/>
          </w:r>
          <w:r>
            <w:instrText xml:space="preserve"> PAGEREF _j7b81cxnwcxu \h </w:instrText>
          </w:r>
          <w:r>
            <w:fldChar w:fldCharType="separate"/>
          </w:r>
          <w:r>
            <w:rPr>
              <w:rFonts w:ascii="Times New Roman" w:eastAsia="Times New Roman" w:hAnsi="Times New Roman" w:cs="Times New Roman"/>
            </w:rPr>
            <w:t>14</w:t>
          </w:r>
          <w:r>
            <w:fldChar w:fldCharType="end"/>
          </w:r>
        </w:p>
        <w:p w14:paraId="7107F6A4"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7sgysgah94oa">
            <w:r>
              <w:rPr>
                <w:rFonts w:ascii="Times New Roman" w:eastAsia="Times New Roman" w:hAnsi="Times New Roman" w:cs="Times New Roman"/>
                <w:color w:val="000000"/>
              </w:rPr>
              <w:t>2.2.5 Pricing Strategies</w:t>
            </w:r>
            <w:r>
              <w:rPr>
                <w:rFonts w:ascii="Times New Roman" w:eastAsia="Times New Roman" w:hAnsi="Times New Roman" w:cs="Times New Roman"/>
                <w:color w:val="000000"/>
              </w:rPr>
              <w:tab/>
            </w:r>
          </w:hyperlink>
          <w:r>
            <w:fldChar w:fldCharType="begin"/>
          </w:r>
          <w:r>
            <w:instrText xml:space="preserve"> PAGEREF _7sgysgah94oa \h </w:instrText>
          </w:r>
          <w:r>
            <w:fldChar w:fldCharType="separate"/>
          </w:r>
          <w:r>
            <w:rPr>
              <w:rFonts w:ascii="Times New Roman" w:eastAsia="Times New Roman" w:hAnsi="Times New Roman" w:cs="Times New Roman"/>
            </w:rPr>
            <w:t>15</w:t>
          </w:r>
          <w:r>
            <w:fldChar w:fldCharType="end"/>
          </w:r>
        </w:p>
        <w:p w14:paraId="598DD78E"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n8pudhixhvtg">
            <w:r>
              <w:rPr>
                <w:rFonts w:ascii="Times New Roman" w:eastAsia="Times New Roman" w:hAnsi="Times New Roman" w:cs="Times New Roman"/>
                <w:color w:val="000000"/>
              </w:rPr>
              <w:t>2.2.6 Customer Relationship Management</w:t>
            </w:r>
            <w:r>
              <w:rPr>
                <w:rFonts w:ascii="Times New Roman" w:eastAsia="Times New Roman" w:hAnsi="Times New Roman" w:cs="Times New Roman"/>
                <w:color w:val="000000"/>
              </w:rPr>
              <w:tab/>
            </w:r>
          </w:hyperlink>
          <w:r>
            <w:fldChar w:fldCharType="begin"/>
          </w:r>
          <w:r>
            <w:instrText xml:space="preserve"> PAGEREF _n8pudhixhvtg \h </w:instrText>
          </w:r>
          <w:r>
            <w:fldChar w:fldCharType="separate"/>
          </w:r>
          <w:r>
            <w:rPr>
              <w:rFonts w:ascii="Times New Roman" w:eastAsia="Times New Roman" w:hAnsi="Times New Roman" w:cs="Times New Roman"/>
            </w:rPr>
            <w:t>15</w:t>
          </w:r>
          <w:r>
            <w:fldChar w:fldCharType="end"/>
          </w:r>
        </w:p>
        <w:p w14:paraId="319344AB" w14:textId="77777777" w:rsidR="00CF1E2D" w:rsidRDefault="00000000">
          <w:pPr>
            <w:widowControl w:val="0"/>
            <w:tabs>
              <w:tab w:val="right" w:pos="9360"/>
            </w:tabs>
            <w:spacing w:before="60" w:line="240" w:lineRule="auto"/>
            <w:ind w:left="720"/>
            <w:rPr>
              <w:rFonts w:ascii="Times New Roman" w:eastAsia="Times New Roman" w:hAnsi="Times New Roman" w:cs="Times New Roman"/>
              <w:color w:val="000000"/>
            </w:rPr>
          </w:pPr>
          <w:hyperlink w:anchor="_i69zat7mmwdm">
            <w:r>
              <w:rPr>
                <w:rFonts w:ascii="Times New Roman" w:eastAsia="Times New Roman" w:hAnsi="Times New Roman" w:cs="Times New Roman"/>
                <w:color w:val="000000"/>
              </w:rPr>
              <w:t>2.2.7 Competitive Analysis</w:t>
            </w:r>
            <w:r>
              <w:rPr>
                <w:rFonts w:ascii="Times New Roman" w:eastAsia="Times New Roman" w:hAnsi="Times New Roman" w:cs="Times New Roman"/>
                <w:color w:val="000000"/>
              </w:rPr>
              <w:tab/>
            </w:r>
          </w:hyperlink>
          <w:r>
            <w:fldChar w:fldCharType="begin"/>
          </w:r>
          <w:r>
            <w:instrText xml:space="preserve"> PAGEREF _i69zat7mmwdm \h </w:instrText>
          </w:r>
          <w:r>
            <w:fldChar w:fldCharType="separate"/>
          </w:r>
          <w:r>
            <w:rPr>
              <w:rFonts w:ascii="Times New Roman" w:eastAsia="Times New Roman" w:hAnsi="Times New Roman" w:cs="Times New Roman"/>
            </w:rPr>
            <w:t>16</w:t>
          </w:r>
          <w:r>
            <w:fldChar w:fldCharType="end"/>
          </w:r>
        </w:p>
        <w:p w14:paraId="79BE250A" w14:textId="77777777" w:rsidR="00CF1E2D" w:rsidRDefault="00000000">
          <w:pPr>
            <w:widowControl w:val="0"/>
            <w:tabs>
              <w:tab w:val="right" w:pos="9360"/>
            </w:tabs>
            <w:spacing w:before="60" w:line="240" w:lineRule="auto"/>
            <w:ind w:left="360"/>
            <w:rPr>
              <w:rFonts w:ascii="Times New Roman" w:eastAsia="Times New Roman" w:hAnsi="Times New Roman" w:cs="Times New Roman"/>
              <w:color w:val="000000"/>
            </w:rPr>
          </w:pPr>
          <w:hyperlink w:anchor="_wba76hnvyjb">
            <w:r>
              <w:rPr>
                <w:rFonts w:ascii="Times New Roman" w:eastAsia="Times New Roman" w:hAnsi="Times New Roman" w:cs="Times New Roman"/>
                <w:color w:val="000000"/>
              </w:rPr>
              <w:t>2.3 Research Gaps in the Literature</w:t>
            </w:r>
            <w:r>
              <w:rPr>
                <w:rFonts w:ascii="Times New Roman" w:eastAsia="Times New Roman" w:hAnsi="Times New Roman" w:cs="Times New Roman"/>
                <w:color w:val="000000"/>
              </w:rPr>
              <w:tab/>
            </w:r>
          </w:hyperlink>
          <w:r>
            <w:fldChar w:fldCharType="begin"/>
          </w:r>
          <w:r>
            <w:instrText xml:space="preserve"> PAGEREF _wba76hnvyjb \h </w:instrText>
          </w:r>
          <w:r>
            <w:fldChar w:fldCharType="separate"/>
          </w:r>
          <w:r>
            <w:rPr>
              <w:rFonts w:ascii="Times New Roman" w:eastAsia="Times New Roman" w:hAnsi="Times New Roman" w:cs="Times New Roman"/>
            </w:rPr>
            <w:t>17</w:t>
          </w:r>
          <w:r>
            <w:fldChar w:fldCharType="end"/>
          </w:r>
        </w:p>
        <w:p w14:paraId="0E9FF76F" w14:textId="77777777" w:rsidR="00CF1E2D" w:rsidRDefault="00000000">
          <w:pPr>
            <w:widowControl w:val="0"/>
            <w:tabs>
              <w:tab w:val="right" w:pos="9360"/>
            </w:tabs>
            <w:spacing w:before="60" w:line="240" w:lineRule="auto"/>
            <w:ind w:left="360"/>
            <w:rPr>
              <w:rFonts w:ascii="Times New Roman" w:eastAsia="Times New Roman" w:hAnsi="Times New Roman" w:cs="Times New Roman"/>
            </w:rPr>
          </w:pPr>
          <w:hyperlink w:anchor="_cxyn9t2vtxxz">
            <w:r>
              <w:rPr>
                <w:rFonts w:ascii="Times New Roman" w:eastAsia="Times New Roman" w:hAnsi="Times New Roman" w:cs="Times New Roman"/>
                <w:color w:val="000000"/>
              </w:rPr>
              <w:t>2.4 References</w:t>
            </w:r>
          </w:hyperlink>
        </w:p>
        <w:p w14:paraId="29E4081C" w14:textId="77777777" w:rsidR="00CF1E2D" w:rsidRDefault="00CF1E2D">
          <w:pPr>
            <w:widowControl w:val="0"/>
            <w:tabs>
              <w:tab w:val="right" w:pos="9360"/>
            </w:tabs>
            <w:spacing w:before="60" w:line="240" w:lineRule="auto"/>
            <w:ind w:left="360"/>
            <w:rPr>
              <w:rFonts w:ascii="Times New Roman" w:eastAsia="Times New Roman" w:hAnsi="Times New Roman" w:cs="Times New Roman"/>
            </w:rPr>
          </w:pPr>
        </w:p>
        <w:p w14:paraId="2C17E926" w14:textId="77777777" w:rsidR="00CF1E2D" w:rsidRDefault="00000000">
          <w:pPr>
            <w:widowControl w:val="0"/>
            <w:tabs>
              <w:tab w:val="right" w:pos="9360"/>
            </w:tabs>
            <w:spacing w:before="60" w:line="240" w:lineRule="auto"/>
            <w:rPr>
              <w:rFonts w:ascii="Times New Roman" w:eastAsia="Times New Roman" w:hAnsi="Times New Roman" w:cs="Times New Roman"/>
              <w:b/>
            </w:rPr>
          </w:pPr>
          <w:r>
            <w:rPr>
              <w:rFonts w:ascii="Times New Roman" w:eastAsia="Times New Roman" w:hAnsi="Times New Roman" w:cs="Times New Roman"/>
              <w:b/>
            </w:rPr>
            <w:t>3</w:t>
          </w:r>
          <w:hyperlink w:anchor="_nw0msnw9xs3h">
            <w:r>
              <w:rPr>
                <w:rFonts w:ascii="Times New Roman" w:eastAsia="Times New Roman" w:hAnsi="Times New Roman" w:cs="Times New Roman"/>
                <w:b/>
              </w:rPr>
              <w:t>. Annotated Bibliography</w:t>
            </w:r>
            <w:r>
              <w:rPr>
                <w:rFonts w:ascii="Times New Roman" w:eastAsia="Times New Roman" w:hAnsi="Times New Roman" w:cs="Times New Roman"/>
                <w:b/>
              </w:rPr>
              <w:tab/>
            </w:r>
          </w:hyperlink>
          <w:r>
            <w:rPr>
              <w:rFonts w:ascii="Times New Roman" w:eastAsia="Times New Roman" w:hAnsi="Times New Roman" w:cs="Times New Roman"/>
              <w:b/>
            </w:rPr>
            <w:t>21</w:t>
          </w:r>
        </w:p>
        <w:p w14:paraId="2C581B84" w14:textId="77777777" w:rsidR="00CF1E2D" w:rsidRDefault="00000000">
          <w:pPr>
            <w:widowControl w:val="0"/>
            <w:tabs>
              <w:tab w:val="right" w:pos="9360"/>
            </w:tabs>
            <w:spacing w:before="60" w:line="240" w:lineRule="auto"/>
            <w:rPr>
              <w:rFonts w:ascii="Times New Roman" w:eastAsia="Times New Roman" w:hAnsi="Times New Roman" w:cs="Times New Roman"/>
              <w:color w:val="000000"/>
            </w:rPr>
          </w:pPr>
          <w:hyperlink w:anchor="_cxyn9t2vtxxz">
            <w:r>
              <w:rPr>
                <w:rFonts w:ascii="Times New Roman" w:eastAsia="Times New Roman" w:hAnsi="Times New Roman" w:cs="Times New Roman"/>
                <w:color w:val="000000"/>
              </w:rPr>
              <w:tab/>
            </w:r>
          </w:hyperlink>
          <w:r>
            <w:fldChar w:fldCharType="end"/>
          </w:r>
        </w:p>
      </w:sdtContent>
    </w:sdt>
    <w:p w14:paraId="4B246015" w14:textId="77777777" w:rsidR="00CF1E2D" w:rsidRDefault="00000000">
      <w:pPr>
        <w:spacing w:line="480" w:lineRule="auto"/>
        <w:jc w:val="both"/>
        <w:rPr>
          <w:rFonts w:ascii="Times New Roman" w:eastAsia="Times New Roman" w:hAnsi="Times New Roman" w:cs="Times New Roman"/>
          <w:sz w:val="24"/>
          <w:szCs w:val="24"/>
        </w:rPr>
      </w:pPr>
      <w:r>
        <w:br w:type="page"/>
      </w:r>
    </w:p>
    <w:p w14:paraId="4D86EA42" w14:textId="77777777" w:rsidR="00CF1E2D" w:rsidRDefault="00000000">
      <w:pPr>
        <w:pStyle w:val="1"/>
        <w:numPr>
          <w:ilvl w:val="0"/>
          <w:numId w:val="5"/>
        </w:numPr>
        <w:spacing w:line="480" w:lineRule="auto"/>
        <w:jc w:val="both"/>
        <w:rPr>
          <w:rFonts w:ascii="Times New Roman" w:eastAsia="Times New Roman" w:hAnsi="Times New Roman" w:cs="Times New Roman"/>
        </w:rPr>
      </w:pPr>
      <w:bookmarkStart w:id="0" w:name="_nw0msnw9xs3h" w:colFirst="0" w:colLast="0"/>
      <w:bookmarkEnd w:id="0"/>
      <w:r>
        <w:rPr>
          <w:rFonts w:ascii="Times New Roman" w:eastAsia="Times New Roman" w:hAnsi="Times New Roman" w:cs="Times New Roman"/>
        </w:rPr>
        <w:lastRenderedPageBreak/>
        <w:t>Abstract</w:t>
      </w:r>
    </w:p>
    <w:p w14:paraId="4BD5BDA4" w14:textId="77777777" w:rsidR="00CF1E2D" w:rsidRDefault="00000000">
      <w:pPr>
        <w:pStyle w:val="3"/>
        <w:spacing w:line="360" w:lineRule="auto"/>
        <w:jc w:val="both"/>
        <w:rPr>
          <w:rFonts w:ascii="Times New Roman" w:eastAsia="Times New Roman" w:hAnsi="Times New Roman" w:cs="Times New Roman"/>
        </w:rPr>
      </w:pPr>
      <w:bookmarkStart w:id="1" w:name="_g69ssk2bnbag" w:colFirst="0" w:colLast="0"/>
      <w:bookmarkEnd w:id="1"/>
      <w:r>
        <w:rPr>
          <w:rFonts w:ascii="Times New Roman" w:eastAsia="Times New Roman" w:hAnsi="Times New Roman" w:cs="Times New Roman"/>
        </w:rPr>
        <w:t xml:space="preserve">Title: </w:t>
      </w:r>
    </w:p>
    <w:p w14:paraId="61D92A59" w14:textId="77777777" w:rsidR="00CF1E2D" w:rsidRDefault="00CF1E2D">
      <w:pPr>
        <w:spacing w:line="360" w:lineRule="auto"/>
        <w:jc w:val="both"/>
        <w:rPr>
          <w:rFonts w:ascii="Times New Roman" w:eastAsia="Times New Roman" w:hAnsi="Times New Roman" w:cs="Times New Roman"/>
          <w:sz w:val="24"/>
          <w:szCs w:val="24"/>
        </w:rPr>
      </w:pPr>
    </w:p>
    <w:p w14:paraId="633A762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Optimising Hong Kong's STEAM Education Market: A Study of Parental Choices in AI-Integrated Programs</w:t>
      </w:r>
    </w:p>
    <w:p w14:paraId="54D32CCD" w14:textId="77777777" w:rsidR="00CF1E2D" w:rsidRDefault="00CF1E2D">
      <w:pPr>
        <w:spacing w:line="360" w:lineRule="auto"/>
        <w:jc w:val="both"/>
        <w:rPr>
          <w:rFonts w:ascii="Times New Roman" w:eastAsia="Times New Roman" w:hAnsi="Times New Roman" w:cs="Times New Roman"/>
          <w:sz w:val="24"/>
          <w:szCs w:val="24"/>
        </w:rPr>
      </w:pPr>
    </w:p>
    <w:p w14:paraId="446A99A0" w14:textId="77777777" w:rsidR="00CF1E2D" w:rsidRDefault="00000000">
      <w:pPr>
        <w:pStyle w:val="3"/>
        <w:spacing w:line="360" w:lineRule="auto"/>
        <w:jc w:val="both"/>
        <w:rPr>
          <w:rFonts w:ascii="Times New Roman" w:eastAsia="Times New Roman" w:hAnsi="Times New Roman" w:cs="Times New Roman"/>
        </w:rPr>
      </w:pPr>
      <w:bookmarkStart w:id="2" w:name="_8nwhh0wss49e" w:colFirst="0" w:colLast="0"/>
      <w:bookmarkEnd w:id="2"/>
      <w:r>
        <w:rPr>
          <w:rFonts w:ascii="Times New Roman" w:eastAsia="Times New Roman" w:hAnsi="Times New Roman" w:cs="Times New Roman"/>
        </w:rPr>
        <w:t>The problem under Investigation:</w:t>
      </w:r>
    </w:p>
    <w:p w14:paraId="48947135" w14:textId="77777777" w:rsidR="00CF1E2D" w:rsidRDefault="00CF1E2D">
      <w:pPr>
        <w:spacing w:line="360" w:lineRule="auto"/>
        <w:jc w:val="both"/>
        <w:rPr>
          <w:rFonts w:ascii="Times New Roman" w:eastAsia="Times New Roman" w:hAnsi="Times New Roman" w:cs="Times New Roman"/>
          <w:sz w:val="24"/>
          <w:szCs w:val="24"/>
        </w:rPr>
      </w:pPr>
    </w:p>
    <w:p w14:paraId="01C7CF2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explores the complex factors influencing parental decision-making in Hong Kong's STEAM (Science, Technology, Engineering, Arts, and Mathematics) education sector, with a specific focus on programs incorporating Artificial Intelligence (AI). The research aims to address the knowledge gap regarding factors driving parental choices and their implications for market optimisation in the AI-enhanced STEAM education sector.</w:t>
      </w:r>
    </w:p>
    <w:p w14:paraId="6963D1C7" w14:textId="77777777" w:rsidR="00CF1E2D" w:rsidRDefault="00CF1E2D">
      <w:pPr>
        <w:spacing w:line="360" w:lineRule="auto"/>
        <w:jc w:val="both"/>
        <w:rPr>
          <w:rFonts w:ascii="Times New Roman" w:eastAsia="Times New Roman" w:hAnsi="Times New Roman" w:cs="Times New Roman"/>
          <w:sz w:val="24"/>
          <w:szCs w:val="24"/>
        </w:rPr>
      </w:pPr>
    </w:p>
    <w:p w14:paraId="3573B6BB" w14:textId="77777777" w:rsidR="00CF1E2D" w:rsidRDefault="00000000">
      <w:pPr>
        <w:pStyle w:val="3"/>
        <w:spacing w:line="360" w:lineRule="auto"/>
        <w:jc w:val="both"/>
        <w:rPr>
          <w:rFonts w:ascii="Times New Roman" w:eastAsia="Times New Roman" w:hAnsi="Times New Roman" w:cs="Times New Roman"/>
        </w:rPr>
      </w:pPr>
      <w:bookmarkStart w:id="3" w:name="_vwjpg9ox0mfk" w:colFirst="0" w:colLast="0"/>
      <w:bookmarkEnd w:id="3"/>
      <w:r>
        <w:rPr>
          <w:rFonts w:ascii="Times New Roman" w:eastAsia="Times New Roman" w:hAnsi="Times New Roman" w:cs="Times New Roman"/>
        </w:rPr>
        <w:t>Research Purpose Statement:</w:t>
      </w:r>
    </w:p>
    <w:p w14:paraId="333602F2" w14:textId="77777777" w:rsidR="00CF1E2D" w:rsidRDefault="00CF1E2D">
      <w:pPr>
        <w:spacing w:line="360" w:lineRule="auto"/>
        <w:jc w:val="both"/>
        <w:rPr>
          <w:rFonts w:ascii="Times New Roman" w:eastAsia="Times New Roman" w:hAnsi="Times New Roman" w:cs="Times New Roman"/>
          <w:sz w:val="24"/>
          <w:szCs w:val="24"/>
        </w:rPr>
      </w:pPr>
    </w:p>
    <w:p w14:paraId="3A1BBDA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goal of this research is to examine the factors that influence how parents make decisions when choosing AI-integrated STEAM extracurricular activities for their children in Hong Kong. It also aims to identify important aspects of market optimization that can improve the attractiveness and effectiveness of these programs. The study aims to offer valuable suggestions for education providers and policymakers to enhance the design, promotion, and accessibility of AI-enhanced STEAM extracurricular activities.</w:t>
      </w:r>
    </w:p>
    <w:p w14:paraId="554885CA" w14:textId="77777777" w:rsidR="00CF1E2D" w:rsidRDefault="00CF1E2D">
      <w:pPr>
        <w:spacing w:line="360" w:lineRule="auto"/>
        <w:jc w:val="both"/>
        <w:rPr>
          <w:rFonts w:ascii="Times New Roman" w:eastAsia="Times New Roman" w:hAnsi="Times New Roman" w:cs="Times New Roman"/>
          <w:sz w:val="24"/>
          <w:szCs w:val="24"/>
        </w:rPr>
      </w:pPr>
    </w:p>
    <w:p w14:paraId="5A417E75" w14:textId="77777777" w:rsidR="00CF1E2D" w:rsidRDefault="00000000">
      <w:pPr>
        <w:spacing w:line="360" w:lineRule="auto"/>
        <w:jc w:val="both"/>
        <w:rPr>
          <w:rFonts w:ascii="Times New Roman" w:eastAsia="Times New Roman" w:hAnsi="Times New Roman" w:cs="Times New Roman"/>
          <w:sz w:val="24"/>
          <w:szCs w:val="24"/>
        </w:rPr>
      </w:pPr>
      <w:r>
        <w:br w:type="page"/>
      </w:r>
    </w:p>
    <w:p w14:paraId="1D9D33CF" w14:textId="77777777" w:rsidR="00CF1E2D" w:rsidRDefault="00000000">
      <w:pPr>
        <w:pStyle w:val="3"/>
        <w:spacing w:line="360" w:lineRule="auto"/>
        <w:jc w:val="both"/>
        <w:rPr>
          <w:rFonts w:ascii="Times New Roman" w:eastAsia="Times New Roman" w:hAnsi="Times New Roman" w:cs="Times New Roman"/>
        </w:rPr>
      </w:pPr>
      <w:bookmarkStart w:id="4" w:name="_5at7k8n5ww4u" w:colFirst="0" w:colLast="0"/>
      <w:bookmarkEnd w:id="4"/>
      <w:r>
        <w:rPr>
          <w:rFonts w:ascii="Times New Roman" w:eastAsia="Times New Roman" w:hAnsi="Times New Roman" w:cs="Times New Roman"/>
        </w:rPr>
        <w:lastRenderedPageBreak/>
        <w:t>Participant Information:</w:t>
      </w:r>
    </w:p>
    <w:p w14:paraId="32D955DB" w14:textId="77777777" w:rsidR="00CF1E2D" w:rsidRDefault="00CF1E2D">
      <w:pPr>
        <w:spacing w:line="360" w:lineRule="auto"/>
        <w:jc w:val="both"/>
        <w:rPr>
          <w:rFonts w:ascii="Times New Roman" w:eastAsia="Times New Roman" w:hAnsi="Times New Roman" w:cs="Times New Roman"/>
          <w:sz w:val="24"/>
          <w:szCs w:val="24"/>
        </w:rPr>
      </w:pPr>
    </w:p>
    <w:p w14:paraId="56BF7B3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involve a diverse group of parents whose children are enrolled in various AI-integrated STEAM extracurricular programs across Hong Kong. Participants will be carefully chosen to ensure a diverse representation of various socioeconomic backgrounds, educational levels, and cultural contexts.</w:t>
      </w:r>
    </w:p>
    <w:p w14:paraId="0AE7B459" w14:textId="77777777" w:rsidR="00CF1E2D" w:rsidRDefault="00CF1E2D">
      <w:pPr>
        <w:spacing w:line="360" w:lineRule="auto"/>
        <w:jc w:val="both"/>
        <w:rPr>
          <w:rFonts w:ascii="Times New Roman" w:eastAsia="Times New Roman" w:hAnsi="Times New Roman" w:cs="Times New Roman"/>
          <w:sz w:val="24"/>
          <w:szCs w:val="24"/>
        </w:rPr>
      </w:pPr>
    </w:p>
    <w:p w14:paraId="75FE5DFF" w14:textId="77777777" w:rsidR="00CF1E2D" w:rsidRDefault="00CF1E2D">
      <w:pPr>
        <w:spacing w:line="360" w:lineRule="auto"/>
        <w:jc w:val="both"/>
        <w:rPr>
          <w:rFonts w:ascii="Times New Roman" w:eastAsia="Times New Roman" w:hAnsi="Times New Roman" w:cs="Times New Roman"/>
          <w:sz w:val="24"/>
          <w:szCs w:val="24"/>
        </w:rPr>
      </w:pPr>
    </w:p>
    <w:p w14:paraId="3A68EB29" w14:textId="77777777" w:rsidR="00CF1E2D" w:rsidRDefault="00000000">
      <w:pPr>
        <w:pStyle w:val="3"/>
        <w:spacing w:line="360" w:lineRule="auto"/>
        <w:jc w:val="both"/>
        <w:rPr>
          <w:rFonts w:ascii="Times New Roman" w:eastAsia="Times New Roman" w:hAnsi="Times New Roman" w:cs="Times New Roman"/>
        </w:rPr>
      </w:pPr>
      <w:bookmarkStart w:id="5" w:name="_huad5xctk96w" w:colFirst="0" w:colLast="0"/>
      <w:bookmarkEnd w:id="5"/>
      <w:r>
        <w:rPr>
          <w:rFonts w:ascii="Times New Roman" w:eastAsia="Times New Roman" w:hAnsi="Times New Roman" w:cs="Times New Roman"/>
        </w:rPr>
        <w:t>Essential Features of the Study Design, Approach, and Methods:</w:t>
      </w:r>
    </w:p>
    <w:p w14:paraId="6612508B" w14:textId="77777777" w:rsidR="00CF1E2D" w:rsidRDefault="00CF1E2D">
      <w:pPr>
        <w:spacing w:line="360" w:lineRule="auto"/>
        <w:jc w:val="both"/>
        <w:rPr>
          <w:rFonts w:ascii="Times New Roman" w:eastAsia="Times New Roman" w:hAnsi="Times New Roman" w:cs="Times New Roman"/>
          <w:sz w:val="24"/>
          <w:szCs w:val="24"/>
        </w:rPr>
      </w:pPr>
    </w:p>
    <w:p w14:paraId="67A8DDB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adopts a pragmatic framework, integrating both quantitative and qualitative methodologies:</w:t>
      </w:r>
    </w:p>
    <w:p w14:paraId="544F24BA" w14:textId="77777777" w:rsidR="00CF1E2D" w:rsidRDefault="00CF1E2D">
      <w:pPr>
        <w:spacing w:line="360" w:lineRule="auto"/>
        <w:jc w:val="both"/>
        <w:rPr>
          <w:rFonts w:ascii="Times New Roman" w:eastAsia="Times New Roman" w:hAnsi="Times New Roman" w:cs="Times New Roman"/>
          <w:sz w:val="24"/>
          <w:szCs w:val="24"/>
        </w:rPr>
      </w:pPr>
    </w:p>
    <w:p w14:paraId="7B40CC95" w14:textId="77777777" w:rsidR="00CF1E2D"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Methods: Extensive surveys will collect data on parental preferences, behaviours, and attitudes towards AI-enhanced STEAM extracurricular activities.</w:t>
      </w:r>
    </w:p>
    <w:p w14:paraId="7FF5683C" w14:textId="77777777" w:rsidR="00CF1E2D"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Methods: In-depth interviews with parents and case studies of specific AI-integrated STEAM programs will provide insights into decision-making processes and program effectiveness.</w:t>
      </w:r>
    </w:p>
    <w:p w14:paraId="04ACCC99" w14:textId="77777777" w:rsidR="00CF1E2D"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Mixed-Methods Integration: Combining quantitative and qualitative data will ensure a comprehensive analysis of the market and inform targeted interventions and strategies.</w:t>
      </w:r>
    </w:p>
    <w:p w14:paraId="7431B45D" w14:textId="77777777" w:rsidR="00CF1E2D" w:rsidRDefault="00CF1E2D">
      <w:pPr>
        <w:spacing w:line="360" w:lineRule="auto"/>
        <w:jc w:val="both"/>
        <w:rPr>
          <w:rFonts w:ascii="Times New Roman" w:eastAsia="Times New Roman" w:hAnsi="Times New Roman" w:cs="Times New Roman"/>
          <w:sz w:val="24"/>
          <w:szCs w:val="24"/>
        </w:rPr>
      </w:pPr>
    </w:p>
    <w:p w14:paraId="31E14920" w14:textId="77777777" w:rsidR="00CF1E2D" w:rsidRDefault="00000000">
      <w:pPr>
        <w:spacing w:line="360" w:lineRule="auto"/>
        <w:jc w:val="both"/>
        <w:rPr>
          <w:rFonts w:ascii="Times New Roman" w:eastAsia="Times New Roman" w:hAnsi="Times New Roman" w:cs="Times New Roman"/>
          <w:sz w:val="24"/>
          <w:szCs w:val="24"/>
        </w:rPr>
      </w:pPr>
      <w:r>
        <w:br w:type="page"/>
      </w:r>
    </w:p>
    <w:p w14:paraId="2ABF157C" w14:textId="77777777" w:rsidR="00CF1E2D" w:rsidRDefault="00000000">
      <w:pPr>
        <w:pStyle w:val="3"/>
        <w:spacing w:line="360" w:lineRule="auto"/>
        <w:jc w:val="both"/>
        <w:rPr>
          <w:rFonts w:ascii="Times New Roman" w:eastAsia="Times New Roman" w:hAnsi="Times New Roman" w:cs="Times New Roman"/>
        </w:rPr>
      </w:pPr>
      <w:bookmarkStart w:id="6" w:name="_ojdpt8de2naq" w:colFirst="0" w:colLast="0"/>
      <w:bookmarkEnd w:id="6"/>
      <w:r>
        <w:rPr>
          <w:rFonts w:ascii="Times New Roman" w:eastAsia="Times New Roman" w:hAnsi="Times New Roman" w:cs="Times New Roman"/>
        </w:rPr>
        <w:lastRenderedPageBreak/>
        <w:t>Significance of the Study:</w:t>
      </w:r>
    </w:p>
    <w:p w14:paraId="7FA80D1C" w14:textId="77777777" w:rsidR="00CF1E2D" w:rsidRDefault="00CF1E2D">
      <w:pPr>
        <w:spacing w:line="360" w:lineRule="auto"/>
        <w:jc w:val="both"/>
        <w:rPr>
          <w:rFonts w:ascii="Times New Roman" w:eastAsia="Times New Roman" w:hAnsi="Times New Roman" w:cs="Times New Roman"/>
          <w:sz w:val="24"/>
          <w:szCs w:val="24"/>
        </w:rPr>
      </w:pPr>
    </w:p>
    <w:p w14:paraId="6D0BEDEB"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is significant for several reasons:</w:t>
      </w:r>
    </w:p>
    <w:p w14:paraId="7DB34F39" w14:textId="77777777" w:rsidR="00CF1E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enhance AI-integrated STEAM education by aligning programs with parental expectations and needs.</w:t>
      </w:r>
    </w:p>
    <w:p w14:paraId="62F32B7A" w14:textId="77777777" w:rsidR="00CF1E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enable market optimisation for education providers, improving competitive positioning and enrolment in AI-enhanced STEAM programs.</w:t>
      </w:r>
    </w:p>
    <w:p w14:paraId="25D7C535" w14:textId="77777777" w:rsidR="00CF1E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provide actionable policy recommendations to improve the accessibility and quality of AI-integrated STEAM extracurricular programs.</w:t>
      </w:r>
    </w:p>
    <w:p w14:paraId="61B54C95" w14:textId="77777777" w:rsidR="00CF1E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contributes to academic knowledge in education management, consumer behaviour, and market optimisation, with a focus on AI in education.</w:t>
      </w:r>
    </w:p>
    <w:p w14:paraId="0347D12A" w14:textId="77777777" w:rsidR="00CF1E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research's practical applications will benefit various stakeholders by enhancing overall educational experiences in Hong Kong's AI-integrated STEAM sector.</w:t>
      </w:r>
    </w:p>
    <w:p w14:paraId="752FF459" w14:textId="77777777" w:rsidR="00CF1E2D" w:rsidRDefault="00CF1E2D">
      <w:pPr>
        <w:spacing w:line="360" w:lineRule="auto"/>
        <w:jc w:val="both"/>
        <w:rPr>
          <w:rFonts w:ascii="Times New Roman" w:eastAsia="Times New Roman" w:hAnsi="Times New Roman" w:cs="Times New Roman"/>
          <w:sz w:val="24"/>
          <w:szCs w:val="24"/>
        </w:rPr>
      </w:pPr>
    </w:p>
    <w:p w14:paraId="4BBDEE19" w14:textId="77777777" w:rsidR="00CF1E2D" w:rsidRDefault="00000000">
      <w:pPr>
        <w:pStyle w:val="3"/>
        <w:spacing w:line="360" w:lineRule="auto"/>
        <w:jc w:val="both"/>
        <w:rPr>
          <w:rFonts w:ascii="Times New Roman" w:eastAsia="Times New Roman" w:hAnsi="Times New Roman" w:cs="Times New Roman"/>
        </w:rPr>
      </w:pPr>
      <w:bookmarkStart w:id="7" w:name="_hj8rlinqmz6o" w:colFirst="0" w:colLast="0"/>
      <w:bookmarkEnd w:id="7"/>
      <w:r>
        <w:rPr>
          <w:rFonts w:ascii="Times New Roman" w:eastAsia="Times New Roman" w:hAnsi="Times New Roman" w:cs="Times New Roman"/>
        </w:rPr>
        <w:t>Limitations in the Qualitative Approach:</w:t>
      </w:r>
    </w:p>
    <w:p w14:paraId="506417E9" w14:textId="77777777" w:rsidR="00CF1E2D" w:rsidRDefault="00CF1E2D">
      <w:pPr>
        <w:spacing w:line="360" w:lineRule="auto"/>
        <w:jc w:val="both"/>
        <w:rPr>
          <w:rFonts w:ascii="Times New Roman" w:eastAsia="Times New Roman" w:hAnsi="Times New Roman" w:cs="Times New Roman"/>
          <w:sz w:val="24"/>
          <w:szCs w:val="24"/>
        </w:rPr>
      </w:pPr>
    </w:p>
    <w:p w14:paraId="2AF635E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qualitative approach offers deep insights, limitations include potential subjectivity, challenges in generalizability, resource-intensive nature, and the need for careful data interpretation.</w:t>
      </w:r>
    </w:p>
    <w:p w14:paraId="427E230D" w14:textId="77777777" w:rsidR="00CF1E2D" w:rsidRDefault="00000000">
      <w:pPr>
        <w:pStyle w:val="3"/>
        <w:spacing w:line="360" w:lineRule="auto"/>
        <w:jc w:val="both"/>
        <w:rPr>
          <w:rFonts w:ascii="Times New Roman" w:eastAsia="Times New Roman" w:hAnsi="Times New Roman" w:cs="Times New Roman"/>
        </w:rPr>
      </w:pPr>
      <w:bookmarkStart w:id="8" w:name="_4w04sewl5mee" w:colFirst="0" w:colLast="0"/>
      <w:bookmarkEnd w:id="8"/>
      <w:r>
        <w:rPr>
          <w:rFonts w:ascii="Times New Roman" w:eastAsia="Times New Roman" w:hAnsi="Times New Roman" w:cs="Times New Roman"/>
        </w:rPr>
        <w:br/>
        <w:t>Keywords:</w:t>
      </w:r>
    </w:p>
    <w:p w14:paraId="7C137E8A" w14:textId="77777777" w:rsidR="00CF1E2D" w:rsidRDefault="00CF1E2D">
      <w:pPr>
        <w:spacing w:line="360" w:lineRule="auto"/>
        <w:jc w:val="both"/>
        <w:rPr>
          <w:rFonts w:ascii="Times New Roman" w:eastAsia="Times New Roman" w:hAnsi="Times New Roman" w:cs="Times New Roman"/>
          <w:sz w:val="24"/>
          <w:szCs w:val="24"/>
        </w:rPr>
      </w:pPr>
    </w:p>
    <w:p w14:paraId="12EA65A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Parental Decision-Making, AI-enhanced STEAM Education, Extracurricular Programs, Market Optimisation, Hong Kong Education Sector, Mixed-Methods Research, Pragmatic Framework.</w:t>
      </w:r>
    </w:p>
    <w:p w14:paraId="454A7256" w14:textId="77777777" w:rsidR="00CF1E2D" w:rsidRDefault="00CF1E2D">
      <w:pPr>
        <w:spacing w:line="360" w:lineRule="auto"/>
        <w:jc w:val="both"/>
        <w:rPr>
          <w:rFonts w:ascii="Times New Roman" w:eastAsia="Times New Roman" w:hAnsi="Times New Roman" w:cs="Times New Roman"/>
          <w:sz w:val="24"/>
          <w:szCs w:val="24"/>
        </w:rPr>
      </w:pPr>
    </w:p>
    <w:p w14:paraId="54112FB2" w14:textId="77777777" w:rsidR="00CF1E2D" w:rsidRDefault="00000000">
      <w:pPr>
        <w:spacing w:line="360" w:lineRule="auto"/>
        <w:jc w:val="both"/>
        <w:rPr>
          <w:rFonts w:ascii="Times New Roman" w:eastAsia="Times New Roman" w:hAnsi="Times New Roman" w:cs="Times New Roman"/>
          <w:sz w:val="24"/>
          <w:szCs w:val="24"/>
        </w:rPr>
      </w:pPr>
      <w:r>
        <w:br w:type="page"/>
      </w:r>
    </w:p>
    <w:p w14:paraId="325FB36E" w14:textId="77777777" w:rsidR="00CF1E2D" w:rsidRDefault="00000000">
      <w:pPr>
        <w:pStyle w:val="a3"/>
        <w:rPr>
          <w:rFonts w:ascii="Times New Roman" w:eastAsia="Times New Roman" w:hAnsi="Times New Roman" w:cs="Times New Roman"/>
        </w:rPr>
      </w:pPr>
      <w:bookmarkStart w:id="9" w:name="_yr7fmmvtw3n0" w:colFirst="0" w:colLast="0"/>
      <w:bookmarkEnd w:id="9"/>
      <w:r>
        <w:rPr>
          <w:rFonts w:ascii="Times New Roman" w:eastAsia="Times New Roman" w:hAnsi="Times New Roman" w:cs="Times New Roman"/>
        </w:rPr>
        <w:lastRenderedPageBreak/>
        <w:t>2. Literature Review</w:t>
      </w:r>
    </w:p>
    <w:p w14:paraId="1C734ECA" w14:textId="77777777" w:rsidR="00CF1E2D" w:rsidRDefault="00000000">
      <w:pPr>
        <w:pStyle w:val="2"/>
        <w:spacing w:line="360" w:lineRule="auto"/>
        <w:jc w:val="both"/>
        <w:rPr>
          <w:rFonts w:ascii="Times New Roman" w:eastAsia="Times New Roman" w:hAnsi="Times New Roman" w:cs="Times New Roman"/>
        </w:rPr>
      </w:pPr>
      <w:bookmarkStart w:id="10" w:name="_ex3ui715t356" w:colFirst="0" w:colLast="0"/>
      <w:bookmarkEnd w:id="10"/>
      <w:r>
        <w:rPr>
          <w:rFonts w:ascii="Times New Roman" w:eastAsia="Times New Roman" w:hAnsi="Times New Roman" w:cs="Times New Roman"/>
        </w:rPr>
        <w:t>2.1 Summary of the Concepts and Theories</w:t>
      </w:r>
    </w:p>
    <w:p w14:paraId="0EA26E55" w14:textId="77777777" w:rsidR="00CF1E2D" w:rsidRDefault="00CF1E2D">
      <w:pPr>
        <w:spacing w:line="360" w:lineRule="auto"/>
        <w:jc w:val="both"/>
        <w:rPr>
          <w:rFonts w:ascii="Times New Roman" w:eastAsia="Times New Roman" w:hAnsi="Times New Roman" w:cs="Times New Roman"/>
          <w:color w:val="0E101A"/>
          <w:sz w:val="24"/>
          <w:szCs w:val="24"/>
        </w:rPr>
      </w:pPr>
    </w:p>
    <w:p w14:paraId="086F6948"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extracurricular activities industry faces unique challenges in sales and marketing, particularly when it comes to parental decision-making. This study examines the challenges and factors influencing parents' choices for their children's extracurricular programs.</w:t>
      </w:r>
    </w:p>
    <w:p w14:paraId="35269DB0" w14:textId="77777777" w:rsidR="00CF1E2D" w:rsidRDefault="00CF1E2D">
      <w:pPr>
        <w:spacing w:line="360" w:lineRule="auto"/>
        <w:jc w:val="both"/>
        <w:rPr>
          <w:rFonts w:ascii="Times New Roman" w:eastAsia="Times New Roman" w:hAnsi="Times New Roman" w:cs="Times New Roman"/>
          <w:color w:val="0E101A"/>
          <w:sz w:val="24"/>
          <w:szCs w:val="24"/>
        </w:rPr>
      </w:pPr>
    </w:p>
    <w:p w14:paraId="257C3B10"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By examining parental consumer behaviour, the research strives to offer crucial insights to organisations operating in this competitive sector. The findings are expected to guide the refinement of marketing approaches and sales techniques, ultimately leading to the following:</w:t>
      </w:r>
    </w:p>
    <w:p w14:paraId="29F28B49" w14:textId="77777777" w:rsidR="00CF1E2D" w:rsidRDefault="00CF1E2D">
      <w:pPr>
        <w:spacing w:line="360" w:lineRule="auto"/>
        <w:jc w:val="both"/>
        <w:rPr>
          <w:rFonts w:ascii="Times New Roman" w:eastAsia="Times New Roman" w:hAnsi="Times New Roman" w:cs="Times New Roman"/>
          <w:color w:val="0E101A"/>
          <w:sz w:val="24"/>
          <w:szCs w:val="24"/>
        </w:rPr>
      </w:pPr>
    </w:p>
    <w:p w14:paraId="58D64B61" w14:textId="77777777" w:rsidR="00CF1E2D"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Improved customer satisfaction</w:t>
      </w:r>
    </w:p>
    <w:p w14:paraId="3016BC9A" w14:textId="77777777" w:rsidR="00CF1E2D"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More effective achievement of organisational goals</w:t>
      </w:r>
    </w:p>
    <w:p w14:paraId="734E3D27" w14:textId="77777777" w:rsidR="00CF1E2D"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Enhanced competitiveness in the evolving extracurricular activities market</w:t>
      </w:r>
    </w:p>
    <w:p w14:paraId="1B8CFFE0" w14:textId="77777777" w:rsidR="00CF1E2D" w:rsidRDefault="00CF1E2D">
      <w:pPr>
        <w:spacing w:line="360" w:lineRule="auto"/>
        <w:jc w:val="both"/>
        <w:rPr>
          <w:rFonts w:ascii="Times New Roman" w:eastAsia="Times New Roman" w:hAnsi="Times New Roman" w:cs="Times New Roman"/>
          <w:color w:val="0E101A"/>
          <w:sz w:val="24"/>
          <w:szCs w:val="24"/>
        </w:rPr>
      </w:pPr>
    </w:p>
    <w:p w14:paraId="0B40EDD9"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exploration aims to equip businesses with the knowledge needed to navigate the complexities of parental preferences and decision-making processes, thereby fostering growth and success in this dynamic industry.</w:t>
      </w:r>
    </w:p>
    <w:p w14:paraId="54F15D85" w14:textId="77777777" w:rsidR="00CF1E2D" w:rsidRDefault="00CF1E2D">
      <w:pPr>
        <w:spacing w:line="360" w:lineRule="auto"/>
        <w:jc w:val="both"/>
        <w:rPr>
          <w:rFonts w:ascii="Times New Roman" w:eastAsia="Times New Roman" w:hAnsi="Times New Roman" w:cs="Times New Roman"/>
          <w:color w:val="0E101A"/>
          <w:sz w:val="24"/>
          <w:szCs w:val="24"/>
        </w:rPr>
      </w:pPr>
    </w:p>
    <w:p w14:paraId="4A9DA04A"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main areas of exploration include:</w:t>
      </w:r>
    </w:p>
    <w:p w14:paraId="1C1B231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1. Understanding Consumer Behaviour</w:t>
      </w:r>
    </w:p>
    <w:p w14:paraId="581D9B31"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2. Market Segmentation Analysis </w:t>
      </w:r>
    </w:p>
    <w:p w14:paraId="02D79A58"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3. Branding and Positioning Strategies</w:t>
      </w:r>
    </w:p>
    <w:p w14:paraId="2448D8E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4. Assessment of Marketing Communications</w:t>
      </w:r>
    </w:p>
    <w:p w14:paraId="19B58224"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5. Evaluation of Pricing Strategies</w:t>
      </w:r>
    </w:p>
    <w:p w14:paraId="634E6B5A"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6. Focus on Customer Relationship Management</w:t>
      </w:r>
    </w:p>
    <w:p w14:paraId="52795873"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7. Competitive Analysis Review</w:t>
      </w:r>
    </w:p>
    <w:p w14:paraId="14431E2E" w14:textId="77777777" w:rsidR="00CF1E2D" w:rsidRDefault="00000000">
      <w:pPr>
        <w:pStyle w:val="3"/>
        <w:spacing w:line="360" w:lineRule="auto"/>
        <w:jc w:val="both"/>
        <w:rPr>
          <w:rFonts w:ascii="Times New Roman" w:eastAsia="Times New Roman" w:hAnsi="Times New Roman" w:cs="Times New Roman"/>
        </w:rPr>
      </w:pPr>
      <w:bookmarkStart w:id="11" w:name="_dga1aep8snnt" w:colFirst="0" w:colLast="0"/>
      <w:bookmarkEnd w:id="11"/>
      <w:r>
        <w:rPr>
          <w:rFonts w:ascii="Times New Roman" w:eastAsia="Times New Roman" w:hAnsi="Times New Roman" w:cs="Times New Roman"/>
        </w:rPr>
        <w:lastRenderedPageBreak/>
        <w:t>2.1.1 Understanding Consumer Behaviour</w:t>
      </w:r>
    </w:p>
    <w:p w14:paraId="6DE97B7D"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study aims to explore the complex interplay of factors shaping parental decisions regarding children's extracurricular programs. It examines the psychological, social, and cultural influences, as well as perceived value, that guide these choices. The study investigates parental aspirations and benchmarks, educational perspectives, personality traits, and the emotional components driving decisions. It also investigates societal and cultural impacts, including customs and status-seeking behaviour. The study analyses the decision-making process, including information gathering, evaluation criteria, and family dynamics influencing choices.</w:t>
      </w:r>
    </w:p>
    <w:p w14:paraId="31334DC4" w14:textId="77777777" w:rsidR="00CF1E2D" w:rsidRDefault="00CF1E2D">
      <w:pPr>
        <w:spacing w:line="360" w:lineRule="auto"/>
        <w:jc w:val="both"/>
        <w:rPr>
          <w:rFonts w:ascii="Times New Roman" w:eastAsia="Times New Roman" w:hAnsi="Times New Roman" w:cs="Times New Roman"/>
          <w:color w:val="0E101A"/>
          <w:sz w:val="24"/>
          <w:szCs w:val="24"/>
        </w:rPr>
      </w:pPr>
    </w:p>
    <w:p w14:paraId="183B2CA6" w14:textId="77777777" w:rsidR="00CF1E2D" w:rsidRDefault="00000000">
      <w:pPr>
        <w:pStyle w:val="3"/>
        <w:spacing w:line="360" w:lineRule="auto"/>
        <w:jc w:val="both"/>
        <w:rPr>
          <w:rFonts w:ascii="Times New Roman" w:eastAsia="Times New Roman" w:hAnsi="Times New Roman" w:cs="Times New Roman"/>
        </w:rPr>
      </w:pPr>
      <w:bookmarkStart w:id="12" w:name="_ptwa1ojal2n8" w:colFirst="0" w:colLast="0"/>
      <w:bookmarkEnd w:id="12"/>
      <w:r>
        <w:rPr>
          <w:rFonts w:ascii="Times New Roman" w:eastAsia="Times New Roman" w:hAnsi="Times New Roman" w:cs="Times New Roman"/>
        </w:rPr>
        <w:t xml:space="preserve">2.1.2 Market Segmentation Analysis </w:t>
      </w:r>
    </w:p>
    <w:p w14:paraId="312CAAFB"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Market segmentation is a useful approach. By dividing parents into groups based on demographics, psychographics, and behaviours, providers can gain important insights. This approach helps understand how factors like age, family income, education level, lifestyle, and usage patterns influence parental choices.</w:t>
      </w:r>
    </w:p>
    <w:p w14:paraId="19A82E63" w14:textId="77777777" w:rsidR="00CF1E2D" w:rsidRDefault="00CF1E2D">
      <w:pPr>
        <w:spacing w:line="360" w:lineRule="auto"/>
        <w:jc w:val="both"/>
        <w:rPr>
          <w:rFonts w:ascii="Times New Roman" w:eastAsia="Times New Roman" w:hAnsi="Times New Roman" w:cs="Times New Roman"/>
          <w:color w:val="0E101A"/>
          <w:sz w:val="24"/>
          <w:szCs w:val="24"/>
        </w:rPr>
      </w:pPr>
    </w:p>
    <w:p w14:paraId="64083F37"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1C1C1C"/>
          <w:sz w:val="24"/>
          <w:szCs w:val="24"/>
          <w:highlight w:val="white"/>
        </w:rPr>
        <w:t xml:space="preserve">It is important for activity providers to understand these differences so that they can customise their offerings to meet the specific needs of different groups, focus on smaller, specialised segments, create custom programs and marketing strategies, and adjust pricing and promotions to fit the characteristics of different segments. </w:t>
      </w:r>
      <w:r>
        <w:rPr>
          <w:rFonts w:ascii="Times New Roman" w:eastAsia="Times New Roman" w:hAnsi="Times New Roman" w:cs="Times New Roman"/>
          <w:color w:val="0E101A"/>
          <w:sz w:val="24"/>
          <w:szCs w:val="24"/>
        </w:rPr>
        <w:t xml:space="preserve">Effective segmentation is crucial for improving customer engagement and strengthening an organisation's competitiveness in this changing market. </w:t>
      </w:r>
    </w:p>
    <w:p w14:paraId="2B6E041D" w14:textId="77777777" w:rsidR="00CF1E2D" w:rsidRDefault="00CF1E2D">
      <w:pPr>
        <w:spacing w:line="360" w:lineRule="auto"/>
        <w:jc w:val="both"/>
        <w:rPr>
          <w:rFonts w:ascii="Times New Roman" w:eastAsia="Times New Roman" w:hAnsi="Times New Roman" w:cs="Times New Roman"/>
          <w:color w:val="0E101A"/>
          <w:sz w:val="24"/>
          <w:szCs w:val="24"/>
        </w:rPr>
      </w:pPr>
    </w:p>
    <w:p w14:paraId="36A08BED" w14:textId="77777777" w:rsidR="00CF1E2D" w:rsidRDefault="00000000">
      <w:pPr>
        <w:pStyle w:val="3"/>
        <w:spacing w:line="360" w:lineRule="auto"/>
        <w:jc w:val="both"/>
        <w:rPr>
          <w:rFonts w:ascii="Times New Roman" w:eastAsia="Times New Roman" w:hAnsi="Times New Roman" w:cs="Times New Roman"/>
        </w:rPr>
      </w:pPr>
      <w:bookmarkStart w:id="13" w:name="_j4xqr9k9oq89" w:colFirst="0" w:colLast="0"/>
      <w:bookmarkEnd w:id="13"/>
      <w:r>
        <w:br w:type="page"/>
      </w:r>
    </w:p>
    <w:p w14:paraId="4824D033" w14:textId="77777777" w:rsidR="00CF1E2D" w:rsidRDefault="00000000">
      <w:pPr>
        <w:pStyle w:val="3"/>
        <w:spacing w:line="360" w:lineRule="auto"/>
        <w:jc w:val="both"/>
        <w:rPr>
          <w:rFonts w:ascii="Times New Roman" w:eastAsia="Times New Roman" w:hAnsi="Times New Roman" w:cs="Times New Roman"/>
        </w:rPr>
      </w:pPr>
      <w:bookmarkStart w:id="14" w:name="_x8rye8kg5d5f" w:colFirst="0" w:colLast="0"/>
      <w:bookmarkEnd w:id="14"/>
      <w:r>
        <w:rPr>
          <w:rFonts w:ascii="Times New Roman" w:eastAsia="Times New Roman" w:hAnsi="Times New Roman" w:cs="Times New Roman"/>
        </w:rPr>
        <w:lastRenderedPageBreak/>
        <w:t>2.1.3 Branding and Positioning Strategies</w:t>
      </w:r>
    </w:p>
    <w:p w14:paraId="47540AD8"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good branding strategies are crucial for capturing the attention of parents. A strong brand with a unique identity can enhance perceived value by building trust and establishing a positive reputation among the target audience. The core of successful positioning involves identifying distinctive opportunities to differentiate one's offerings from competitors by addressing the specific needs of the customer base.</w:t>
      </w:r>
    </w:p>
    <w:p w14:paraId="7E30E3E5" w14:textId="77777777" w:rsidR="00CF1E2D" w:rsidRDefault="00CF1E2D">
      <w:pPr>
        <w:spacing w:line="360" w:lineRule="auto"/>
        <w:jc w:val="both"/>
        <w:rPr>
          <w:rFonts w:ascii="Times New Roman" w:eastAsia="Times New Roman" w:hAnsi="Times New Roman" w:cs="Times New Roman"/>
          <w:color w:val="0E101A"/>
          <w:sz w:val="24"/>
          <w:szCs w:val="24"/>
        </w:rPr>
      </w:pPr>
    </w:p>
    <w:p w14:paraId="34A3C9D2"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Moreover, developing brand equity plays a crucial role in fostering customer loyalty. This is achieved through the creation of emotional connections, the provision of positive experiences, and the maintenance of consistent brand communication. Providers can gain a competitive advantage in both attracting new students and retaining existing ones.</w:t>
      </w:r>
    </w:p>
    <w:p w14:paraId="0A823A0F" w14:textId="77777777" w:rsidR="00CF1E2D" w:rsidRDefault="00CF1E2D">
      <w:pPr>
        <w:spacing w:line="360" w:lineRule="auto"/>
        <w:jc w:val="both"/>
        <w:rPr>
          <w:rFonts w:ascii="Times New Roman" w:eastAsia="Times New Roman" w:hAnsi="Times New Roman" w:cs="Times New Roman"/>
          <w:color w:val="0E101A"/>
          <w:sz w:val="24"/>
          <w:szCs w:val="24"/>
        </w:rPr>
      </w:pPr>
    </w:p>
    <w:p w14:paraId="40FA10D7" w14:textId="77777777" w:rsidR="00CF1E2D" w:rsidRDefault="00000000">
      <w:pPr>
        <w:pStyle w:val="3"/>
        <w:spacing w:line="360" w:lineRule="auto"/>
        <w:jc w:val="both"/>
        <w:rPr>
          <w:rFonts w:ascii="Times New Roman" w:eastAsia="Times New Roman" w:hAnsi="Times New Roman" w:cs="Times New Roman"/>
        </w:rPr>
      </w:pPr>
      <w:bookmarkStart w:id="15" w:name="_lbf5wgq6e7ae" w:colFirst="0" w:colLast="0"/>
      <w:bookmarkEnd w:id="15"/>
      <w:r>
        <w:rPr>
          <w:rFonts w:ascii="Times New Roman" w:eastAsia="Times New Roman" w:hAnsi="Times New Roman" w:cs="Times New Roman"/>
        </w:rPr>
        <w:t>2.1.4 Assessment of Marketing Communications</w:t>
      </w:r>
    </w:p>
    <w:p w14:paraId="5464D53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role of marketing communications in influencing parental decisions about extracurricular activities is essential. The study examines the effectiveness of various communication methods across different regions and demographics, including both traditional and digital strategies. It investigates the impact of television, radio, and print advertising, as well as websites, social media, and email marketing. It also considers the influence of word-of-mouth recommendations and online reviews from other parents.</w:t>
      </w:r>
    </w:p>
    <w:p w14:paraId="3B542892" w14:textId="77777777" w:rsidR="00CF1E2D" w:rsidRDefault="00CF1E2D">
      <w:pPr>
        <w:spacing w:line="360" w:lineRule="auto"/>
        <w:jc w:val="both"/>
        <w:rPr>
          <w:rFonts w:ascii="Times New Roman" w:eastAsia="Times New Roman" w:hAnsi="Times New Roman" w:cs="Times New Roman"/>
          <w:color w:val="0E101A"/>
          <w:sz w:val="24"/>
          <w:szCs w:val="24"/>
        </w:rPr>
      </w:pPr>
    </w:p>
    <w:p w14:paraId="26A54C79"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By analysing different aspects of marketing communications, the study provides insights into effectively reaching and influencing parents in their selection of extracurricular activities. This understanding can help providers craft messages that resonate with parents, potentially improving their market presence and program enrollment.</w:t>
      </w:r>
    </w:p>
    <w:p w14:paraId="2E7372DC" w14:textId="77777777" w:rsidR="00CF1E2D" w:rsidRDefault="00CF1E2D">
      <w:pPr>
        <w:spacing w:line="360" w:lineRule="auto"/>
        <w:jc w:val="both"/>
        <w:rPr>
          <w:rFonts w:ascii="Times New Roman" w:eastAsia="Times New Roman" w:hAnsi="Times New Roman" w:cs="Times New Roman"/>
          <w:color w:val="0E101A"/>
          <w:sz w:val="24"/>
          <w:szCs w:val="24"/>
        </w:rPr>
      </w:pPr>
    </w:p>
    <w:p w14:paraId="1E0A1E8B" w14:textId="77777777" w:rsidR="00CF1E2D" w:rsidRDefault="00000000">
      <w:pPr>
        <w:pStyle w:val="3"/>
        <w:spacing w:line="360" w:lineRule="auto"/>
        <w:jc w:val="both"/>
        <w:rPr>
          <w:rFonts w:ascii="Times New Roman" w:eastAsia="Times New Roman" w:hAnsi="Times New Roman" w:cs="Times New Roman"/>
        </w:rPr>
      </w:pPr>
      <w:bookmarkStart w:id="16" w:name="_ar9fkpd6frsk" w:colFirst="0" w:colLast="0"/>
      <w:bookmarkEnd w:id="16"/>
      <w:r>
        <w:br w:type="page"/>
      </w:r>
    </w:p>
    <w:p w14:paraId="05426BF4" w14:textId="77777777" w:rsidR="00CF1E2D" w:rsidRDefault="00000000">
      <w:pPr>
        <w:pStyle w:val="3"/>
        <w:spacing w:line="360" w:lineRule="auto"/>
        <w:jc w:val="both"/>
        <w:rPr>
          <w:rFonts w:ascii="Times New Roman" w:eastAsia="Times New Roman" w:hAnsi="Times New Roman" w:cs="Times New Roman"/>
        </w:rPr>
      </w:pPr>
      <w:bookmarkStart w:id="17" w:name="_spp1w1g7rh6j" w:colFirst="0" w:colLast="0"/>
      <w:bookmarkEnd w:id="17"/>
      <w:r>
        <w:rPr>
          <w:rFonts w:ascii="Times New Roman" w:eastAsia="Times New Roman" w:hAnsi="Times New Roman" w:cs="Times New Roman"/>
        </w:rPr>
        <w:lastRenderedPageBreak/>
        <w:t>2.1.5 Evaluation of Pricing Strategies</w:t>
      </w:r>
    </w:p>
    <w:p w14:paraId="60341E9E"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study examines pricing strategies for extracurricular activities, reviewing models such as hourly rates, monthly fees, and package deals. It explores dynamic pricing based on demand and seasonality, pricing tiers for various budgets, and how pricing affects perceptions of quality and value. The study also considers non-price factors like convenience and reputation in parental decision-making.</w:t>
      </w:r>
    </w:p>
    <w:p w14:paraId="4A878F54" w14:textId="77777777" w:rsidR="00CF1E2D" w:rsidRDefault="00CF1E2D">
      <w:pPr>
        <w:spacing w:line="360" w:lineRule="auto"/>
        <w:jc w:val="both"/>
        <w:rPr>
          <w:rFonts w:ascii="Times New Roman" w:eastAsia="Times New Roman" w:hAnsi="Times New Roman" w:cs="Times New Roman"/>
          <w:color w:val="0E101A"/>
          <w:sz w:val="24"/>
          <w:szCs w:val="24"/>
        </w:rPr>
      </w:pPr>
    </w:p>
    <w:p w14:paraId="4D9273FD"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study investigates discount strategies for price-sensitive parents, activity bundling, and tiered pricing options for different engagement levels. By analysing these approaches, the study aims to provide insights into effective pricing strategies for extracurricular activity providers. These findings can inform pricing decisions to improve market positioning, customer satisfaction, and financial performance.</w:t>
      </w:r>
    </w:p>
    <w:p w14:paraId="06788F06" w14:textId="77777777" w:rsidR="00CF1E2D" w:rsidRDefault="00CF1E2D">
      <w:pPr>
        <w:spacing w:line="360" w:lineRule="auto"/>
        <w:jc w:val="both"/>
        <w:rPr>
          <w:rFonts w:ascii="Times New Roman" w:eastAsia="Times New Roman" w:hAnsi="Times New Roman" w:cs="Times New Roman"/>
          <w:color w:val="0E101A"/>
          <w:sz w:val="24"/>
          <w:szCs w:val="24"/>
        </w:rPr>
      </w:pPr>
    </w:p>
    <w:p w14:paraId="5A13920D" w14:textId="77777777" w:rsidR="00CF1E2D" w:rsidRDefault="00000000">
      <w:pPr>
        <w:pStyle w:val="3"/>
        <w:spacing w:line="360" w:lineRule="auto"/>
        <w:jc w:val="both"/>
        <w:rPr>
          <w:rFonts w:ascii="Times New Roman" w:eastAsia="Times New Roman" w:hAnsi="Times New Roman" w:cs="Times New Roman"/>
        </w:rPr>
      </w:pPr>
      <w:bookmarkStart w:id="18" w:name="_pgrafppaepow" w:colFirst="0" w:colLast="0"/>
      <w:bookmarkEnd w:id="18"/>
      <w:r>
        <w:rPr>
          <w:rFonts w:ascii="Times New Roman" w:eastAsia="Times New Roman" w:hAnsi="Times New Roman" w:cs="Times New Roman"/>
        </w:rPr>
        <w:t>2.1.6 Focus on Customer Relationship Management</w:t>
      </w:r>
    </w:p>
    <w:p w14:paraId="3BD6D164"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Customer Relationship Management (CRM) is essential in developing lasting connections with clients in the sector of extracurricular activities. It focuses on building trust, fostering open communication, and creating emotional bonds that enhance long-term loyalty and advocacy. CRM strategies use customer data to personalise interactions and tailor offerings. They also implement feedback mechanisms to assess satisfaction and identify areas for improvement.</w:t>
      </w:r>
    </w:p>
    <w:p w14:paraId="3B2BCCE9" w14:textId="77777777" w:rsidR="00CF1E2D" w:rsidRDefault="00CF1E2D">
      <w:pPr>
        <w:spacing w:line="360" w:lineRule="auto"/>
        <w:jc w:val="both"/>
        <w:rPr>
          <w:rFonts w:ascii="Times New Roman" w:eastAsia="Times New Roman" w:hAnsi="Times New Roman" w:cs="Times New Roman"/>
          <w:color w:val="0E101A"/>
          <w:sz w:val="24"/>
          <w:szCs w:val="24"/>
        </w:rPr>
      </w:pPr>
    </w:p>
    <w:p w14:paraId="1A60C97C"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Retention strategies, including loyalty programs and ongoing engagement initiatives, are key components of CRM. When effectively implemented, these approaches improve customer satisfaction, engagement, and retention, driving business growth and profitability. A comprehensive CRM approach addresses all stages of the customer lifecycle, creating enduring value and mutually beneficial relationships. It enables providers to understand their clients better and respond to changing preferences. </w:t>
      </w:r>
    </w:p>
    <w:p w14:paraId="0E1E4E6D" w14:textId="77777777" w:rsidR="00CF1E2D" w:rsidRDefault="00CF1E2D">
      <w:pPr>
        <w:spacing w:line="360" w:lineRule="auto"/>
        <w:jc w:val="both"/>
        <w:rPr>
          <w:rFonts w:ascii="Times New Roman" w:eastAsia="Times New Roman" w:hAnsi="Times New Roman" w:cs="Times New Roman"/>
          <w:color w:val="0E101A"/>
          <w:sz w:val="24"/>
          <w:szCs w:val="24"/>
        </w:rPr>
      </w:pPr>
    </w:p>
    <w:p w14:paraId="3BB35DCD" w14:textId="77777777" w:rsidR="00CF1E2D" w:rsidRDefault="00000000">
      <w:pPr>
        <w:spacing w:line="360" w:lineRule="auto"/>
        <w:jc w:val="both"/>
        <w:rPr>
          <w:rFonts w:ascii="Times New Roman" w:eastAsia="Times New Roman" w:hAnsi="Times New Roman" w:cs="Times New Roman"/>
          <w:color w:val="0E101A"/>
          <w:sz w:val="24"/>
          <w:szCs w:val="24"/>
        </w:rPr>
      </w:pPr>
      <w:r>
        <w:br w:type="page"/>
      </w:r>
    </w:p>
    <w:p w14:paraId="6B224FC5" w14:textId="77777777" w:rsidR="00CF1E2D" w:rsidRDefault="00000000">
      <w:pPr>
        <w:pStyle w:val="3"/>
        <w:spacing w:line="360" w:lineRule="auto"/>
        <w:jc w:val="both"/>
        <w:rPr>
          <w:rFonts w:ascii="Times New Roman" w:eastAsia="Times New Roman" w:hAnsi="Times New Roman" w:cs="Times New Roman"/>
        </w:rPr>
      </w:pPr>
      <w:bookmarkStart w:id="19" w:name="_45mvbldeucyh" w:colFirst="0" w:colLast="0"/>
      <w:bookmarkEnd w:id="19"/>
      <w:r>
        <w:rPr>
          <w:rFonts w:ascii="Times New Roman" w:eastAsia="Times New Roman" w:hAnsi="Times New Roman" w:cs="Times New Roman"/>
        </w:rPr>
        <w:lastRenderedPageBreak/>
        <w:t>2.1.7 Competitive Analysis Review</w:t>
      </w:r>
    </w:p>
    <w:p w14:paraId="1E5B31A7"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 comprehensive competitive analysis is crucial for success in the extracurricular activities market. This process involves identifying direct and indirect competitors, evaluating their strengths, weaknesses, and market positioning, conducting market research, studying industry reports and competitor websites, and analysing customer feedback.</w:t>
      </w:r>
    </w:p>
    <w:p w14:paraId="2B8C9B87" w14:textId="77777777" w:rsidR="00CF1E2D" w:rsidRDefault="00CF1E2D">
      <w:pPr>
        <w:spacing w:line="360" w:lineRule="auto"/>
        <w:jc w:val="both"/>
        <w:rPr>
          <w:rFonts w:ascii="Times New Roman" w:eastAsia="Times New Roman" w:hAnsi="Times New Roman" w:cs="Times New Roman"/>
          <w:color w:val="0E101A"/>
          <w:sz w:val="24"/>
          <w:szCs w:val="24"/>
        </w:rPr>
      </w:pPr>
    </w:p>
    <w:p w14:paraId="4C3744F0"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 differentiate offerings, providers must identify gaps in the competitive landscape, create unique value propositions, continuously monitor competitors and adapt to changes. Michael Porter's value chain model offers a valuable framework for analysing value creation. This analytical approach enables organisations to understand their market position, identify opportunities for differentiation, and develop effective strategies. By integrating Porter's value chain model, providers can pinpoint areas where they can create unique value for customers, potentially leading to sustainable competitive advantages.</w:t>
      </w:r>
    </w:p>
    <w:p w14:paraId="7F5C7C2E" w14:textId="77777777" w:rsidR="00CF1E2D" w:rsidRDefault="00CF1E2D">
      <w:pPr>
        <w:spacing w:line="360" w:lineRule="auto"/>
        <w:jc w:val="both"/>
        <w:rPr>
          <w:rFonts w:ascii="Times New Roman" w:eastAsia="Times New Roman" w:hAnsi="Times New Roman" w:cs="Times New Roman"/>
          <w:sz w:val="24"/>
          <w:szCs w:val="24"/>
        </w:rPr>
      </w:pPr>
    </w:p>
    <w:p w14:paraId="1A14FE7A" w14:textId="77777777" w:rsidR="00CF1E2D" w:rsidRDefault="00CF1E2D">
      <w:pPr>
        <w:spacing w:line="360" w:lineRule="auto"/>
        <w:jc w:val="both"/>
        <w:rPr>
          <w:rFonts w:ascii="Times New Roman" w:eastAsia="Times New Roman" w:hAnsi="Times New Roman" w:cs="Times New Roman"/>
          <w:sz w:val="24"/>
          <w:szCs w:val="24"/>
        </w:rPr>
      </w:pPr>
    </w:p>
    <w:p w14:paraId="32735B46" w14:textId="77777777" w:rsidR="00CF1E2D" w:rsidRDefault="00CF1E2D">
      <w:pPr>
        <w:spacing w:line="360" w:lineRule="auto"/>
        <w:jc w:val="both"/>
        <w:rPr>
          <w:rFonts w:ascii="Times New Roman" w:eastAsia="Times New Roman" w:hAnsi="Times New Roman" w:cs="Times New Roman"/>
          <w:sz w:val="24"/>
          <w:szCs w:val="24"/>
        </w:rPr>
      </w:pPr>
    </w:p>
    <w:p w14:paraId="0E8154D0" w14:textId="77777777" w:rsidR="00CF1E2D" w:rsidRDefault="00CF1E2D">
      <w:pPr>
        <w:spacing w:line="360" w:lineRule="auto"/>
        <w:jc w:val="both"/>
        <w:rPr>
          <w:rFonts w:ascii="Times New Roman" w:eastAsia="Times New Roman" w:hAnsi="Times New Roman" w:cs="Times New Roman"/>
          <w:sz w:val="24"/>
          <w:szCs w:val="24"/>
        </w:rPr>
      </w:pPr>
    </w:p>
    <w:p w14:paraId="129F74E0" w14:textId="77777777" w:rsidR="00CF1E2D" w:rsidRDefault="00000000">
      <w:pPr>
        <w:spacing w:line="360" w:lineRule="auto"/>
        <w:jc w:val="both"/>
        <w:rPr>
          <w:rFonts w:ascii="Times New Roman" w:eastAsia="Times New Roman" w:hAnsi="Times New Roman" w:cs="Times New Roman"/>
          <w:sz w:val="24"/>
          <w:szCs w:val="24"/>
          <w:highlight w:val="yellow"/>
        </w:rPr>
      </w:pPr>
      <w:r>
        <w:br w:type="page"/>
      </w:r>
    </w:p>
    <w:p w14:paraId="0A536987" w14:textId="77777777" w:rsidR="00CF1E2D" w:rsidRDefault="00000000">
      <w:pPr>
        <w:pStyle w:val="2"/>
        <w:spacing w:line="360" w:lineRule="auto"/>
        <w:jc w:val="both"/>
        <w:rPr>
          <w:rFonts w:ascii="Times New Roman" w:eastAsia="Times New Roman" w:hAnsi="Times New Roman" w:cs="Times New Roman"/>
        </w:rPr>
      </w:pPr>
      <w:bookmarkStart w:id="20" w:name="_mjwo7gdtymxg" w:colFirst="0" w:colLast="0"/>
      <w:bookmarkEnd w:id="20"/>
      <w:r>
        <w:rPr>
          <w:rFonts w:ascii="Times New Roman" w:eastAsia="Times New Roman" w:hAnsi="Times New Roman" w:cs="Times New Roman"/>
        </w:rPr>
        <w:lastRenderedPageBreak/>
        <w:t>2.2 Major Concepts and Theories in the Existing Literature</w:t>
      </w:r>
    </w:p>
    <w:p w14:paraId="3D0423B4" w14:textId="77777777" w:rsidR="00CF1E2D" w:rsidRDefault="00000000">
      <w:pPr>
        <w:pStyle w:val="3"/>
        <w:spacing w:line="360" w:lineRule="auto"/>
        <w:jc w:val="both"/>
        <w:rPr>
          <w:rFonts w:ascii="Times New Roman" w:eastAsia="Times New Roman" w:hAnsi="Times New Roman" w:cs="Times New Roman"/>
        </w:rPr>
      </w:pPr>
      <w:bookmarkStart w:id="21" w:name="_on15hel7t0qh" w:colFirst="0" w:colLast="0"/>
      <w:bookmarkEnd w:id="21"/>
      <w:r>
        <w:rPr>
          <w:rFonts w:ascii="Times New Roman" w:eastAsia="Times New Roman" w:hAnsi="Times New Roman" w:cs="Times New Roman"/>
        </w:rPr>
        <w:t>2.2.1 Consumer Behavior</w:t>
      </w:r>
    </w:p>
    <w:p w14:paraId="62DA8B0D"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Consumer decision-making is a complex process influenced by various internal and external factors. Many studies have explored how characteristics of the task, individual differences, and environmental factors affect purchasing behaviour. In 1983, Punj and Stewart suggested a framework that emphasised the importance of examining both task and individual variables to better predict consumer behaviour outcomes. Their research argued that considering the interaction effects between these variables could provide a more comprehensive explanation of the variance in consumer decision-making compared to examining single factors alone. Although empirical demonstrations of such interactions were relatively uncommon at the time, their work laid the foundation for future research in this area. Punj and Stewart's classification of task dimensions, including factors like importance and perceived risk, helped consolidate existing knowledge. However, their framework also highlighted areas needing further investigation, such as the role of cooperation in group decision-making.</w:t>
      </w:r>
    </w:p>
    <w:p w14:paraId="751569AE" w14:textId="77777777" w:rsidR="00CF1E2D" w:rsidRDefault="00CF1E2D">
      <w:pPr>
        <w:spacing w:line="360" w:lineRule="auto"/>
        <w:jc w:val="both"/>
        <w:rPr>
          <w:rFonts w:ascii="Times New Roman" w:eastAsia="Times New Roman" w:hAnsi="Times New Roman" w:cs="Times New Roman"/>
          <w:color w:val="0E101A"/>
          <w:sz w:val="24"/>
          <w:szCs w:val="24"/>
        </w:rPr>
      </w:pPr>
    </w:p>
    <w:p w14:paraId="518430FF"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Hoyer and Cobb-Walgren (1988) proposed that decision processes vary across product categories due to differing task environments, with product involvement serving as a moderating variable. Their empirical study showed that consumers allocate more attention to product attributes and employ more comprehensive decision-making processes when dealing with high-involvement products compared to low-involvement alternatives. The study emphasised the context-dependent nature of consumer decision-making and the importance of considering product-specific factors in analysing and predicting consumer behaviour.</w:t>
      </w:r>
    </w:p>
    <w:p w14:paraId="575878FB" w14:textId="77777777" w:rsidR="00CF1E2D" w:rsidRDefault="00CF1E2D">
      <w:pPr>
        <w:spacing w:line="360" w:lineRule="auto"/>
        <w:jc w:val="both"/>
        <w:rPr>
          <w:rFonts w:ascii="Times New Roman" w:eastAsia="Times New Roman" w:hAnsi="Times New Roman" w:cs="Times New Roman"/>
          <w:color w:val="0E101A"/>
          <w:sz w:val="24"/>
          <w:szCs w:val="24"/>
        </w:rPr>
      </w:pPr>
    </w:p>
    <w:p w14:paraId="782626EC"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Recent research by Poplavskaya et al. (2018) focused on how cultural factors and parental orientations influence decision-making regarding extracurricular activities for children in Russia. The study found that Russian parents rely heavily on personal networks for information and that cultural capital plays a significant role in decision-making. The research suggests that a nuanced, culturally sensitive approach is needed to understand consumer behaviour in educational and extracurricular choices. The findings have implications for marketing strategies and policy interventions in this area.</w:t>
      </w:r>
    </w:p>
    <w:p w14:paraId="6AB02198" w14:textId="77777777" w:rsidR="00CF1E2D" w:rsidRDefault="00000000">
      <w:pPr>
        <w:pStyle w:val="3"/>
        <w:spacing w:line="360" w:lineRule="auto"/>
        <w:jc w:val="both"/>
        <w:rPr>
          <w:rFonts w:ascii="Times New Roman" w:eastAsia="Times New Roman" w:hAnsi="Times New Roman" w:cs="Times New Roman"/>
        </w:rPr>
      </w:pPr>
      <w:bookmarkStart w:id="22" w:name="_c2z9uvkqnhu4" w:colFirst="0" w:colLast="0"/>
      <w:bookmarkEnd w:id="22"/>
      <w:r>
        <w:rPr>
          <w:rFonts w:ascii="Times New Roman" w:eastAsia="Times New Roman" w:hAnsi="Times New Roman" w:cs="Times New Roman"/>
        </w:rPr>
        <w:lastRenderedPageBreak/>
        <w:t>2.2.2 Market Segmentation</w:t>
      </w:r>
    </w:p>
    <w:p w14:paraId="0205B9C9"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Market segmentation represents a critical strategic approach for providers of extracurricular activities seeking to engage diverse groups of parents and children effectively. While marketing initiatives may present a more readily implementable option compared to substantive curricular modifications, recent research by Greaves et al. (2023) suggests that an overemphasis on marketing efforts without concurrent program improvements may prove ineffective in fostering meaningful engagement and satisfaction among participants. This finding underscores the importance of a balanced approach that integrates both marketing strategies and tangible enhancements to program quality.</w:t>
      </w:r>
    </w:p>
    <w:p w14:paraId="30B50746" w14:textId="77777777" w:rsidR="00CF1E2D" w:rsidRDefault="00CF1E2D">
      <w:pPr>
        <w:spacing w:line="360" w:lineRule="auto"/>
        <w:jc w:val="both"/>
        <w:rPr>
          <w:rFonts w:ascii="Times New Roman" w:eastAsia="Times New Roman" w:hAnsi="Times New Roman" w:cs="Times New Roman"/>
          <w:color w:val="0E101A"/>
          <w:sz w:val="24"/>
          <w:szCs w:val="24"/>
        </w:rPr>
      </w:pPr>
    </w:p>
    <w:p w14:paraId="2BE4C533"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Advanced conjoint analysis represents a sophisticated methodological approach for elucidating the complex interplay of attributes that influence consumer decision-making processes. This analytical technique, as expounded by Green and Krieger (1991), facilitates the decomposition of consumer preferences into constituent parts, thereby enabling researchers and practitioners to ascertain the relative importance and utility of individual product or service attributes. The application of conjoint analysis in the context of extracurricular activities offers providers an understanding of how various features and characteristics contribute to overall consumer choice.</w:t>
      </w:r>
    </w:p>
    <w:p w14:paraId="026E0BEC" w14:textId="77777777" w:rsidR="00CF1E2D" w:rsidRDefault="00CF1E2D">
      <w:pPr>
        <w:spacing w:line="360" w:lineRule="auto"/>
        <w:jc w:val="both"/>
        <w:rPr>
          <w:rFonts w:ascii="Times New Roman" w:eastAsia="Times New Roman" w:hAnsi="Times New Roman" w:cs="Times New Roman"/>
          <w:color w:val="0E101A"/>
          <w:sz w:val="24"/>
          <w:szCs w:val="24"/>
        </w:rPr>
      </w:pPr>
    </w:p>
    <w:p w14:paraId="52CC20C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Market segmentation is an essential strategic tool for addressing varied consumer needs, boosting competitiveness, and enhancing brand awareness, loyalty, and communication. When implemented effectively, this approach forms the basis for successful targeting and helps in gaining a deeper understanding of consumer relationships. According to Singh (2013), activity providers can enhance their targeting efforts by utilising the inherent benefits of market segmentation.</w:t>
      </w:r>
    </w:p>
    <w:p w14:paraId="7C11FCB5" w14:textId="77777777" w:rsidR="00CF1E2D" w:rsidRDefault="00CF1E2D">
      <w:pPr>
        <w:spacing w:line="360" w:lineRule="auto"/>
        <w:jc w:val="both"/>
        <w:rPr>
          <w:rFonts w:ascii="Times New Roman" w:eastAsia="Times New Roman" w:hAnsi="Times New Roman" w:cs="Times New Roman"/>
          <w:color w:val="0E101A"/>
          <w:sz w:val="24"/>
          <w:szCs w:val="24"/>
        </w:rPr>
      </w:pPr>
    </w:p>
    <w:p w14:paraId="5918A61C"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Kara and Kaynak (1997) argue that well-developed segmentation strategies improve customer retention by offering tailored products at scale, surpassing traditional marketing methods. Although the initial implementation may lead to higher costs, the overall marketing efficiency achieved through segmentation can exceed that of competitors who stick to conventional approaches.</w:t>
      </w:r>
    </w:p>
    <w:p w14:paraId="21A971D7" w14:textId="77777777" w:rsidR="00CF1E2D" w:rsidRDefault="00000000">
      <w:pPr>
        <w:pStyle w:val="3"/>
        <w:spacing w:line="360" w:lineRule="auto"/>
        <w:jc w:val="both"/>
        <w:rPr>
          <w:rFonts w:ascii="Times New Roman" w:eastAsia="Times New Roman" w:hAnsi="Times New Roman" w:cs="Times New Roman"/>
        </w:rPr>
      </w:pPr>
      <w:bookmarkStart w:id="23" w:name="_nhsxx4fahu79" w:colFirst="0" w:colLast="0"/>
      <w:bookmarkEnd w:id="23"/>
      <w:r>
        <w:rPr>
          <w:rFonts w:ascii="Times New Roman" w:eastAsia="Times New Roman" w:hAnsi="Times New Roman" w:cs="Times New Roman"/>
        </w:rPr>
        <w:lastRenderedPageBreak/>
        <w:t>2.2.3 Branding and Positioning</w:t>
      </w:r>
    </w:p>
    <w:p w14:paraId="7C810DA2"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Establishing solid and unique brands in extracurricular activities is crucial, as these brands significantly impact parental decision-making. Aaker (1996) suggests that activity providers can better justify investments in brand development by conducting thorough assessments of brand strength, which should include financial and asset-centric perspectives, such as brand recognition and perceived quality.</w:t>
      </w:r>
    </w:p>
    <w:p w14:paraId="7DF4F975" w14:textId="77777777" w:rsidR="00CF1E2D" w:rsidRDefault="00CF1E2D">
      <w:pPr>
        <w:spacing w:line="360" w:lineRule="auto"/>
        <w:jc w:val="both"/>
        <w:rPr>
          <w:rFonts w:ascii="Times New Roman" w:eastAsia="Times New Roman" w:hAnsi="Times New Roman" w:cs="Times New Roman"/>
          <w:color w:val="0E101A"/>
          <w:sz w:val="24"/>
          <w:szCs w:val="24"/>
        </w:rPr>
      </w:pPr>
    </w:p>
    <w:p w14:paraId="3A12F637"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Parental decision-making in this context is often influenced by the values and beliefs associated with extracurricular activity brands. While earlier models focused primarily on skill development, Baalbaki (2012) introduces a novel framework that highlights brand dimensions deemed vital to brand equity by consumers, including quality, preference, social influence, sustainability, and leadership. This framework suggests that providers should align their brand identity and communication strategies with parental aspirations for child development.</w:t>
      </w:r>
    </w:p>
    <w:p w14:paraId="047C6770" w14:textId="77777777" w:rsidR="00CF1E2D" w:rsidRDefault="00CF1E2D">
      <w:pPr>
        <w:spacing w:line="360" w:lineRule="auto"/>
        <w:jc w:val="both"/>
        <w:rPr>
          <w:rFonts w:ascii="Times New Roman" w:eastAsia="Times New Roman" w:hAnsi="Times New Roman" w:cs="Times New Roman"/>
          <w:color w:val="0E101A"/>
          <w:sz w:val="24"/>
          <w:szCs w:val="24"/>
        </w:rPr>
      </w:pPr>
    </w:p>
    <w:p w14:paraId="3398E3CB"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development of strong brands in the extracurricular activities sector requires a multifaceted approach that considers financial metrics, consumer perceptions, and emotional connections. By leveraging these insights, providers can create more compelling brand propositions that resonate with parents and contribute to long-term success in this competitive market.</w:t>
      </w:r>
    </w:p>
    <w:p w14:paraId="0B67ADC1" w14:textId="77777777" w:rsidR="00CF1E2D" w:rsidRDefault="00CF1E2D">
      <w:pPr>
        <w:spacing w:line="360" w:lineRule="auto"/>
        <w:jc w:val="both"/>
        <w:rPr>
          <w:rFonts w:ascii="Times New Roman" w:eastAsia="Times New Roman" w:hAnsi="Times New Roman" w:cs="Times New Roman"/>
          <w:color w:val="0E101A"/>
          <w:sz w:val="24"/>
          <w:szCs w:val="24"/>
        </w:rPr>
      </w:pPr>
    </w:p>
    <w:p w14:paraId="238171C6" w14:textId="77777777" w:rsidR="00CF1E2D" w:rsidRDefault="00000000">
      <w:pPr>
        <w:pStyle w:val="3"/>
        <w:spacing w:line="360" w:lineRule="auto"/>
        <w:jc w:val="both"/>
        <w:rPr>
          <w:rFonts w:ascii="Times New Roman" w:eastAsia="Times New Roman" w:hAnsi="Times New Roman" w:cs="Times New Roman"/>
        </w:rPr>
      </w:pPr>
      <w:bookmarkStart w:id="24" w:name="_93cisc7g6q0e" w:colFirst="0" w:colLast="0"/>
      <w:bookmarkEnd w:id="24"/>
      <w:r>
        <w:br w:type="page"/>
      </w:r>
    </w:p>
    <w:p w14:paraId="37F6764C" w14:textId="77777777" w:rsidR="00CF1E2D" w:rsidRDefault="00000000">
      <w:pPr>
        <w:pStyle w:val="3"/>
        <w:spacing w:line="360" w:lineRule="auto"/>
        <w:jc w:val="both"/>
        <w:rPr>
          <w:rFonts w:ascii="Times New Roman" w:eastAsia="Times New Roman" w:hAnsi="Times New Roman" w:cs="Times New Roman"/>
        </w:rPr>
      </w:pPr>
      <w:bookmarkStart w:id="25" w:name="_j7b81cxnwcxu" w:colFirst="0" w:colLast="0"/>
      <w:bookmarkEnd w:id="25"/>
      <w:r>
        <w:rPr>
          <w:rFonts w:ascii="Times New Roman" w:eastAsia="Times New Roman" w:hAnsi="Times New Roman" w:cs="Times New Roman"/>
        </w:rPr>
        <w:lastRenderedPageBreak/>
        <w:t>2.2.4 Marketing Communications</w:t>
      </w:r>
    </w:p>
    <w:p w14:paraId="05251263"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Contemporary marketing strategies for reaching and influencing parents are evolving beyond traditional advertising methods as consumers increasingly engage in online information exchange. This shift underscores the growing significance of digital strategy and word-of-mouth marketing in parental decision-making processes.</w:t>
      </w:r>
    </w:p>
    <w:p w14:paraId="7A3F0C18" w14:textId="77777777" w:rsidR="00CF1E2D" w:rsidRDefault="00CF1E2D">
      <w:pPr>
        <w:spacing w:line="360" w:lineRule="auto"/>
        <w:jc w:val="both"/>
        <w:rPr>
          <w:rFonts w:ascii="Times New Roman" w:eastAsia="Times New Roman" w:hAnsi="Times New Roman" w:cs="Times New Roman"/>
          <w:color w:val="0E101A"/>
          <w:sz w:val="24"/>
          <w:szCs w:val="24"/>
        </w:rPr>
      </w:pPr>
    </w:p>
    <w:p w14:paraId="5FBFF46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Empirical research demonstrates that the pervasive adoption of social media platforms presents a substantial opportunity for businesses to connect with parents. Studies indicate that disseminating additional product information via social networks can amplify the impact on purchasing decisions, with many consumers acknowledging the influence of these platforms in their decision-making processes (Bashar et al., 2012).</w:t>
      </w:r>
    </w:p>
    <w:p w14:paraId="620FB44F" w14:textId="77777777" w:rsidR="00CF1E2D" w:rsidRDefault="00CF1E2D">
      <w:pPr>
        <w:spacing w:line="360" w:lineRule="auto"/>
        <w:jc w:val="both"/>
        <w:rPr>
          <w:rFonts w:ascii="Times New Roman" w:eastAsia="Times New Roman" w:hAnsi="Times New Roman" w:cs="Times New Roman"/>
          <w:color w:val="0E101A"/>
          <w:sz w:val="24"/>
          <w:szCs w:val="24"/>
        </w:rPr>
      </w:pPr>
    </w:p>
    <w:p w14:paraId="0F8530F0"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Gilmore et al. (2007) emphasise the critical role of websites in establishing a robust online presence for businesses. The authors argue that fully utilising e-marketing is especially important for small-to-medium enterprises. Negotiate et al. (2018) corroborate this perspective, finding that many surveyed firms consider an informative website necessary for gaining a competitive advantage.</w:t>
      </w:r>
    </w:p>
    <w:p w14:paraId="03B332CB" w14:textId="77777777" w:rsidR="00CF1E2D" w:rsidRDefault="00CF1E2D">
      <w:pPr>
        <w:spacing w:line="360" w:lineRule="auto"/>
        <w:jc w:val="both"/>
        <w:rPr>
          <w:rFonts w:ascii="Times New Roman" w:eastAsia="Times New Roman" w:hAnsi="Times New Roman" w:cs="Times New Roman"/>
          <w:color w:val="0E101A"/>
          <w:sz w:val="24"/>
          <w:szCs w:val="24"/>
        </w:rPr>
      </w:pPr>
    </w:p>
    <w:p w14:paraId="0CB053CA"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influence of close social ties on parental decisions is particularly noteworthy. Brown and Reingen (1987) observed that individuals within closely connected social networks tend to favour similar brands across various product categories. Additionally, Hennig-Thurau et al. (2004) identified both intrinsic factors, such as the altruistic desire to assist others, and extrinsic incentives as critical drivers of electronic word-of-mouth.</w:t>
      </w:r>
    </w:p>
    <w:p w14:paraId="638B2F24" w14:textId="77777777" w:rsidR="00CF1E2D" w:rsidRDefault="00CF1E2D">
      <w:pPr>
        <w:spacing w:line="360" w:lineRule="auto"/>
        <w:jc w:val="both"/>
        <w:rPr>
          <w:rFonts w:ascii="Times New Roman" w:eastAsia="Times New Roman" w:hAnsi="Times New Roman" w:cs="Times New Roman"/>
          <w:color w:val="0E101A"/>
          <w:sz w:val="24"/>
          <w:szCs w:val="24"/>
        </w:rPr>
      </w:pPr>
    </w:p>
    <w:p w14:paraId="6D9C723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conclusion, the effective utilisation of digital platforms and word-of-mouth referral systems represents a significant opportunity for activity providers to attract, engage, and retain parents. Refined social media strategies, informative websites, and relationship-building initiatives are integral to enhancing competitive advantages in this evolving marketplace. This multifaceted approach to digital marketing aligns with contemporary consumer behaviour and offers a pathway to more effective parental engagement and decision influence.</w:t>
      </w:r>
    </w:p>
    <w:p w14:paraId="25D65E4E" w14:textId="77777777" w:rsidR="00CF1E2D" w:rsidRDefault="00CF1E2D">
      <w:pPr>
        <w:spacing w:line="360" w:lineRule="auto"/>
        <w:jc w:val="both"/>
        <w:rPr>
          <w:rFonts w:ascii="Times New Roman" w:eastAsia="Times New Roman" w:hAnsi="Times New Roman" w:cs="Times New Roman"/>
          <w:color w:val="0E101A"/>
          <w:sz w:val="24"/>
          <w:szCs w:val="24"/>
        </w:rPr>
      </w:pPr>
    </w:p>
    <w:p w14:paraId="2BECA456" w14:textId="77777777" w:rsidR="00CF1E2D" w:rsidRDefault="00000000">
      <w:pPr>
        <w:pStyle w:val="3"/>
        <w:spacing w:line="360" w:lineRule="auto"/>
        <w:jc w:val="both"/>
        <w:rPr>
          <w:rFonts w:ascii="Times New Roman" w:eastAsia="Times New Roman" w:hAnsi="Times New Roman" w:cs="Times New Roman"/>
        </w:rPr>
      </w:pPr>
      <w:bookmarkStart w:id="26" w:name="_7sgysgah94oa" w:colFirst="0" w:colLast="0"/>
      <w:bookmarkEnd w:id="26"/>
      <w:r>
        <w:rPr>
          <w:rFonts w:ascii="Times New Roman" w:eastAsia="Times New Roman" w:hAnsi="Times New Roman" w:cs="Times New Roman"/>
        </w:rPr>
        <w:lastRenderedPageBreak/>
        <w:t>2.2.5 Pricing Strategies</w:t>
      </w:r>
    </w:p>
    <w:p w14:paraId="30695474"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Educational institutions offering extracurricular activities must supplement effective pricing strategies to attract students and increase enrollment. The choice of pricing models and promotional techniques can significantly influence how parents perceive the value of the programs and ultimately affect their decisions about enrolling their children.</w:t>
      </w:r>
    </w:p>
    <w:p w14:paraId="53D9BE7B" w14:textId="77777777" w:rsidR="00CF1E2D" w:rsidRDefault="00CF1E2D">
      <w:pPr>
        <w:spacing w:line="360" w:lineRule="auto"/>
        <w:jc w:val="both"/>
        <w:rPr>
          <w:rFonts w:ascii="Times New Roman" w:eastAsia="Times New Roman" w:hAnsi="Times New Roman" w:cs="Times New Roman"/>
          <w:color w:val="0E101A"/>
          <w:sz w:val="24"/>
          <w:szCs w:val="24"/>
        </w:rPr>
      </w:pPr>
    </w:p>
    <w:p w14:paraId="636D5471"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Darke and Chung (2005) explain the complex relationship between pricing strategies and perceived quality in the context of educational services. Their findings suggest that offering discounts may only sometimes be effective in addressing concerns about quality, especially if there are no explicit quality assurances. However, presenting promotional offers as gifts rather than discounts can maintain perceptions of quality while also enhancing the perceived value.</w:t>
      </w:r>
    </w:p>
    <w:p w14:paraId="744D5222" w14:textId="77777777" w:rsidR="00CF1E2D" w:rsidRDefault="00CF1E2D">
      <w:pPr>
        <w:spacing w:line="360" w:lineRule="auto"/>
        <w:jc w:val="both"/>
        <w:rPr>
          <w:rFonts w:ascii="Times New Roman" w:eastAsia="Times New Roman" w:hAnsi="Times New Roman" w:cs="Times New Roman"/>
          <w:color w:val="0E101A"/>
          <w:sz w:val="24"/>
          <w:szCs w:val="24"/>
        </w:rPr>
      </w:pPr>
    </w:p>
    <w:p w14:paraId="5554CF72"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more profound understanding of pricing psychology highlights the importance of carefully planned pricing and promotional strategies in the educational sector. It indicates that institutions need to balance the appeal of cost-effectiveness with maintaining the perceived quality of their programs in order to optimise enrollment.</w:t>
      </w:r>
    </w:p>
    <w:p w14:paraId="31A7343D" w14:textId="77777777" w:rsidR="00CF1E2D" w:rsidRDefault="00CF1E2D">
      <w:pPr>
        <w:spacing w:line="360" w:lineRule="auto"/>
        <w:jc w:val="both"/>
        <w:rPr>
          <w:rFonts w:ascii="Times New Roman" w:eastAsia="Times New Roman" w:hAnsi="Times New Roman" w:cs="Times New Roman"/>
          <w:color w:val="0E101A"/>
          <w:sz w:val="24"/>
          <w:szCs w:val="24"/>
        </w:rPr>
      </w:pPr>
    </w:p>
    <w:p w14:paraId="768BCA3E" w14:textId="77777777" w:rsidR="00CF1E2D" w:rsidRDefault="00000000">
      <w:pPr>
        <w:pStyle w:val="3"/>
        <w:spacing w:line="360" w:lineRule="auto"/>
        <w:jc w:val="both"/>
        <w:rPr>
          <w:rFonts w:ascii="Times New Roman" w:eastAsia="Times New Roman" w:hAnsi="Times New Roman" w:cs="Times New Roman"/>
        </w:rPr>
      </w:pPr>
      <w:bookmarkStart w:id="27" w:name="_n8pudhixhvtg" w:colFirst="0" w:colLast="0"/>
      <w:bookmarkEnd w:id="27"/>
      <w:r>
        <w:rPr>
          <w:rFonts w:ascii="Times New Roman" w:eastAsia="Times New Roman" w:hAnsi="Times New Roman" w:cs="Times New Roman"/>
        </w:rPr>
        <w:t>2.2.6 Customer Relationship Management</w:t>
      </w:r>
    </w:p>
    <w:p w14:paraId="6BDAB4AA"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Establishing robust parental relationships is paramount for organisations offering extracurricular activities to ensure long-term loyalty and advocacy. Research indicates that non-monetary factors, including attitude, expectation fulfilment, communication, customisation, and recognition, play a pivotal role in effective customer relationship management (CRM), complementing traditional metrics such as satisfaction and retention (Jain &amp; Dhar, 2003).</w:t>
      </w:r>
    </w:p>
    <w:p w14:paraId="4051DF9C" w14:textId="77777777" w:rsidR="00CF1E2D" w:rsidRDefault="00CF1E2D">
      <w:pPr>
        <w:spacing w:line="360" w:lineRule="auto"/>
        <w:jc w:val="both"/>
        <w:rPr>
          <w:rFonts w:ascii="Times New Roman" w:eastAsia="Times New Roman" w:hAnsi="Times New Roman" w:cs="Times New Roman"/>
          <w:color w:val="0E101A"/>
          <w:sz w:val="24"/>
          <w:szCs w:val="24"/>
        </w:rPr>
      </w:pPr>
    </w:p>
    <w:p w14:paraId="1FFC3545"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the contemporary landscape of personalised customer experiences, the integration of customer data with advanced technologies like big data presents significant opportunities for enhancing CRM strategies (Ansari et al., 2019). This approach facilitates the delivery of tailored notifications, marketing initiatives, and services customised to individual parents. Moreover, it enables the identification of patterns in parental behaviour and connections across various touchpoints, thereby informing decision-making processes.</w:t>
      </w:r>
    </w:p>
    <w:p w14:paraId="29946A7D"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However, Calma and Dickson-Deane (2020) alert against an excessive focus on parental satisfaction at the expense of educational quality. They argue that quality education should prioritise students' long-term development over short-term satisfaction. The authors support parental involvement in service design to promote accountability and positive outcomes.</w:t>
      </w:r>
    </w:p>
    <w:p w14:paraId="3DC60FC2" w14:textId="77777777" w:rsidR="00CF1E2D" w:rsidRDefault="00CF1E2D">
      <w:pPr>
        <w:spacing w:line="360" w:lineRule="auto"/>
        <w:jc w:val="both"/>
        <w:rPr>
          <w:rFonts w:ascii="Times New Roman" w:eastAsia="Times New Roman" w:hAnsi="Times New Roman" w:cs="Times New Roman"/>
          <w:color w:val="0E101A"/>
          <w:sz w:val="24"/>
          <w:szCs w:val="24"/>
        </w:rPr>
      </w:pPr>
    </w:p>
    <w:p w14:paraId="725750DA"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conclusion, the successful implementation of CRM in extracurricular activities requires an approach that leverages technology, emphasises personalisation, and maintains a steadfast commitment to educational quality. This multifaceted strategy has the potential to foster enduring relationships with parents while ensuring the delivery of high-quality educational experiences for students.</w:t>
      </w:r>
    </w:p>
    <w:p w14:paraId="1AC5B10F" w14:textId="77777777" w:rsidR="00CF1E2D" w:rsidRDefault="00000000">
      <w:pPr>
        <w:pStyle w:val="3"/>
        <w:spacing w:line="360" w:lineRule="auto"/>
        <w:jc w:val="both"/>
        <w:rPr>
          <w:rFonts w:ascii="Times New Roman" w:eastAsia="Times New Roman" w:hAnsi="Times New Roman" w:cs="Times New Roman"/>
        </w:rPr>
      </w:pPr>
      <w:bookmarkStart w:id="28" w:name="_i69zat7mmwdm" w:colFirst="0" w:colLast="0"/>
      <w:bookmarkEnd w:id="28"/>
      <w:r>
        <w:rPr>
          <w:rFonts w:ascii="Times New Roman" w:eastAsia="Times New Roman" w:hAnsi="Times New Roman" w:cs="Times New Roman"/>
        </w:rPr>
        <w:t>2.2.7 Competitive Analysis</w:t>
      </w:r>
    </w:p>
    <w:p w14:paraId="2D265BA6"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An analysis of competitors in the extracurricular activities sector reveals significant challenges, particularly in enhancing social engagement regarding feedback mechanisms and strengthening presence across social media platforms. While the majority of quality control literature has focused on manufacturing, the relationship between total quality management (TQM) practices and innovation remains to be conclusive (Bon &amp; Mustafa, 2013). The application of TQM principles in service industries may stay the same due to the heightened emphasis on customer satisfaction and human-centric approaches.</w:t>
      </w:r>
    </w:p>
    <w:p w14:paraId="3396C8EC" w14:textId="77777777" w:rsidR="00CF1E2D" w:rsidRDefault="00CF1E2D">
      <w:pPr>
        <w:spacing w:line="360" w:lineRule="auto"/>
        <w:jc w:val="both"/>
        <w:rPr>
          <w:rFonts w:ascii="Times New Roman" w:eastAsia="Times New Roman" w:hAnsi="Times New Roman" w:cs="Times New Roman"/>
          <w:color w:val="0E101A"/>
          <w:sz w:val="24"/>
          <w:szCs w:val="24"/>
        </w:rPr>
      </w:pPr>
    </w:p>
    <w:p w14:paraId="3AA6C280"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Li and Netessine (2012) demonstrate that in the context of online consumer behaviour, competitiveness is more accurately determined through collective customer judgments rather than managerial perspectives. It underscores the importance of effectively communicating distinctive strengths, such as quality, and achieving meaningful differentiation (Krzyżanowska &amp; Tkaczyk, 2012).</w:t>
      </w:r>
    </w:p>
    <w:p w14:paraId="2A808E41" w14:textId="77777777" w:rsidR="00CF1E2D" w:rsidRDefault="00CF1E2D">
      <w:pPr>
        <w:spacing w:line="360" w:lineRule="auto"/>
        <w:jc w:val="both"/>
        <w:rPr>
          <w:rFonts w:ascii="Times New Roman" w:eastAsia="Times New Roman" w:hAnsi="Times New Roman" w:cs="Times New Roman"/>
          <w:color w:val="0E101A"/>
          <w:sz w:val="24"/>
          <w:szCs w:val="24"/>
        </w:rPr>
      </w:pPr>
    </w:p>
    <w:p w14:paraId="20DE20B7"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Given the competitive nature of the extracurricular activities market, periodic reassessments using diverse analytical perspectives to identify current and future competitive challenges transcending initial assumptions are imperative. Enhancing competitiveness necessitates cultivating excellence, fostering innovation, and demonstrating adaptability to evolving customer preferences.</w:t>
      </w:r>
    </w:p>
    <w:p w14:paraId="0499E2CD" w14:textId="77777777" w:rsidR="00CF1E2D" w:rsidRDefault="00000000">
      <w:pPr>
        <w:pStyle w:val="2"/>
        <w:spacing w:line="360" w:lineRule="auto"/>
        <w:jc w:val="both"/>
        <w:rPr>
          <w:rFonts w:ascii="Times New Roman" w:eastAsia="Times New Roman" w:hAnsi="Times New Roman" w:cs="Times New Roman"/>
        </w:rPr>
      </w:pPr>
      <w:bookmarkStart w:id="29" w:name="_wba76hnvyjb" w:colFirst="0" w:colLast="0"/>
      <w:bookmarkEnd w:id="29"/>
      <w:r>
        <w:rPr>
          <w:rFonts w:ascii="Times New Roman" w:eastAsia="Times New Roman" w:hAnsi="Times New Roman" w:cs="Times New Roman"/>
        </w:rPr>
        <w:lastRenderedPageBreak/>
        <w:t>2.3 Research Gaps in the Literature</w:t>
      </w:r>
    </w:p>
    <w:p w14:paraId="1E9E8F8B"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literature has addressed various factors that influence parental selection of extracurricular activities. However, more research specifically focusing on how parents make decisions about AI-enhanced STEAM-related activities is needed. With the increasing emphasis on fostering science, technology, engineering, and math skills in the workforce, further investigation is warranted to comprehend the distinctive factors that steer parental enrollment decisions in these crucial activities.</w:t>
      </w:r>
    </w:p>
    <w:p w14:paraId="43F57C65" w14:textId="77777777" w:rsidR="00CF1E2D" w:rsidRDefault="00CF1E2D">
      <w:pPr>
        <w:spacing w:line="360" w:lineRule="auto"/>
        <w:jc w:val="both"/>
        <w:rPr>
          <w:rFonts w:ascii="Times New Roman" w:eastAsia="Times New Roman" w:hAnsi="Times New Roman" w:cs="Times New Roman"/>
          <w:color w:val="0E101A"/>
          <w:sz w:val="24"/>
          <w:szCs w:val="24"/>
        </w:rPr>
      </w:pPr>
    </w:p>
    <w:p w14:paraId="3BB211AC"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dynamic competitive landscape in Hong Kong necessitates in-depth exploration. Qualitative case studies examining real-world segmentation, positioning, branding, and competitive differentiation strategies employed by various providers could yield practical insights. Moreover, the growing influence of digital technologies on parental information sources and promotional touchpoints beyond traditional media merits consideration, encompassing the exploration of novel channels and applications for effective parental engagement.</w:t>
      </w:r>
    </w:p>
    <w:p w14:paraId="395CCB4D" w14:textId="77777777" w:rsidR="00CF1E2D"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Addressing these research gaps through mixed-method empirical studies focused on AI-enhanced STEAM extracurricular decision-making would significantly contribute to theoretical advancement and facilitate evidence-based optimisation for activity providers in Hong Kong's educational sector. </w:t>
      </w:r>
    </w:p>
    <w:p w14:paraId="37F01E51" w14:textId="77777777" w:rsidR="00CF1E2D" w:rsidRDefault="00CF1E2D">
      <w:pPr>
        <w:spacing w:line="360" w:lineRule="auto"/>
        <w:ind w:left="1440" w:hanging="720"/>
        <w:jc w:val="both"/>
        <w:rPr>
          <w:rFonts w:ascii="Times New Roman" w:eastAsia="Times New Roman" w:hAnsi="Times New Roman" w:cs="Times New Roman"/>
          <w:sz w:val="24"/>
          <w:szCs w:val="24"/>
        </w:rPr>
      </w:pPr>
    </w:p>
    <w:p w14:paraId="11C7DEFF" w14:textId="77777777" w:rsidR="00CF1E2D" w:rsidRDefault="00CF1E2D">
      <w:pPr>
        <w:spacing w:line="360" w:lineRule="auto"/>
        <w:jc w:val="both"/>
        <w:rPr>
          <w:rFonts w:ascii="Times New Roman" w:eastAsia="Times New Roman" w:hAnsi="Times New Roman" w:cs="Times New Roman"/>
          <w:sz w:val="24"/>
          <w:szCs w:val="24"/>
        </w:rPr>
      </w:pPr>
    </w:p>
    <w:p w14:paraId="3BC2A0BF" w14:textId="77777777" w:rsidR="00CF1E2D" w:rsidRDefault="00CF1E2D">
      <w:pPr>
        <w:spacing w:line="360" w:lineRule="auto"/>
        <w:jc w:val="both"/>
        <w:rPr>
          <w:rFonts w:ascii="Times New Roman" w:eastAsia="Times New Roman" w:hAnsi="Times New Roman" w:cs="Times New Roman"/>
          <w:sz w:val="24"/>
          <w:szCs w:val="24"/>
        </w:rPr>
      </w:pPr>
    </w:p>
    <w:p w14:paraId="349D9D7F" w14:textId="77777777" w:rsidR="00CF1E2D" w:rsidRDefault="00000000">
      <w:pPr>
        <w:spacing w:line="360" w:lineRule="auto"/>
        <w:jc w:val="both"/>
        <w:rPr>
          <w:rFonts w:ascii="Times New Roman" w:eastAsia="Times New Roman" w:hAnsi="Times New Roman" w:cs="Times New Roman"/>
          <w:sz w:val="24"/>
          <w:szCs w:val="24"/>
        </w:rPr>
      </w:pPr>
      <w:r>
        <w:br w:type="page"/>
      </w:r>
    </w:p>
    <w:p w14:paraId="1DAFF05F" w14:textId="77777777" w:rsidR="00CF1E2D" w:rsidRDefault="00CF1E2D">
      <w:pPr>
        <w:spacing w:line="360" w:lineRule="auto"/>
        <w:jc w:val="both"/>
        <w:rPr>
          <w:rFonts w:ascii="Times New Roman" w:eastAsia="Times New Roman" w:hAnsi="Times New Roman" w:cs="Times New Roman"/>
          <w:sz w:val="24"/>
          <w:szCs w:val="24"/>
        </w:rPr>
      </w:pPr>
    </w:p>
    <w:p w14:paraId="01A5412F" w14:textId="77777777" w:rsidR="00CF1E2D" w:rsidRDefault="00000000">
      <w:pPr>
        <w:pStyle w:val="2"/>
        <w:spacing w:line="360" w:lineRule="auto"/>
        <w:jc w:val="both"/>
        <w:rPr>
          <w:rFonts w:ascii="Times New Roman" w:eastAsia="Times New Roman" w:hAnsi="Times New Roman" w:cs="Times New Roman"/>
        </w:rPr>
      </w:pPr>
      <w:bookmarkStart w:id="30" w:name="_cxyn9t2vtxxz" w:colFirst="0" w:colLast="0"/>
      <w:bookmarkEnd w:id="30"/>
      <w:r>
        <w:rPr>
          <w:rFonts w:ascii="Times New Roman" w:eastAsia="Times New Roman" w:hAnsi="Times New Roman" w:cs="Times New Roman"/>
        </w:rPr>
        <w:t>2.4 References</w:t>
      </w:r>
    </w:p>
    <w:p w14:paraId="3BC2654B" w14:textId="77777777" w:rsidR="00CF1E2D" w:rsidRDefault="00CF1E2D">
      <w:pPr>
        <w:spacing w:line="360" w:lineRule="auto"/>
        <w:jc w:val="both"/>
        <w:rPr>
          <w:rFonts w:ascii="Times New Roman" w:eastAsia="Times New Roman" w:hAnsi="Times New Roman" w:cs="Times New Roman"/>
          <w:sz w:val="20"/>
          <w:szCs w:val="20"/>
        </w:rPr>
      </w:pPr>
    </w:p>
    <w:p w14:paraId="2BB4B116"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Yau, K. C. [self] (2024). Converting Research into Practice (module HKBM7020). Unpublished. University of Wales.</w:t>
      </w:r>
    </w:p>
    <w:p w14:paraId="4DFA58D5" w14:textId="77777777" w:rsidR="00CF1E2D" w:rsidRDefault="00CF1E2D">
      <w:pPr>
        <w:spacing w:line="360" w:lineRule="auto"/>
        <w:ind w:left="720"/>
        <w:jc w:val="both"/>
        <w:rPr>
          <w:rFonts w:ascii="Times New Roman" w:eastAsia="Times New Roman" w:hAnsi="Times New Roman" w:cs="Times New Roman"/>
          <w:sz w:val="24"/>
          <w:szCs w:val="24"/>
        </w:rPr>
      </w:pPr>
    </w:p>
    <w:p w14:paraId="182EB3E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Yau, K. C. [self] (2024). Advancing to Doctoral Research Stage (module HKBM7022). Unpublished. University of Wales.</w:t>
      </w:r>
    </w:p>
    <w:p w14:paraId="52B96F0D" w14:textId="77777777" w:rsidR="00CF1E2D" w:rsidRDefault="00CF1E2D">
      <w:pPr>
        <w:spacing w:line="360" w:lineRule="auto"/>
        <w:ind w:left="720"/>
        <w:jc w:val="both"/>
        <w:rPr>
          <w:rFonts w:ascii="Times New Roman" w:eastAsia="Times New Roman" w:hAnsi="Times New Roman" w:cs="Times New Roman"/>
          <w:sz w:val="24"/>
          <w:szCs w:val="24"/>
        </w:rPr>
      </w:pPr>
    </w:p>
    <w:p w14:paraId="2EE62B6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Yau, K. C. [self] (2024). Research Principles and Philosophy (module HKBM7017). Unpublished. University of Wales.</w:t>
      </w:r>
    </w:p>
    <w:p w14:paraId="4F1BD48D" w14:textId="77777777" w:rsidR="00CF1E2D" w:rsidRDefault="00CF1E2D">
      <w:pPr>
        <w:spacing w:line="360" w:lineRule="auto"/>
        <w:ind w:left="720"/>
        <w:jc w:val="both"/>
        <w:rPr>
          <w:rFonts w:ascii="Times New Roman" w:eastAsia="Times New Roman" w:hAnsi="Times New Roman" w:cs="Times New Roman"/>
          <w:sz w:val="24"/>
          <w:szCs w:val="24"/>
        </w:rPr>
      </w:pPr>
    </w:p>
    <w:p w14:paraId="79B5FFA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Poplavskaya, I. G., and A. Petlin. (2018). "Defining the Problem of Choosing Extracurricular Activities in Russia."</w:t>
      </w:r>
    </w:p>
    <w:p w14:paraId="561DD973" w14:textId="77777777" w:rsidR="00CF1E2D" w:rsidRDefault="00CF1E2D">
      <w:pPr>
        <w:spacing w:line="360" w:lineRule="auto"/>
        <w:ind w:left="720"/>
        <w:jc w:val="both"/>
        <w:rPr>
          <w:rFonts w:ascii="Times New Roman" w:eastAsia="Times New Roman" w:hAnsi="Times New Roman" w:cs="Times New Roman"/>
          <w:sz w:val="24"/>
          <w:szCs w:val="24"/>
        </w:rPr>
      </w:pPr>
    </w:p>
    <w:p w14:paraId="522BEFB6"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Aaker, D. A. (1996). "Measuring brand equity across products and markets." California Management Review 38(3).</w:t>
      </w:r>
    </w:p>
    <w:p w14:paraId="7A97F846" w14:textId="77777777" w:rsidR="00CF1E2D" w:rsidRDefault="00CF1E2D">
      <w:pPr>
        <w:spacing w:line="360" w:lineRule="auto"/>
        <w:ind w:left="720"/>
        <w:jc w:val="both"/>
        <w:rPr>
          <w:rFonts w:ascii="Times New Roman" w:eastAsia="Times New Roman" w:hAnsi="Times New Roman" w:cs="Times New Roman"/>
          <w:sz w:val="24"/>
          <w:szCs w:val="24"/>
        </w:rPr>
      </w:pPr>
    </w:p>
    <w:p w14:paraId="331C897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Anshari, M., et al. (2019). "Customer relationship management and big data enabled: Personalization &amp; customisation of services." Applied Computing and Informatics 15(2): 94-101.</w:t>
      </w:r>
    </w:p>
    <w:p w14:paraId="68D38E8C" w14:textId="77777777" w:rsidR="00CF1E2D" w:rsidRDefault="00000000">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71080A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Baalbaki, S. S. (2012). Consumer perception of brand equity measurement: A new scale. United States -- Texas, University of North Texas: 102.</w:t>
      </w:r>
    </w:p>
    <w:p w14:paraId="6F2460CE" w14:textId="77777777" w:rsidR="00CF1E2D" w:rsidRDefault="00CF1E2D">
      <w:pPr>
        <w:spacing w:line="360" w:lineRule="auto"/>
        <w:ind w:left="720"/>
        <w:jc w:val="both"/>
        <w:rPr>
          <w:rFonts w:ascii="Times New Roman" w:eastAsia="Times New Roman" w:hAnsi="Times New Roman" w:cs="Times New Roman"/>
          <w:sz w:val="24"/>
          <w:szCs w:val="24"/>
        </w:rPr>
      </w:pPr>
    </w:p>
    <w:p w14:paraId="61A2AC61"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Bashar, A., et al. (2012). "Effectiveness of social media as a marketing tool: An empirical study." International Journal of Marketing, Financial Services &amp; Management Research 1(11): 88-99.</w:t>
      </w:r>
    </w:p>
    <w:p w14:paraId="38BBF4A8" w14:textId="77777777" w:rsidR="00CF1E2D" w:rsidRDefault="00CF1E2D">
      <w:pPr>
        <w:spacing w:line="360" w:lineRule="auto"/>
        <w:ind w:left="720"/>
        <w:jc w:val="both"/>
        <w:rPr>
          <w:rFonts w:ascii="Times New Roman" w:eastAsia="Times New Roman" w:hAnsi="Times New Roman" w:cs="Times New Roman"/>
          <w:sz w:val="24"/>
          <w:szCs w:val="24"/>
        </w:rPr>
      </w:pPr>
    </w:p>
    <w:p w14:paraId="1DA5AEB2"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Bon, A. T. and E. M. Mustafa (2013). "Impact of total quality management on innovation in service organisations: Literature review and new conceptual framework." Procedia Engineering 53: 516-529.</w:t>
      </w:r>
    </w:p>
    <w:p w14:paraId="782B9816" w14:textId="77777777" w:rsidR="00CF1E2D" w:rsidRDefault="00CF1E2D">
      <w:pPr>
        <w:spacing w:line="360" w:lineRule="auto"/>
        <w:ind w:left="720"/>
        <w:jc w:val="both"/>
        <w:rPr>
          <w:rFonts w:ascii="Times New Roman" w:eastAsia="Times New Roman" w:hAnsi="Times New Roman" w:cs="Times New Roman"/>
          <w:sz w:val="24"/>
          <w:szCs w:val="24"/>
        </w:rPr>
      </w:pPr>
    </w:p>
    <w:p w14:paraId="3B767163"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J. J. and P. H. Reingen (1987). "Social Ties and Word-of-Mouth Referral Behavior." Journal of Consumer Research 14(3): 350.</w:t>
      </w:r>
    </w:p>
    <w:p w14:paraId="49E8C44C" w14:textId="77777777" w:rsidR="00CF1E2D" w:rsidRDefault="00CF1E2D">
      <w:pPr>
        <w:spacing w:line="360" w:lineRule="auto"/>
        <w:ind w:left="720"/>
        <w:jc w:val="both"/>
        <w:rPr>
          <w:rFonts w:ascii="Times New Roman" w:eastAsia="Times New Roman" w:hAnsi="Times New Roman" w:cs="Times New Roman"/>
          <w:sz w:val="24"/>
          <w:szCs w:val="24"/>
        </w:rPr>
      </w:pPr>
    </w:p>
    <w:p w14:paraId="01BF6F9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Calma, A. and C. Dickson-Deane (2020). "The student as customer and quality in higher education." The International Journal of Educational Management 34(8): 1221-1235.</w:t>
      </w:r>
    </w:p>
    <w:p w14:paraId="28283DAF" w14:textId="77777777" w:rsidR="00CF1E2D" w:rsidRDefault="00CF1E2D">
      <w:pPr>
        <w:spacing w:line="360" w:lineRule="auto"/>
        <w:ind w:left="720"/>
        <w:jc w:val="both"/>
        <w:rPr>
          <w:rFonts w:ascii="Times New Roman" w:eastAsia="Times New Roman" w:hAnsi="Times New Roman" w:cs="Times New Roman"/>
          <w:sz w:val="24"/>
          <w:szCs w:val="24"/>
        </w:rPr>
      </w:pPr>
    </w:p>
    <w:p w14:paraId="2AD32FE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Darke, P. R. and C. M. Y. Chung (2005). "Effects of pricing and promotion on consumer perceptions: it depends on how you frame it." Journal of Retailing 81(1): 35-47.</w:t>
      </w:r>
    </w:p>
    <w:p w14:paraId="02E18CC9" w14:textId="77777777" w:rsidR="00CF1E2D" w:rsidRDefault="00CF1E2D">
      <w:pPr>
        <w:spacing w:line="360" w:lineRule="auto"/>
        <w:ind w:left="720"/>
        <w:jc w:val="both"/>
        <w:rPr>
          <w:rFonts w:ascii="Times New Roman" w:eastAsia="Times New Roman" w:hAnsi="Times New Roman" w:cs="Times New Roman"/>
          <w:sz w:val="24"/>
          <w:szCs w:val="24"/>
        </w:rPr>
      </w:pPr>
    </w:p>
    <w:p w14:paraId="21E2A2A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Gilmore, A., et al. (2007). "E-marketing and SMEs: operational lessons for the future." European Business Review 19(3): 234-247.</w:t>
      </w:r>
    </w:p>
    <w:p w14:paraId="0E86E43F" w14:textId="77777777" w:rsidR="00CF1E2D" w:rsidRDefault="00CF1E2D">
      <w:pPr>
        <w:spacing w:line="360" w:lineRule="auto"/>
        <w:jc w:val="both"/>
        <w:rPr>
          <w:rFonts w:ascii="Times New Roman" w:eastAsia="Times New Roman" w:hAnsi="Times New Roman" w:cs="Times New Roman"/>
          <w:sz w:val="24"/>
          <w:szCs w:val="24"/>
        </w:rPr>
      </w:pPr>
    </w:p>
    <w:p w14:paraId="67EF0DD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Greaves, E., et al. (2023). "Marketing and School Choice: A Systematic Literature Review." Review of Educational Research 93(6): 825-861.</w:t>
      </w:r>
    </w:p>
    <w:p w14:paraId="58F3D457" w14:textId="77777777" w:rsidR="00CF1E2D" w:rsidRDefault="00CF1E2D">
      <w:pPr>
        <w:spacing w:line="360" w:lineRule="auto"/>
        <w:jc w:val="both"/>
        <w:rPr>
          <w:rFonts w:ascii="Times New Roman" w:eastAsia="Times New Roman" w:hAnsi="Times New Roman" w:cs="Times New Roman"/>
          <w:sz w:val="24"/>
          <w:szCs w:val="24"/>
        </w:rPr>
      </w:pPr>
    </w:p>
    <w:p w14:paraId="1D25ED8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 P. E. and A. M. Krieger (1991). "Segmenting markets with conjoint analysis." Journal of Marketing 55(4): 20-31.</w:t>
      </w:r>
    </w:p>
    <w:p w14:paraId="5315A79C" w14:textId="77777777" w:rsidR="00CF1E2D" w:rsidRDefault="00CF1E2D">
      <w:pPr>
        <w:spacing w:line="360" w:lineRule="auto"/>
        <w:jc w:val="both"/>
        <w:rPr>
          <w:rFonts w:ascii="Times New Roman" w:eastAsia="Times New Roman" w:hAnsi="Times New Roman" w:cs="Times New Roman"/>
          <w:sz w:val="24"/>
          <w:szCs w:val="24"/>
        </w:rPr>
      </w:pPr>
    </w:p>
    <w:p w14:paraId="00CBF08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Hennig-Thurau, T., et al. (2004). "Electronic word-of-mouth via consumer-opinion platforms: What motivates consumers to articulate themselves on the Internet?" Journal of Interactive Marketing 18(1): 38.</w:t>
      </w:r>
    </w:p>
    <w:p w14:paraId="2AD73141" w14:textId="77777777" w:rsidR="00CF1E2D" w:rsidRDefault="00CF1E2D">
      <w:pPr>
        <w:spacing w:line="360" w:lineRule="auto"/>
        <w:jc w:val="both"/>
        <w:rPr>
          <w:rFonts w:ascii="Times New Roman" w:eastAsia="Times New Roman" w:hAnsi="Times New Roman" w:cs="Times New Roman"/>
          <w:sz w:val="24"/>
          <w:szCs w:val="24"/>
        </w:rPr>
      </w:pPr>
    </w:p>
    <w:p w14:paraId="1C8945A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Hoyer, W. D. and C. J. Cobb-Walgren (1988). "Consumer Decision Making Across Product Categories: The Influence of Task Environment: ABSTRACT." Psychology &amp; Marketing (1986-1998)</w:t>
      </w:r>
    </w:p>
    <w:p w14:paraId="59422877" w14:textId="77777777" w:rsidR="00CF1E2D" w:rsidRDefault="00CF1E2D">
      <w:pPr>
        <w:spacing w:line="360" w:lineRule="auto"/>
        <w:jc w:val="both"/>
        <w:rPr>
          <w:rFonts w:ascii="Times New Roman" w:eastAsia="Times New Roman" w:hAnsi="Times New Roman" w:cs="Times New Roman"/>
          <w:sz w:val="24"/>
          <w:szCs w:val="24"/>
        </w:rPr>
      </w:pPr>
    </w:p>
    <w:p w14:paraId="5A174B0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Jain, R., et al. (2003). "MEASURING CUSTOMER RELATIONSHIP MANAGEMENT." Journal of Services Research 2(2): 97-109.</w:t>
      </w:r>
    </w:p>
    <w:p w14:paraId="4AA68CB5" w14:textId="77777777" w:rsidR="00CF1E2D" w:rsidRDefault="00CF1E2D">
      <w:pPr>
        <w:spacing w:line="360" w:lineRule="auto"/>
        <w:jc w:val="both"/>
        <w:rPr>
          <w:rFonts w:ascii="Times New Roman" w:eastAsia="Times New Roman" w:hAnsi="Times New Roman" w:cs="Times New Roman"/>
          <w:sz w:val="24"/>
          <w:szCs w:val="24"/>
        </w:rPr>
      </w:pPr>
    </w:p>
    <w:p w14:paraId="7270DFE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Kara, A. and E. Kaynak (1997). "Markets of a single customer: exploiting conceptual developments in market segmentation." European Journal of Marketing 31(11/12): 873-895.</w:t>
      </w:r>
    </w:p>
    <w:p w14:paraId="6F4BA80B" w14:textId="77777777" w:rsidR="00CF1E2D" w:rsidRDefault="00CF1E2D">
      <w:pPr>
        <w:spacing w:line="360" w:lineRule="auto"/>
        <w:jc w:val="both"/>
        <w:rPr>
          <w:rFonts w:ascii="Times New Roman" w:eastAsia="Times New Roman" w:hAnsi="Times New Roman" w:cs="Times New Roman"/>
          <w:sz w:val="24"/>
          <w:szCs w:val="24"/>
        </w:rPr>
      </w:pPr>
    </w:p>
    <w:p w14:paraId="447A8E21"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Krzyżanowska, M. and J. Tkaczyk (2012). "Competitive landscape of the educational market: A managerial perspective." International Journal of Management Cases 9.</w:t>
      </w:r>
    </w:p>
    <w:p w14:paraId="2CAB63A1" w14:textId="77777777" w:rsidR="00CF1E2D" w:rsidRDefault="00CF1E2D">
      <w:pPr>
        <w:spacing w:line="360" w:lineRule="auto"/>
        <w:jc w:val="both"/>
        <w:rPr>
          <w:rFonts w:ascii="Times New Roman" w:eastAsia="Times New Roman" w:hAnsi="Times New Roman" w:cs="Times New Roman"/>
          <w:sz w:val="24"/>
          <w:szCs w:val="24"/>
        </w:rPr>
      </w:pPr>
    </w:p>
    <w:p w14:paraId="4619D095"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J. and S. Netessine (2012). "Who are my competitors?-Let the customer decide."</w:t>
      </w:r>
    </w:p>
    <w:p w14:paraId="6763CDB3" w14:textId="77777777" w:rsidR="00CF1E2D" w:rsidRDefault="00CF1E2D">
      <w:pPr>
        <w:spacing w:line="360" w:lineRule="auto"/>
        <w:jc w:val="both"/>
        <w:rPr>
          <w:rFonts w:ascii="Times New Roman" w:eastAsia="Times New Roman" w:hAnsi="Times New Roman" w:cs="Times New Roman"/>
          <w:sz w:val="24"/>
          <w:szCs w:val="24"/>
        </w:rPr>
      </w:pPr>
    </w:p>
    <w:p w14:paraId="7AD7499B"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Negoiţă, O. D., et al. (2018). "Digital Marketing Tools Used by Companies." FAIMA Business &amp; Management Journal 6(4): 66-76.</w:t>
      </w:r>
    </w:p>
    <w:p w14:paraId="302FA9A2" w14:textId="77777777" w:rsidR="00CF1E2D" w:rsidRDefault="00CF1E2D">
      <w:pPr>
        <w:spacing w:line="360" w:lineRule="auto"/>
        <w:jc w:val="both"/>
        <w:rPr>
          <w:rFonts w:ascii="Times New Roman" w:eastAsia="Times New Roman" w:hAnsi="Times New Roman" w:cs="Times New Roman"/>
          <w:sz w:val="24"/>
          <w:szCs w:val="24"/>
        </w:rPr>
      </w:pPr>
    </w:p>
    <w:p w14:paraId="2F8B7C1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Punj, G. N. and D. W. Stewart (1983). "An interaction framework of consumer decision making." Journal of Consumer Research 10(2): 181-196.</w:t>
      </w:r>
    </w:p>
    <w:p w14:paraId="1524B987" w14:textId="77777777" w:rsidR="00CF1E2D" w:rsidRDefault="00CF1E2D">
      <w:pPr>
        <w:spacing w:line="360" w:lineRule="auto"/>
        <w:ind w:left="720"/>
        <w:jc w:val="both"/>
        <w:rPr>
          <w:rFonts w:ascii="Times New Roman" w:eastAsia="Times New Roman" w:hAnsi="Times New Roman" w:cs="Times New Roman"/>
          <w:sz w:val="24"/>
          <w:szCs w:val="24"/>
        </w:rPr>
      </w:pPr>
    </w:p>
    <w:p w14:paraId="3CEE3FD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 Lewis, P. and Thornhill, A. (2009) Research methods for business students., 5th ed. Harlow et al.: Pearson.</w:t>
      </w:r>
    </w:p>
    <w:p w14:paraId="1B14061B" w14:textId="77777777" w:rsidR="00CF1E2D" w:rsidRDefault="00CF1E2D">
      <w:pPr>
        <w:spacing w:line="360" w:lineRule="auto"/>
        <w:jc w:val="both"/>
        <w:rPr>
          <w:rFonts w:ascii="Times New Roman" w:eastAsia="Times New Roman" w:hAnsi="Times New Roman" w:cs="Times New Roman"/>
          <w:sz w:val="24"/>
          <w:szCs w:val="24"/>
        </w:rPr>
      </w:pPr>
    </w:p>
    <w:p w14:paraId="6A3AFBF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Singh, J. (2013). "Market segmentation: a conceptual framework." International Journal of Advanced Research in Management and Social Sciences 2(9): 224-230.</w:t>
      </w:r>
      <w:r>
        <w:br w:type="page"/>
      </w:r>
    </w:p>
    <w:p w14:paraId="73E141D7" w14:textId="77777777" w:rsidR="00CF1E2D" w:rsidRDefault="00000000">
      <w:pPr>
        <w:pStyle w:val="a3"/>
        <w:rPr>
          <w:rFonts w:ascii="Times New Roman" w:eastAsia="Times New Roman" w:hAnsi="Times New Roman" w:cs="Times New Roman"/>
        </w:rPr>
      </w:pPr>
      <w:bookmarkStart w:id="31" w:name="_cqtpuom5eg9n" w:colFirst="0" w:colLast="0"/>
      <w:bookmarkEnd w:id="31"/>
      <w:r>
        <w:rPr>
          <w:rFonts w:ascii="Times New Roman" w:eastAsia="Times New Roman" w:hAnsi="Times New Roman" w:cs="Times New Roman"/>
        </w:rPr>
        <w:lastRenderedPageBreak/>
        <w:t>3. Annotated Bibliography</w:t>
      </w:r>
    </w:p>
    <w:p w14:paraId="48B02A7D" w14:textId="77777777" w:rsidR="00CF1E2D" w:rsidRDefault="00CF1E2D">
      <w:pPr>
        <w:spacing w:line="360" w:lineRule="auto"/>
        <w:jc w:val="both"/>
        <w:rPr>
          <w:rFonts w:ascii="Times New Roman" w:eastAsia="Times New Roman" w:hAnsi="Times New Roman" w:cs="Times New Roman"/>
          <w:sz w:val="24"/>
          <w:szCs w:val="24"/>
        </w:rPr>
      </w:pPr>
    </w:p>
    <w:p w14:paraId="295AE124"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Aaker, D. A. (1996). Measuring brand equity across products and markets. California Management Review, 38(3), 102-120.</w:t>
      </w:r>
    </w:p>
    <w:p w14:paraId="1E7BF2DA" w14:textId="77777777" w:rsidR="00CF1E2D" w:rsidRDefault="00CF1E2D">
      <w:pPr>
        <w:spacing w:line="360" w:lineRule="auto"/>
        <w:jc w:val="both"/>
        <w:rPr>
          <w:rFonts w:ascii="Times New Roman" w:eastAsia="Times New Roman" w:hAnsi="Times New Roman" w:cs="Times New Roman"/>
          <w:sz w:val="24"/>
          <w:szCs w:val="24"/>
        </w:rPr>
      </w:pPr>
    </w:p>
    <w:p w14:paraId="142067B2"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proposes the 'Brand Equity Ten' as a set of measures that can be applied across markets and products to evaluate and track brand equity. The measures are structured around the four dimensions of brand equity - loyalty, perceived quality, associations, and awareness. The author argues that expanding the perspective to include multiple product classes and markets can enhance a firm's capability to manage a portfolio of brands, benchmark against the best, and develop a valid brand equity measurement system. </w:t>
      </w:r>
    </w:p>
    <w:p w14:paraId="3A36CA9E" w14:textId="77777777" w:rsidR="00CF1E2D" w:rsidRDefault="00CF1E2D">
      <w:pPr>
        <w:spacing w:line="360" w:lineRule="auto"/>
        <w:jc w:val="both"/>
        <w:rPr>
          <w:rFonts w:ascii="Times New Roman" w:eastAsia="Times New Roman" w:hAnsi="Times New Roman" w:cs="Times New Roman"/>
          <w:sz w:val="24"/>
          <w:szCs w:val="24"/>
        </w:rPr>
      </w:pPr>
    </w:p>
    <w:p w14:paraId="6307D6A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multiple measures across different dimensions of brand equity provides a robust assessment. The insights on benchmarking, managing brand portfolios, and developing a valid measurement system may be relevant to my study.</w:t>
      </w:r>
    </w:p>
    <w:p w14:paraId="3EC2BAE8" w14:textId="77777777" w:rsidR="00CF1E2D" w:rsidRDefault="00CF1E2D">
      <w:pPr>
        <w:spacing w:line="360" w:lineRule="auto"/>
        <w:jc w:val="both"/>
        <w:rPr>
          <w:rFonts w:ascii="Times New Roman" w:eastAsia="Times New Roman" w:hAnsi="Times New Roman" w:cs="Times New Roman"/>
          <w:sz w:val="24"/>
          <w:szCs w:val="24"/>
        </w:rPr>
      </w:pPr>
    </w:p>
    <w:p w14:paraId="4F8921E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Anshari, M., Almunawar, M. N., Lim, S. A., &amp; Al-Mudimigh, A. (2019). Customer relationship management and big data enabled: Personalisation &amp; customisation of services. Applied Computing and Informatics, 15(1), 94-101.</w:t>
      </w:r>
    </w:p>
    <w:p w14:paraId="5AE5BF81" w14:textId="77777777" w:rsidR="00CF1E2D" w:rsidRDefault="00CF1E2D">
      <w:pPr>
        <w:spacing w:line="360" w:lineRule="auto"/>
        <w:jc w:val="both"/>
        <w:rPr>
          <w:rFonts w:ascii="Times New Roman" w:eastAsia="Times New Roman" w:hAnsi="Times New Roman" w:cs="Times New Roman"/>
          <w:sz w:val="24"/>
          <w:szCs w:val="24"/>
        </w:rPr>
      </w:pPr>
    </w:p>
    <w:p w14:paraId="3AF0A0F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explores how big data can enhance customer relationship management (CRM) strategies, particularly in delivering personalisation and customisation of services. The authors argue that the emergence of big data provides new opportunities for CRM to improve customer experiences through tailored offerings and interactions. The findings suggest that big data supports CRM by allowing better customer profiling and value creation.</w:t>
      </w:r>
    </w:p>
    <w:p w14:paraId="3C5CDDAE" w14:textId="77777777" w:rsidR="00CF1E2D" w:rsidRDefault="00CF1E2D">
      <w:pPr>
        <w:spacing w:line="360" w:lineRule="auto"/>
        <w:jc w:val="both"/>
        <w:rPr>
          <w:rFonts w:ascii="Times New Roman" w:eastAsia="Times New Roman" w:hAnsi="Times New Roman" w:cs="Times New Roman"/>
          <w:sz w:val="24"/>
          <w:szCs w:val="24"/>
        </w:rPr>
      </w:pPr>
    </w:p>
    <w:p w14:paraId="51B138E5"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provides a comprehensive overview of the relationship between big data and CRM, which is relevant to my research topic. It offers valuable insights into leveraging big data to enhance personalisation and customisation within CRM strategies.</w:t>
      </w:r>
    </w:p>
    <w:p w14:paraId="16E09D7C" w14:textId="77777777" w:rsidR="00CF1E2D" w:rsidRDefault="00CF1E2D">
      <w:pPr>
        <w:spacing w:line="360" w:lineRule="auto"/>
        <w:jc w:val="both"/>
        <w:rPr>
          <w:rFonts w:ascii="Times New Roman" w:eastAsia="Times New Roman" w:hAnsi="Times New Roman" w:cs="Times New Roman"/>
          <w:sz w:val="24"/>
          <w:szCs w:val="24"/>
        </w:rPr>
      </w:pPr>
    </w:p>
    <w:p w14:paraId="42064DED" w14:textId="77777777" w:rsidR="00CF1E2D" w:rsidRDefault="00CF1E2D">
      <w:pPr>
        <w:spacing w:line="360" w:lineRule="auto"/>
        <w:jc w:val="both"/>
        <w:rPr>
          <w:rFonts w:ascii="Times New Roman" w:eastAsia="Times New Roman" w:hAnsi="Times New Roman" w:cs="Times New Roman"/>
          <w:sz w:val="24"/>
          <w:szCs w:val="24"/>
        </w:rPr>
      </w:pPr>
    </w:p>
    <w:p w14:paraId="06E85990"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Baalbaki, S. S. (2012). Consumer Perception of Brand Equity Measurement: A New Scale. Doctoral dissertation, University of North Texas.</w:t>
      </w:r>
    </w:p>
    <w:p w14:paraId="1AC0A256" w14:textId="77777777" w:rsidR="00CF1E2D" w:rsidRDefault="00CF1E2D">
      <w:pPr>
        <w:spacing w:line="360" w:lineRule="auto"/>
        <w:jc w:val="both"/>
        <w:rPr>
          <w:rFonts w:ascii="Times New Roman" w:eastAsia="Times New Roman" w:hAnsi="Times New Roman" w:cs="Times New Roman"/>
          <w:sz w:val="24"/>
          <w:szCs w:val="24"/>
        </w:rPr>
      </w:pPr>
    </w:p>
    <w:p w14:paraId="6B20797B"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develops and validates a new conceptualisation and measurement scale for consumer-perceived consumer-based brand equity (CBBE). The author argues that existing brand equity frameworks need to capture the consumer's perspective adequately. Through qualitative research and two quantitative studies, a five-dimensional structure of consumer-perceived CBBE is proposed, consisting of quality, preference, social influence, sustainability, and leadership. </w:t>
      </w:r>
    </w:p>
    <w:p w14:paraId="57E16562" w14:textId="77777777" w:rsidR="00CF1E2D" w:rsidRDefault="00CF1E2D">
      <w:pPr>
        <w:spacing w:line="360" w:lineRule="auto"/>
        <w:jc w:val="both"/>
        <w:rPr>
          <w:rFonts w:ascii="Times New Roman" w:eastAsia="Times New Roman" w:hAnsi="Times New Roman" w:cs="Times New Roman"/>
          <w:sz w:val="24"/>
          <w:szCs w:val="24"/>
        </w:rPr>
      </w:pPr>
    </w:p>
    <w:p w14:paraId="7CFB4A9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new scale demonstrates strong reliability and validity, offering a fresh approach to understanding and measuring the intangible asset of brand equity from the consumer's point of view. This is a robust doctoral dissertation that provides a valuable contribution to the brand equity literature and can be relevant to my research.</w:t>
      </w:r>
    </w:p>
    <w:p w14:paraId="4F6AB6CA" w14:textId="77777777" w:rsidR="00CF1E2D" w:rsidRDefault="00CF1E2D">
      <w:pPr>
        <w:spacing w:line="360" w:lineRule="auto"/>
        <w:jc w:val="both"/>
        <w:rPr>
          <w:rFonts w:ascii="Times New Roman" w:eastAsia="Times New Roman" w:hAnsi="Times New Roman" w:cs="Times New Roman"/>
          <w:sz w:val="24"/>
          <w:szCs w:val="24"/>
        </w:rPr>
      </w:pPr>
    </w:p>
    <w:p w14:paraId="4BF33521" w14:textId="77777777" w:rsidR="00CF1E2D" w:rsidRDefault="00CF1E2D">
      <w:pPr>
        <w:spacing w:line="360" w:lineRule="auto"/>
        <w:jc w:val="both"/>
        <w:rPr>
          <w:rFonts w:ascii="Times New Roman" w:eastAsia="Times New Roman" w:hAnsi="Times New Roman" w:cs="Times New Roman"/>
          <w:sz w:val="24"/>
          <w:szCs w:val="24"/>
        </w:rPr>
      </w:pPr>
    </w:p>
    <w:p w14:paraId="4C4A1358"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Bahari, T. F., &amp; Elayidom, M. S. (2015). An Efficient CRM-Data Mining Framework for the Prediction of Customer Behaviour. Procedia Computer Science, 46, 725-731.</w:t>
      </w:r>
    </w:p>
    <w:p w14:paraId="50D5076F" w14:textId="77777777" w:rsidR="00CF1E2D" w:rsidRDefault="00CF1E2D">
      <w:pPr>
        <w:spacing w:line="360" w:lineRule="auto"/>
        <w:jc w:val="both"/>
        <w:rPr>
          <w:rFonts w:ascii="Times New Roman" w:eastAsia="Times New Roman" w:hAnsi="Times New Roman" w:cs="Times New Roman"/>
          <w:sz w:val="24"/>
          <w:szCs w:val="24"/>
        </w:rPr>
      </w:pPr>
    </w:p>
    <w:p w14:paraId="178B1FD1"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proposes an efficient CRM-data mining framework and investigates the effectiveness of Naive Bayes and Neural Network classification models in predicting customer behaviour in the banking domain. The study demonstrates the value of integrating data mining techniques within a CRM framework to enhance customer relationship management.</w:t>
      </w:r>
    </w:p>
    <w:p w14:paraId="4F505D61" w14:textId="77777777" w:rsidR="00CF1E2D" w:rsidRDefault="00CF1E2D">
      <w:pPr>
        <w:spacing w:line="360" w:lineRule="auto"/>
        <w:jc w:val="both"/>
        <w:rPr>
          <w:rFonts w:ascii="Times New Roman" w:eastAsia="Times New Roman" w:hAnsi="Times New Roman" w:cs="Times New Roman"/>
          <w:sz w:val="24"/>
          <w:szCs w:val="24"/>
        </w:rPr>
      </w:pPr>
    </w:p>
    <w:p w14:paraId="591B44E1"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offer practical insights for businesses looking to leverage data mining to improve customer relationships and predict behaviour. This study is relevant to my research and can provide a solid foundation for further exploration of the integration of data mining and CRM.</w:t>
      </w:r>
    </w:p>
    <w:p w14:paraId="062E4222" w14:textId="248F5687"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9F74E3D" w14:textId="77777777" w:rsidR="00CF1E2D" w:rsidRDefault="00CF1E2D">
      <w:pPr>
        <w:spacing w:line="360" w:lineRule="auto"/>
        <w:jc w:val="both"/>
        <w:rPr>
          <w:rFonts w:ascii="Times New Roman" w:eastAsia="Times New Roman" w:hAnsi="Times New Roman" w:cs="Times New Roman"/>
          <w:sz w:val="24"/>
          <w:szCs w:val="24"/>
        </w:rPr>
      </w:pPr>
    </w:p>
    <w:p w14:paraId="37ABD663"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Bashar, A., Ahmad, I., &amp; Wasiq, M. (2012). Effectiveness of social media as a marketing tool: An empirical study. International Journal of Marketing, Financial Services &amp; Management Research, 1(11), 88-99.</w:t>
      </w:r>
    </w:p>
    <w:p w14:paraId="564C6B1B" w14:textId="77777777" w:rsidR="00CF1E2D" w:rsidRDefault="00CF1E2D">
      <w:pPr>
        <w:spacing w:line="360" w:lineRule="auto"/>
        <w:jc w:val="both"/>
        <w:rPr>
          <w:rFonts w:ascii="Times New Roman" w:eastAsia="Times New Roman" w:hAnsi="Times New Roman" w:cs="Times New Roman"/>
          <w:sz w:val="24"/>
          <w:szCs w:val="24"/>
        </w:rPr>
      </w:pPr>
    </w:p>
    <w:p w14:paraId="4CB5CE2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extent to which social media helps consumers in their buying decision-making process and identifies the gap between consumer expectations and the actual performance of social media. The researchers conducted an online survey of 150 social media users in India. They found that while social media significantly influences purchasing decisions, there is a need for businesses to design more effective social media strategies to bridge the gap between consumer expectations and performance. The study provides valuable insights into consumer motivations, behaviour, and perceptions of social media marketing.</w:t>
      </w:r>
    </w:p>
    <w:p w14:paraId="75B2F58D" w14:textId="77777777" w:rsidR="00CF1E2D" w:rsidRDefault="00CF1E2D">
      <w:pPr>
        <w:spacing w:line="360" w:lineRule="auto"/>
        <w:jc w:val="both"/>
        <w:rPr>
          <w:rFonts w:ascii="Times New Roman" w:eastAsia="Times New Roman" w:hAnsi="Times New Roman" w:cs="Times New Roman"/>
          <w:sz w:val="24"/>
          <w:szCs w:val="24"/>
        </w:rPr>
      </w:pPr>
    </w:p>
    <w:p w14:paraId="6D830952"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insights from this study can inform the development of my conceptual framework and hypotheses. I can potentially compare the Indian context with my study setting to gain a more comprehensive understanding of the topic.</w:t>
      </w:r>
    </w:p>
    <w:p w14:paraId="57098C98" w14:textId="77777777" w:rsidR="00CF1E2D" w:rsidRDefault="00CF1E2D">
      <w:pPr>
        <w:spacing w:line="360" w:lineRule="auto"/>
        <w:jc w:val="both"/>
        <w:rPr>
          <w:rFonts w:ascii="Times New Roman" w:eastAsia="Times New Roman" w:hAnsi="Times New Roman" w:cs="Times New Roman"/>
          <w:sz w:val="24"/>
          <w:szCs w:val="24"/>
        </w:rPr>
      </w:pPr>
    </w:p>
    <w:p w14:paraId="24637C29"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Berry, L.L. (2000). Cultivating Service Brand Equity. Journal of the Academy of Marketing Science, 28(1), 128-137.</w:t>
      </w:r>
    </w:p>
    <w:p w14:paraId="179EFBAD" w14:textId="77777777" w:rsidR="00CF1E2D" w:rsidRDefault="00CF1E2D">
      <w:pPr>
        <w:spacing w:line="360" w:lineRule="auto"/>
        <w:jc w:val="both"/>
        <w:rPr>
          <w:rFonts w:ascii="Times New Roman" w:eastAsia="Times New Roman" w:hAnsi="Times New Roman" w:cs="Times New Roman"/>
          <w:sz w:val="24"/>
          <w:szCs w:val="24"/>
        </w:rPr>
      </w:pPr>
    </w:p>
    <w:p w14:paraId="4929D9F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the importance of branding for service companies and the strategies they can use to cultivate substantial service brand equity. The author argues that in services, the company itself is the primary brand, unlike in packaged goods, where the product is the brand. The author presents a service-branding model and discusses four key strategies: daring to be different, performing the core service well, reaching customers emotionally, and associating the brand with trust. </w:t>
      </w:r>
    </w:p>
    <w:p w14:paraId="659BA275" w14:textId="77777777" w:rsidR="00CF1E2D" w:rsidRDefault="00CF1E2D">
      <w:pPr>
        <w:spacing w:line="360" w:lineRule="auto"/>
        <w:jc w:val="both"/>
        <w:rPr>
          <w:rFonts w:ascii="Times New Roman" w:eastAsia="Times New Roman" w:hAnsi="Times New Roman" w:cs="Times New Roman"/>
          <w:sz w:val="24"/>
          <w:szCs w:val="24"/>
        </w:rPr>
      </w:pPr>
    </w:p>
    <w:p w14:paraId="1EB45885"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offers valuable insights into the role of branding in the service sector. Besides, the ideas and strategies presented in this article can be relevant to my research.</w:t>
      </w:r>
    </w:p>
    <w:p w14:paraId="07B49D05" w14:textId="0F8141CB"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CC5D518" w14:textId="77777777" w:rsidR="00CF1E2D" w:rsidRDefault="00CF1E2D">
      <w:pPr>
        <w:spacing w:line="360" w:lineRule="auto"/>
        <w:jc w:val="both"/>
        <w:rPr>
          <w:rFonts w:ascii="Times New Roman" w:eastAsia="Times New Roman" w:hAnsi="Times New Roman" w:cs="Times New Roman"/>
          <w:sz w:val="24"/>
          <w:szCs w:val="24"/>
        </w:rPr>
      </w:pPr>
    </w:p>
    <w:p w14:paraId="36F86CDC"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J. J., &amp; Reingen, P. H. (1987). Social Ties and Word-of-Mouth Referral Behavior. Journal of Consumer Research, 14(3), 350-362.</w:t>
      </w:r>
    </w:p>
    <w:p w14:paraId="7374F58E" w14:textId="77777777" w:rsidR="00CF1E2D" w:rsidRDefault="00CF1E2D">
      <w:pPr>
        <w:spacing w:line="360" w:lineRule="auto"/>
        <w:jc w:val="both"/>
        <w:rPr>
          <w:rFonts w:ascii="Times New Roman" w:eastAsia="Times New Roman" w:hAnsi="Times New Roman" w:cs="Times New Roman"/>
          <w:sz w:val="24"/>
          <w:szCs w:val="24"/>
        </w:rPr>
      </w:pPr>
    </w:p>
    <w:p w14:paraId="68FD4D4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the roles of social tie strength and homophily in word-of-mouth (WOM) referral behaviour at both the macro and micro levels. The authors used network analysis to investigate how micro-level interactions in dyads or small groups aggregate into larger-scale WOM processes. </w:t>
      </w:r>
    </w:p>
    <w:p w14:paraId="588AB75E" w14:textId="77777777" w:rsidR="00CF1E2D" w:rsidRDefault="00CF1E2D">
      <w:pPr>
        <w:spacing w:line="360" w:lineRule="auto"/>
        <w:jc w:val="both"/>
        <w:rPr>
          <w:rFonts w:ascii="Times New Roman" w:eastAsia="Times New Roman" w:hAnsi="Times New Roman" w:cs="Times New Roman"/>
          <w:sz w:val="24"/>
          <w:szCs w:val="24"/>
        </w:rPr>
      </w:pPr>
    </w:p>
    <w:p w14:paraId="5CA986C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authors provide strong empirical evidence to support their claims, and the network analysis approach offers valuable insights into the social dynamics underlying WOM referral behaviour. The findings are relevant to understanding the complex processes involved in WOM communication and can inform marketing strategies aimed at leveraging social networks.</w:t>
      </w:r>
    </w:p>
    <w:p w14:paraId="6EA4AD99" w14:textId="77777777" w:rsidR="00CF1E2D" w:rsidRDefault="00CF1E2D">
      <w:pPr>
        <w:spacing w:line="360" w:lineRule="auto"/>
        <w:jc w:val="both"/>
        <w:rPr>
          <w:rFonts w:ascii="Times New Roman" w:eastAsia="Times New Roman" w:hAnsi="Times New Roman" w:cs="Times New Roman"/>
          <w:sz w:val="24"/>
          <w:szCs w:val="24"/>
        </w:rPr>
      </w:pPr>
    </w:p>
    <w:p w14:paraId="3EA4CBF4" w14:textId="77777777" w:rsidR="00CF1E2D" w:rsidRDefault="00CF1E2D">
      <w:pPr>
        <w:spacing w:line="360" w:lineRule="auto"/>
        <w:jc w:val="both"/>
        <w:rPr>
          <w:rFonts w:ascii="Times New Roman" w:eastAsia="Times New Roman" w:hAnsi="Times New Roman" w:cs="Times New Roman"/>
          <w:sz w:val="24"/>
          <w:szCs w:val="24"/>
        </w:rPr>
      </w:pPr>
    </w:p>
    <w:p w14:paraId="533135C4"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Bruyn, A. D., &amp; Lilien, G. L. (2008). A multi-stage model of word-of-mouth influence through viral marketing. International Journal of Research in Marketing, 25(3), 151–163.</w:t>
      </w:r>
    </w:p>
    <w:p w14:paraId="21E89026" w14:textId="77777777" w:rsidR="00CF1E2D" w:rsidRDefault="00CF1E2D">
      <w:pPr>
        <w:spacing w:line="360" w:lineRule="auto"/>
        <w:jc w:val="both"/>
        <w:rPr>
          <w:rFonts w:ascii="Times New Roman" w:eastAsia="Times New Roman" w:hAnsi="Times New Roman" w:cs="Times New Roman"/>
          <w:sz w:val="24"/>
          <w:szCs w:val="24"/>
        </w:rPr>
      </w:pPr>
    </w:p>
    <w:p w14:paraId="71EEC38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explores how electronic word-of-mouth (eWOM) through viral marketing campaigns can influence consumers' decision-making process. The authors develop a multi-stage model to understand the role of eWOM at different stages. </w:t>
      </w:r>
    </w:p>
    <w:p w14:paraId="6FCF8441" w14:textId="77777777" w:rsidR="00CF1E2D" w:rsidRDefault="00CF1E2D">
      <w:pPr>
        <w:spacing w:line="360" w:lineRule="auto"/>
        <w:jc w:val="both"/>
        <w:rPr>
          <w:rFonts w:ascii="Times New Roman" w:eastAsia="Times New Roman" w:hAnsi="Times New Roman" w:cs="Times New Roman"/>
          <w:sz w:val="24"/>
          <w:szCs w:val="24"/>
        </w:rPr>
      </w:pPr>
    </w:p>
    <w:p w14:paraId="0711A1A3"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makes significant theoretical and methodological contributions to the understanding of WOM's influence in viral marketing. The findings and the proposed multi-stage model can inform my research on the role of social networks in the dissemination of marketing messages.</w:t>
      </w:r>
    </w:p>
    <w:p w14:paraId="4A728C9B" w14:textId="7C8CFD70"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7E3BE7A" w14:textId="77777777" w:rsidR="00CF1E2D" w:rsidRDefault="00CF1E2D">
      <w:pPr>
        <w:spacing w:line="360" w:lineRule="auto"/>
        <w:jc w:val="both"/>
        <w:rPr>
          <w:rFonts w:ascii="Times New Roman" w:eastAsia="Times New Roman" w:hAnsi="Times New Roman" w:cs="Times New Roman"/>
          <w:sz w:val="24"/>
          <w:szCs w:val="24"/>
        </w:rPr>
      </w:pPr>
    </w:p>
    <w:p w14:paraId="2788FE76"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Y.-F., &amp; Hsiao, C.-H. (2009). Applying market segmentation theory to student behaviour in selecting a school or department. New Horizons in Education, 57(2), 32-47.</w:t>
      </w:r>
    </w:p>
    <w:p w14:paraId="4D96BAC6" w14:textId="77777777" w:rsidR="00CF1E2D" w:rsidRDefault="00CF1E2D">
      <w:pPr>
        <w:spacing w:line="360" w:lineRule="auto"/>
        <w:jc w:val="both"/>
        <w:rPr>
          <w:rFonts w:ascii="Times New Roman" w:eastAsia="Times New Roman" w:hAnsi="Times New Roman" w:cs="Times New Roman"/>
          <w:sz w:val="24"/>
          <w:szCs w:val="24"/>
        </w:rPr>
      </w:pPr>
    </w:p>
    <w:p w14:paraId="2A8829D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explores how Taiwanese vocational and technical education (TVE) students select a school or department, drawing on market segmentation theory. The researchers surveyed 1,200 TVE freshmen and identified four key factors in their decision-making: "reputation and quality", "function and convenience", "emotion and meaning", and "scale and structure".</w:t>
      </w:r>
    </w:p>
    <w:p w14:paraId="44B97312" w14:textId="77777777" w:rsidR="00CF1E2D" w:rsidRDefault="00CF1E2D">
      <w:pPr>
        <w:spacing w:line="360" w:lineRule="auto"/>
        <w:jc w:val="both"/>
        <w:rPr>
          <w:rFonts w:ascii="Times New Roman" w:eastAsia="Times New Roman" w:hAnsi="Times New Roman" w:cs="Times New Roman"/>
          <w:sz w:val="24"/>
          <w:szCs w:val="24"/>
        </w:rPr>
      </w:pPr>
    </w:p>
    <w:p w14:paraId="1980573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can inform more effective recruitment strategies by helping institutions understand their target student segments and tailor their marketing approaches accordingly. </w:t>
      </w:r>
    </w:p>
    <w:p w14:paraId="6B9E1B50" w14:textId="77777777" w:rsidR="00CF1E2D" w:rsidRDefault="00CF1E2D">
      <w:pPr>
        <w:spacing w:line="360" w:lineRule="auto"/>
        <w:jc w:val="both"/>
        <w:rPr>
          <w:rFonts w:ascii="Times New Roman" w:eastAsia="Times New Roman" w:hAnsi="Times New Roman" w:cs="Times New Roman"/>
          <w:sz w:val="24"/>
          <w:szCs w:val="24"/>
        </w:rPr>
      </w:pPr>
    </w:p>
    <w:p w14:paraId="2B8AB976"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Coker, K. K., &amp; Ashill, N. J. (2019). Customer retention management processes: A quantitative study. Journal of Retailing and Consumer Services, 47, 42-50.</w:t>
      </w:r>
    </w:p>
    <w:p w14:paraId="03F99ED7" w14:textId="77777777" w:rsidR="00CF1E2D" w:rsidRDefault="00CF1E2D">
      <w:pPr>
        <w:spacing w:line="360" w:lineRule="auto"/>
        <w:jc w:val="both"/>
        <w:rPr>
          <w:rFonts w:ascii="Times New Roman" w:eastAsia="Times New Roman" w:hAnsi="Times New Roman" w:cs="Times New Roman"/>
          <w:sz w:val="24"/>
          <w:szCs w:val="24"/>
        </w:rPr>
      </w:pPr>
    </w:p>
    <w:p w14:paraId="1A4F4FB6"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quantitative study examines the critical customer retention management (CRM) processes that contribute to enhanced customer retention in a service context. The findings suggest that proactive customer service, personalised communication, and effective complaint handling are the most influential CRM processes for improving customer retention. </w:t>
      </w:r>
    </w:p>
    <w:p w14:paraId="6FB1B608" w14:textId="77777777" w:rsidR="00CF1E2D" w:rsidRDefault="00CF1E2D">
      <w:pPr>
        <w:spacing w:line="360" w:lineRule="auto"/>
        <w:jc w:val="both"/>
        <w:rPr>
          <w:rFonts w:ascii="Times New Roman" w:eastAsia="Times New Roman" w:hAnsi="Times New Roman" w:cs="Times New Roman"/>
          <w:sz w:val="24"/>
          <w:szCs w:val="24"/>
        </w:rPr>
      </w:pPr>
    </w:p>
    <w:p w14:paraId="0FA1449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provides a robust theoretical foundation and use appropriate quantitative methods to test their conceptual model. The results offer practical implications for service organisations seeking to enhance customer retention through targeted CRM strategies. The study provides valuable insights into the specific CRM processes that drive customer retention.</w:t>
      </w:r>
    </w:p>
    <w:p w14:paraId="38D16671" w14:textId="070F33DA"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D44EA64" w14:textId="77777777" w:rsidR="00CF1E2D" w:rsidRPr="00082D8D" w:rsidRDefault="00CF1E2D">
      <w:pPr>
        <w:spacing w:line="360" w:lineRule="auto"/>
        <w:jc w:val="both"/>
        <w:rPr>
          <w:rFonts w:ascii="Times New Roman" w:eastAsia="Times New Roman" w:hAnsi="Times New Roman" w:cs="Times New Roman"/>
          <w:sz w:val="24"/>
          <w:szCs w:val="24"/>
        </w:rPr>
      </w:pPr>
    </w:p>
    <w:p w14:paraId="5453D41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Daly, R. (2021). Customer retention management: A reflection of theory and practice. International Journal of Bank Marketing, 39(2), 217-235.</w:t>
      </w:r>
    </w:p>
    <w:p w14:paraId="2EFD5F49" w14:textId="77777777" w:rsidR="00CF1E2D" w:rsidRDefault="00CF1E2D">
      <w:pPr>
        <w:spacing w:line="360" w:lineRule="auto"/>
        <w:jc w:val="both"/>
        <w:rPr>
          <w:rFonts w:ascii="Times New Roman" w:eastAsia="Times New Roman" w:hAnsi="Times New Roman" w:cs="Times New Roman"/>
          <w:sz w:val="24"/>
          <w:szCs w:val="24"/>
        </w:rPr>
      </w:pPr>
    </w:p>
    <w:p w14:paraId="493D4BE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theoretical underpinnings and practical implementation of customer retention management (CRM) in the banking industry. The study uses a mixed-methods approach, combining a literature review with interviews of bank managers. The author emphasises the importance of a customer-centric culture, personalised service, and strategic use of data and technology in effective CRM implementation.</w:t>
      </w:r>
    </w:p>
    <w:p w14:paraId="4F96F68D" w14:textId="77777777" w:rsidR="00CF1E2D" w:rsidRDefault="00CF1E2D">
      <w:pPr>
        <w:spacing w:line="360" w:lineRule="auto"/>
        <w:jc w:val="both"/>
        <w:rPr>
          <w:rFonts w:ascii="Times New Roman" w:eastAsia="Times New Roman" w:hAnsi="Times New Roman" w:cs="Times New Roman"/>
          <w:sz w:val="24"/>
          <w:szCs w:val="24"/>
        </w:rPr>
      </w:pPr>
    </w:p>
    <w:p w14:paraId="6D7D5A2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article offers valuable insights into the theoretical and practical aspects of CRM. Its study can inform my understanding of customer-centric strategies and the use of data to enhance customer retention.</w:t>
      </w:r>
    </w:p>
    <w:p w14:paraId="7CF9AA8B" w14:textId="77777777" w:rsidR="00CF1E2D" w:rsidRDefault="00CF1E2D">
      <w:pPr>
        <w:spacing w:line="360" w:lineRule="auto"/>
        <w:jc w:val="both"/>
        <w:rPr>
          <w:rFonts w:ascii="Times New Roman" w:eastAsia="Times New Roman" w:hAnsi="Times New Roman" w:cs="Times New Roman"/>
          <w:sz w:val="24"/>
          <w:szCs w:val="24"/>
        </w:rPr>
      </w:pPr>
    </w:p>
    <w:p w14:paraId="11107EE0"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Dilip Kumar &amp; Rajeev P. V. (2016). Value Chain: A Conceptual Framework. I.J.E.M.S., VOL.7 (1) 2016: 74-77.</w:t>
      </w:r>
    </w:p>
    <w:p w14:paraId="40E00BE6" w14:textId="77777777" w:rsidR="00CF1E2D" w:rsidRDefault="00CF1E2D">
      <w:pPr>
        <w:spacing w:line="360" w:lineRule="auto"/>
        <w:jc w:val="both"/>
        <w:rPr>
          <w:rFonts w:ascii="Times New Roman" w:eastAsia="Times New Roman" w:hAnsi="Times New Roman" w:cs="Times New Roman"/>
          <w:sz w:val="24"/>
          <w:szCs w:val="24"/>
        </w:rPr>
      </w:pPr>
    </w:p>
    <w:p w14:paraId="6E355D0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provides a comprehensive overview of the value chain concept. The authors define value and value chain, highlighting Michael Porter's model as a key framework. The authors conclude that the value chain is vital for firms to identify organisational value and deliver superior value to customers.</w:t>
      </w:r>
    </w:p>
    <w:p w14:paraId="103FCE83" w14:textId="77777777" w:rsidR="00CF1E2D" w:rsidRDefault="00CF1E2D">
      <w:pPr>
        <w:spacing w:line="360" w:lineRule="auto"/>
        <w:jc w:val="both"/>
        <w:rPr>
          <w:rFonts w:ascii="Times New Roman" w:eastAsia="Times New Roman" w:hAnsi="Times New Roman" w:cs="Times New Roman"/>
          <w:sz w:val="24"/>
          <w:szCs w:val="24"/>
        </w:rPr>
      </w:pPr>
    </w:p>
    <w:p w14:paraId="7AE224C5"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provides a solid conceptual basis for understanding the value chain concept and its significance in business strategy. The insights from this study can be used to unpack the core concepts of my research and support my arguments.</w:t>
      </w:r>
    </w:p>
    <w:p w14:paraId="50A987B6" w14:textId="5924EC1B"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882B49A" w14:textId="77777777" w:rsidR="00CF1E2D" w:rsidRDefault="00CF1E2D">
      <w:pPr>
        <w:spacing w:line="360" w:lineRule="auto"/>
        <w:jc w:val="both"/>
        <w:rPr>
          <w:rFonts w:ascii="Times New Roman" w:eastAsia="Times New Roman" w:hAnsi="Times New Roman" w:cs="Times New Roman"/>
          <w:sz w:val="24"/>
          <w:szCs w:val="24"/>
        </w:rPr>
      </w:pPr>
    </w:p>
    <w:p w14:paraId="12C82B8F"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Gichuru, M. J., &amp; Limiri, E. K. (2017). Market segmentation as a strategy for customer satisfaction and retention. International Journal of Economics, Commerce and Management, 5(12), 544-557.</w:t>
      </w:r>
    </w:p>
    <w:p w14:paraId="243BC9A5" w14:textId="77777777" w:rsidR="00CF1E2D" w:rsidRDefault="00CF1E2D">
      <w:pPr>
        <w:spacing w:line="360" w:lineRule="auto"/>
        <w:jc w:val="both"/>
        <w:rPr>
          <w:rFonts w:ascii="Times New Roman" w:eastAsia="Times New Roman" w:hAnsi="Times New Roman" w:cs="Times New Roman"/>
          <w:sz w:val="24"/>
          <w:szCs w:val="24"/>
        </w:rPr>
      </w:pPr>
    </w:p>
    <w:p w14:paraId="24B3775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use of market segmentation as a strategy to enhance customer satisfaction and retention. The authors argue that effective segmentation enables service providers to offer tailored services that meet the diverse needs and preferences of customers. The study presents a comprehensive review of segmentation approaches, including geographic, demographic, psychographic and behavioural factors. The authors emphasise the importance of using multiple variables to achieve more targeted and effective segmentation. The paper concludes that market segmentation is a crucial strategy for increasing market share, profitability and customer loyalty but cautions that institutions must address potential barriers to implementation.</w:t>
      </w:r>
    </w:p>
    <w:p w14:paraId="13F6FC03" w14:textId="77777777" w:rsidR="00CF1E2D" w:rsidRDefault="00CF1E2D">
      <w:pPr>
        <w:spacing w:line="360" w:lineRule="auto"/>
        <w:jc w:val="both"/>
        <w:rPr>
          <w:rFonts w:ascii="Times New Roman" w:eastAsia="Times New Roman" w:hAnsi="Times New Roman" w:cs="Times New Roman"/>
          <w:sz w:val="24"/>
          <w:szCs w:val="24"/>
        </w:rPr>
      </w:pPr>
    </w:p>
    <w:p w14:paraId="052EAEAC"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provides a robust theoretical and empirical foundation for understanding the role of market segmentation in improving customer-related outcomes. The authors' balanced discussion of the benefits and challenges of segmentation, grounded in established marketing concepts, makes this an insightful and relevant source for my research on market segmentation and customer satisfaction/retention.</w:t>
      </w:r>
    </w:p>
    <w:p w14:paraId="6AEFBD12" w14:textId="49576E42"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A2DACA0" w14:textId="77777777" w:rsidR="00CF1E2D" w:rsidRDefault="00CF1E2D">
      <w:pPr>
        <w:spacing w:line="360" w:lineRule="auto"/>
        <w:jc w:val="both"/>
        <w:rPr>
          <w:rFonts w:ascii="Times New Roman" w:eastAsia="Times New Roman" w:hAnsi="Times New Roman" w:cs="Times New Roman"/>
          <w:sz w:val="24"/>
          <w:szCs w:val="24"/>
        </w:rPr>
      </w:pPr>
    </w:p>
    <w:p w14:paraId="0A354B69"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Gilmore, A., Carson, D., &amp; Grant, K. (2001). SME marketing in practice. Marketing Intelligence &amp; Planning, 19(1), 6-11.</w:t>
      </w:r>
    </w:p>
    <w:p w14:paraId="399AB5F7" w14:textId="77777777" w:rsidR="00CF1E2D" w:rsidRDefault="00CF1E2D">
      <w:pPr>
        <w:spacing w:line="360" w:lineRule="auto"/>
        <w:jc w:val="both"/>
        <w:rPr>
          <w:rFonts w:ascii="Times New Roman" w:eastAsia="Times New Roman" w:hAnsi="Times New Roman" w:cs="Times New Roman"/>
          <w:sz w:val="24"/>
          <w:szCs w:val="24"/>
        </w:rPr>
      </w:pPr>
    </w:p>
    <w:p w14:paraId="7F438EC2"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explores how small and medium-sized enterprises (SMEs) engage in marketing through networking activities rather than conventional marketing approaches. The researchers conducted in-depth interviews with 45 SME owner-managers in Northern Ireland and Australia. The findings demonstrate that SME owner-managers extensively use various forms of networks, such as personal, social, business, industry and marketing networks, as a key approach to their marketing activities. </w:t>
      </w:r>
    </w:p>
    <w:p w14:paraId="5DC893FF" w14:textId="77777777" w:rsidR="00CF1E2D" w:rsidRDefault="00CF1E2D">
      <w:pPr>
        <w:spacing w:line="360" w:lineRule="auto"/>
        <w:jc w:val="both"/>
        <w:rPr>
          <w:rFonts w:ascii="Times New Roman" w:eastAsia="Times New Roman" w:hAnsi="Times New Roman" w:cs="Times New Roman"/>
          <w:sz w:val="24"/>
          <w:szCs w:val="24"/>
        </w:rPr>
      </w:pPr>
    </w:p>
    <w:p w14:paraId="72E290A6"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provides valuable insights into how SMEs leverage their networks for marketing purposes. The qualitative, empirical approach is appropriate for exploring the nuanced realities of SME marketing practices.</w:t>
      </w:r>
    </w:p>
    <w:p w14:paraId="78D42989" w14:textId="77777777" w:rsidR="00CF1E2D" w:rsidRDefault="00CF1E2D">
      <w:pPr>
        <w:spacing w:line="360" w:lineRule="auto"/>
        <w:jc w:val="both"/>
        <w:rPr>
          <w:rFonts w:ascii="Times New Roman" w:eastAsia="Times New Roman" w:hAnsi="Times New Roman" w:cs="Times New Roman"/>
          <w:sz w:val="24"/>
          <w:szCs w:val="24"/>
        </w:rPr>
      </w:pPr>
    </w:p>
    <w:p w14:paraId="7E4A691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Gilmore, A., Gallagher, D., &amp; Henry, S. (2007). E-marketing and SMEs: operational lessons for the future. European Business Review, 19(3), 234-247.</w:t>
      </w:r>
    </w:p>
    <w:p w14:paraId="07ADE4EF" w14:textId="77777777" w:rsidR="00CF1E2D" w:rsidRDefault="00CF1E2D">
      <w:pPr>
        <w:spacing w:line="360" w:lineRule="auto"/>
        <w:jc w:val="both"/>
        <w:rPr>
          <w:rFonts w:ascii="Times New Roman" w:eastAsia="Times New Roman" w:hAnsi="Times New Roman" w:cs="Times New Roman"/>
          <w:sz w:val="24"/>
          <w:szCs w:val="24"/>
        </w:rPr>
      </w:pPr>
    </w:p>
    <w:p w14:paraId="35344F03"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the impact of the Internet and e-marketing on SMEs in a regional economy. The researchers conducted in-depth interviews with SME marketing managers to explore the barriers, implementation issues, and consequences of adopting e-marketing. The findings reveal that while SMEs have continued using the Internet since 2000, they still need to utilise their full potential due to their inherent characteristics, such as limited resources and expertise. The study provides valuable insights into the persistent challenges SMEs face in leveraging the benefits of e-marketing, which is relevant to understanding SME marketing in a regional context. </w:t>
      </w:r>
    </w:p>
    <w:p w14:paraId="32C7E3AF" w14:textId="77777777" w:rsidR="00CF1E2D" w:rsidRDefault="00CF1E2D">
      <w:pPr>
        <w:spacing w:line="360" w:lineRule="auto"/>
        <w:jc w:val="both"/>
        <w:rPr>
          <w:rFonts w:ascii="Times New Roman" w:eastAsia="Times New Roman" w:hAnsi="Times New Roman" w:cs="Times New Roman"/>
          <w:sz w:val="24"/>
          <w:szCs w:val="24"/>
        </w:rPr>
      </w:pPr>
    </w:p>
    <w:p w14:paraId="39766FE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peer-reviewed journal article provides relevant insights into SMEs' use of e-marketing in a regional context. The qualitative methodology allowed for an in-depth exploration of the issues faced by SMEs. I can draw on the barriers, implementation issues, and consequences identified in this study to support my arguments.</w:t>
      </w:r>
    </w:p>
    <w:p w14:paraId="0FAF43F7" w14:textId="77777777" w:rsidR="00CF1E2D" w:rsidRDefault="00CF1E2D">
      <w:pPr>
        <w:spacing w:line="360" w:lineRule="auto"/>
        <w:jc w:val="both"/>
        <w:rPr>
          <w:rFonts w:ascii="Times New Roman" w:eastAsia="Times New Roman" w:hAnsi="Times New Roman" w:cs="Times New Roman"/>
          <w:sz w:val="24"/>
          <w:szCs w:val="24"/>
        </w:rPr>
      </w:pPr>
    </w:p>
    <w:p w14:paraId="51CF0EC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Green, P. E., &amp; Krieger, A. M. (1991). Segmenting markets with conjoint analysis. Journal of Marketing, 55(4), 20-31.</w:t>
      </w:r>
    </w:p>
    <w:p w14:paraId="0F77D7E5" w14:textId="77777777" w:rsidR="00CF1E2D" w:rsidRDefault="00CF1E2D">
      <w:pPr>
        <w:spacing w:line="360" w:lineRule="auto"/>
        <w:ind w:left="720"/>
        <w:jc w:val="both"/>
        <w:rPr>
          <w:rFonts w:ascii="Times New Roman" w:eastAsia="Times New Roman" w:hAnsi="Times New Roman" w:cs="Times New Roman"/>
          <w:sz w:val="24"/>
          <w:szCs w:val="24"/>
        </w:rPr>
      </w:pPr>
    </w:p>
    <w:p w14:paraId="03A2249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provides a practical guide to the use of conjoint analysis, a widely employed market research technique for understanding consumer preferences and decision-making. The authors outline the key steps involved, from experimental design and data collection to estimation and interpretation of results. </w:t>
      </w:r>
    </w:p>
    <w:p w14:paraId="7E636C41" w14:textId="77777777" w:rsidR="00CF1E2D" w:rsidRDefault="00CF1E2D">
      <w:pPr>
        <w:spacing w:line="360" w:lineRule="auto"/>
        <w:jc w:val="both"/>
        <w:rPr>
          <w:rFonts w:ascii="Times New Roman" w:eastAsia="Times New Roman" w:hAnsi="Times New Roman" w:cs="Times New Roman"/>
          <w:sz w:val="24"/>
          <w:szCs w:val="24"/>
        </w:rPr>
      </w:pPr>
    </w:p>
    <w:p w14:paraId="473CF5EB"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source offers valuable insights that could inform my research on consumer behaviour. The paper's clear explanations and practical considerations may help me better understand this widely used market research tool and consider how similar techniques could be applied in my work.</w:t>
      </w:r>
    </w:p>
    <w:p w14:paraId="08B31F67" w14:textId="77777777" w:rsidR="00CF1E2D" w:rsidRDefault="00CF1E2D">
      <w:pPr>
        <w:spacing w:line="360" w:lineRule="auto"/>
        <w:jc w:val="both"/>
        <w:rPr>
          <w:rFonts w:ascii="Times New Roman" w:eastAsia="Times New Roman" w:hAnsi="Times New Roman" w:cs="Times New Roman"/>
          <w:sz w:val="24"/>
          <w:szCs w:val="24"/>
        </w:rPr>
      </w:pPr>
    </w:p>
    <w:p w14:paraId="5AC85C87"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Greaves, E., Wilson, D., &amp; Nairn, A. (2023). Marketing and school choice: A systematic literature review. Review of Educational Research, 93(6), 825-861.</w:t>
      </w:r>
    </w:p>
    <w:p w14:paraId="53928407" w14:textId="77777777" w:rsidR="00CF1E2D" w:rsidRDefault="00CF1E2D">
      <w:pPr>
        <w:spacing w:line="360" w:lineRule="auto"/>
        <w:jc w:val="both"/>
        <w:rPr>
          <w:rFonts w:ascii="Times New Roman" w:eastAsia="Times New Roman" w:hAnsi="Times New Roman" w:cs="Times New Roman"/>
          <w:sz w:val="24"/>
          <w:szCs w:val="24"/>
        </w:rPr>
      </w:pPr>
    </w:p>
    <w:p w14:paraId="36DFEA5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systematically reviews the literature on the marketing activities of primary and secondary schools worldwide. The researchers found that schools deploy a range of marketing techniques, with the intensity directly correlated to local competition and their position in the hierarchy. The marketing activities often do not involve substantive curricular change and may contribute to social division through targeting or deceptive practices. The review highlights the need for further research to understand the motivations and effects of school marketing, particularly in relation to inequalities of access.</w:t>
      </w:r>
    </w:p>
    <w:p w14:paraId="472DF7BA" w14:textId="77777777" w:rsidR="00CF1E2D" w:rsidRDefault="00CF1E2D">
      <w:pPr>
        <w:spacing w:line="360" w:lineRule="auto"/>
        <w:jc w:val="both"/>
        <w:rPr>
          <w:rFonts w:ascii="Times New Roman" w:eastAsia="Times New Roman" w:hAnsi="Times New Roman" w:cs="Times New Roman"/>
          <w:sz w:val="24"/>
          <w:szCs w:val="24"/>
        </w:rPr>
      </w:pPr>
    </w:p>
    <w:p w14:paraId="4985788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review is a comprehensive, peer-reviewed study by experienced academics. It provides a well-grounded synthesis of the existing evidence, acknowledging geographical gaps and limitations. The findings are convincing and highly relevant to my study on parental decision-making and market optimisation in the STEAM education sector. The review will be a valuable resource for contextualising and framing my work on understanding the role of marketing in shaping educational opportunities and outcomes.</w:t>
      </w:r>
    </w:p>
    <w:p w14:paraId="206DCAB5" w14:textId="77777777" w:rsidR="00CF1E2D" w:rsidRDefault="00CF1E2D">
      <w:pPr>
        <w:spacing w:line="360" w:lineRule="auto"/>
        <w:jc w:val="both"/>
        <w:rPr>
          <w:rFonts w:ascii="Times New Roman" w:eastAsia="Times New Roman" w:hAnsi="Times New Roman" w:cs="Times New Roman"/>
          <w:sz w:val="24"/>
          <w:szCs w:val="24"/>
        </w:rPr>
      </w:pPr>
    </w:p>
    <w:p w14:paraId="2F06384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Green, P. E., &amp; Krieger, A. M. (1991). Segmenting markets with conjoint analysis. Journal of Marketing, 55(4), 20-31.</w:t>
      </w:r>
    </w:p>
    <w:p w14:paraId="1CAAC4CE" w14:textId="77777777" w:rsidR="00CF1E2D" w:rsidRDefault="00CF1E2D">
      <w:pPr>
        <w:spacing w:line="360" w:lineRule="auto"/>
        <w:jc w:val="both"/>
        <w:rPr>
          <w:rFonts w:ascii="Times New Roman" w:eastAsia="Times New Roman" w:hAnsi="Times New Roman" w:cs="Times New Roman"/>
          <w:sz w:val="24"/>
          <w:szCs w:val="24"/>
        </w:rPr>
      </w:pPr>
    </w:p>
    <w:p w14:paraId="5E4CDCB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discusses the use of conjoint analysis for market segmentation. The authors explain how conjoint analysis can identify meaningful market segments by examining consumer preferences and trade-offs. The findings demonstrate the effectiveness of conjoint analysis in segmenting markets and developing targeted marketing strategies.</w:t>
      </w:r>
    </w:p>
    <w:p w14:paraId="45BC3611" w14:textId="77777777" w:rsidR="00CF1E2D" w:rsidRDefault="00CF1E2D">
      <w:pPr>
        <w:spacing w:line="360" w:lineRule="auto"/>
        <w:jc w:val="both"/>
        <w:rPr>
          <w:rFonts w:ascii="Times New Roman" w:eastAsia="Times New Roman" w:hAnsi="Times New Roman" w:cs="Times New Roman"/>
          <w:sz w:val="24"/>
          <w:szCs w:val="24"/>
        </w:rPr>
      </w:pPr>
    </w:p>
    <w:p w14:paraId="6072FEF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peer-reviewed journal article provides valuable insights into the practical application of conjoint analysis for market segmentation. The study presents a robust methodological approach that could be highly relevant to my research on understanding parental decision-making in the STEM education market. I would likely use this source to support arguments about the importance of employing advanced analytical techniques to uncover meaningful market insights.</w:t>
      </w:r>
    </w:p>
    <w:p w14:paraId="36AD47CA" w14:textId="77777777" w:rsidR="00CF1E2D" w:rsidRDefault="00CF1E2D">
      <w:pPr>
        <w:spacing w:line="360" w:lineRule="auto"/>
        <w:jc w:val="both"/>
        <w:rPr>
          <w:rFonts w:ascii="Times New Roman" w:eastAsia="Times New Roman" w:hAnsi="Times New Roman" w:cs="Times New Roman"/>
          <w:sz w:val="24"/>
          <w:szCs w:val="24"/>
        </w:rPr>
      </w:pPr>
    </w:p>
    <w:p w14:paraId="30A7F157" w14:textId="77777777" w:rsidR="00CF1E2D" w:rsidRDefault="00CF1E2D">
      <w:pPr>
        <w:spacing w:line="360" w:lineRule="auto"/>
        <w:jc w:val="both"/>
        <w:rPr>
          <w:rFonts w:ascii="Times New Roman" w:eastAsia="Times New Roman" w:hAnsi="Times New Roman" w:cs="Times New Roman"/>
          <w:sz w:val="24"/>
          <w:szCs w:val="24"/>
        </w:rPr>
      </w:pPr>
    </w:p>
    <w:p w14:paraId="35E27218" w14:textId="77777777" w:rsidR="00CF1E2D" w:rsidRDefault="00CF1E2D">
      <w:pPr>
        <w:spacing w:line="360" w:lineRule="auto"/>
        <w:jc w:val="both"/>
        <w:rPr>
          <w:rFonts w:ascii="Times New Roman" w:eastAsia="Times New Roman" w:hAnsi="Times New Roman" w:cs="Times New Roman"/>
          <w:sz w:val="24"/>
          <w:szCs w:val="24"/>
        </w:rPr>
      </w:pPr>
    </w:p>
    <w:p w14:paraId="4B3FD43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Grönroos, C. (1994). From marketing mix to relationship marketing: Towards a paradigm shift in marketing. Management Decision, 32(2), 4-20.</w:t>
      </w:r>
    </w:p>
    <w:p w14:paraId="6ABE19F9" w14:textId="77777777" w:rsidR="00CF1E2D" w:rsidRDefault="00CF1E2D">
      <w:pPr>
        <w:spacing w:line="360" w:lineRule="auto"/>
        <w:jc w:val="both"/>
        <w:rPr>
          <w:rFonts w:ascii="Times New Roman" w:eastAsia="Times New Roman" w:hAnsi="Times New Roman" w:cs="Times New Roman"/>
          <w:sz w:val="24"/>
          <w:szCs w:val="24"/>
        </w:rPr>
      </w:pPr>
    </w:p>
    <w:p w14:paraId="19F7624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proposes a shift from the traditional marketing mix approach to a relationship marketing framework, emphasising the importance of building long-term, mutually beneficial relationships with customers. The author outlines the key characteristics of the relationship marketing approach, including its focus on customer retention, service quality, and interactive communication.</w:t>
      </w:r>
    </w:p>
    <w:p w14:paraId="42827BE3" w14:textId="77777777" w:rsidR="00CF1E2D" w:rsidRDefault="00CF1E2D">
      <w:pPr>
        <w:spacing w:line="360" w:lineRule="auto"/>
        <w:jc w:val="both"/>
        <w:rPr>
          <w:rFonts w:ascii="Times New Roman" w:eastAsia="Times New Roman" w:hAnsi="Times New Roman" w:cs="Times New Roman"/>
          <w:sz w:val="24"/>
          <w:szCs w:val="24"/>
        </w:rPr>
      </w:pPr>
    </w:p>
    <w:p w14:paraId="22D7867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emphasis on fostering long-term relationships and enhancing service quality resonates with the core objectives of my study, which aims to identify factors influencing parental choices and provide actionable recommendations for education providers. </w:t>
      </w:r>
    </w:p>
    <w:p w14:paraId="414F26C7" w14:textId="05443704"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4FF5378" w14:textId="77777777" w:rsidR="00CF1E2D" w:rsidRDefault="00CF1E2D">
      <w:pPr>
        <w:spacing w:line="360" w:lineRule="auto"/>
        <w:jc w:val="both"/>
        <w:rPr>
          <w:rFonts w:ascii="Times New Roman" w:eastAsia="Times New Roman" w:hAnsi="Times New Roman" w:cs="Times New Roman"/>
          <w:sz w:val="24"/>
          <w:szCs w:val="24"/>
        </w:rPr>
      </w:pPr>
    </w:p>
    <w:p w14:paraId="148F711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Hardesty, D.M., &amp; Bearden, W.O. (2003). Consumer evaluations of different promotion types and price presentations: the moderating role of promotional benefit level. Journal of Retailing, 79(1), 17-25.</w:t>
      </w:r>
    </w:p>
    <w:p w14:paraId="5DF16BAC" w14:textId="77777777" w:rsidR="00CF1E2D" w:rsidRDefault="00CF1E2D">
      <w:pPr>
        <w:spacing w:line="360" w:lineRule="auto"/>
        <w:jc w:val="both"/>
        <w:rPr>
          <w:rFonts w:ascii="Times New Roman" w:eastAsia="Times New Roman" w:hAnsi="Times New Roman" w:cs="Times New Roman"/>
          <w:sz w:val="24"/>
          <w:szCs w:val="24"/>
        </w:rPr>
      </w:pPr>
    </w:p>
    <w:p w14:paraId="11BC7EC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how consumers evaluate price discounts versus bonus packs and how price presentation (dollars vs percentages) affects these evaluations, depending on the level of promotional benefit. The study provides valuable theoretical and practical insights into consumer information processing and decision-making regarding different promotion strategies.</w:t>
      </w:r>
    </w:p>
    <w:p w14:paraId="075945BC" w14:textId="77777777" w:rsidR="00CF1E2D" w:rsidRDefault="00CF1E2D">
      <w:pPr>
        <w:spacing w:line="360" w:lineRule="auto"/>
        <w:jc w:val="both"/>
        <w:rPr>
          <w:rFonts w:ascii="Times New Roman" w:eastAsia="Times New Roman" w:hAnsi="Times New Roman" w:cs="Times New Roman"/>
          <w:sz w:val="24"/>
          <w:szCs w:val="24"/>
        </w:rPr>
      </w:pPr>
    </w:p>
    <w:p w14:paraId="06D4E6D0" w14:textId="7231F337" w:rsidR="00CF1E2D" w:rsidRDefault="00000000">
      <w:pPr>
        <w:spacing w:line="360" w:lineRule="auto"/>
        <w:jc w:val="both"/>
      </w:pPr>
      <w:r>
        <w:rPr>
          <w:rFonts w:ascii="Times New Roman" w:eastAsia="Times New Roman" w:hAnsi="Times New Roman" w:cs="Times New Roman"/>
          <w:sz w:val="24"/>
          <w:szCs w:val="24"/>
        </w:rPr>
        <w:t>This study provides a theoretical rationale and empirical support for understanding how consumers process and evaluate different promotion types and price presentations across varying levels of promotional benefit. It makes a valuable contribution to the literature on consumer response to sales promotions. The findings can help me better understand how to make effective promotional decisions.</w:t>
      </w:r>
    </w:p>
    <w:p w14:paraId="6C6DD28C" w14:textId="77777777" w:rsidR="00082D8D" w:rsidRDefault="00082D8D">
      <w:pPr>
        <w:spacing w:line="360" w:lineRule="auto"/>
        <w:jc w:val="both"/>
        <w:rPr>
          <w:rFonts w:ascii="Times New Roman" w:eastAsia="Times New Roman" w:hAnsi="Times New Roman" w:cs="Times New Roman"/>
          <w:sz w:val="24"/>
          <w:szCs w:val="24"/>
        </w:rPr>
      </w:pPr>
    </w:p>
    <w:p w14:paraId="30A75EC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Hammond, K., Ehrenberg, A. S. C., &amp; Goodhardt, G. J. (n.d.). Market segmentation for competitive brands.</w:t>
      </w:r>
    </w:p>
    <w:p w14:paraId="1FECC2E1" w14:textId="77777777" w:rsidR="00CF1E2D" w:rsidRDefault="00CF1E2D">
      <w:pPr>
        <w:spacing w:line="360" w:lineRule="auto"/>
        <w:jc w:val="both"/>
        <w:rPr>
          <w:rFonts w:ascii="Times New Roman" w:eastAsia="Times New Roman" w:hAnsi="Times New Roman" w:cs="Times New Roman"/>
          <w:sz w:val="24"/>
          <w:szCs w:val="24"/>
        </w:rPr>
      </w:pPr>
    </w:p>
    <w:p w14:paraId="58FCF480"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the extent to which brand segmentation occurs in the market. The authors analysed consumer panel data across over 20 grocery product categories in four countries to explore whether brands that are broadly similar and competitive are bought by identifiably different consumer segments. The key finding is that the consumer profiles of competitive brands differ little in terms of commonly-used classification measures such as socio-demographic characteristics. </w:t>
      </w:r>
    </w:p>
    <w:p w14:paraId="7B3CA644" w14:textId="77777777" w:rsidR="00CF1E2D" w:rsidRDefault="00CF1E2D">
      <w:pPr>
        <w:spacing w:line="360" w:lineRule="auto"/>
        <w:jc w:val="both"/>
        <w:rPr>
          <w:rFonts w:ascii="Times New Roman" w:eastAsia="Times New Roman" w:hAnsi="Times New Roman" w:cs="Times New Roman"/>
          <w:sz w:val="24"/>
          <w:szCs w:val="24"/>
        </w:rPr>
      </w:pPr>
    </w:p>
    <w:p w14:paraId="60C381C0"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robust, peer-reviewed study that provides valuable empirical evidence challenging the assumption that segmentation is a straightforward marketing strategy. The authors' interpretation of the results and discussion of the managerial implications are insightful and relevant to my study.</w:t>
      </w:r>
    </w:p>
    <w:p w14:paraId="4755971D" w14:textId="77777777" w:rsidR="00CF1E2D" w:rsidRDefault="00CF1E2D">
      <w:pPr>
        <w:spacing w:line="360" w:lineRule="auto"/>
        <w:jc w:val="both"/>
        <w:rPr>
          <w:rFonts w:ascii="Times New Roman" w:eastAsia="Times New Roman" w:hAnsi="Times New Roman" w:cs="Times New Roman"/>
          <w:sz w:val="24"/>
          <w:szCs w:val="24"/>
        </w:rPr>
      </w:pPr>
    </w:p>
    <w:p w14:paraId="399310BF"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Herold, K., Tarkiainen, A., and Sundqvist, S. (2016). How the Source of Word-of-Mouth Influences Information Processing in the Formation of Brand Attitudes. Forthcoming in Journal of Marketing for Higher Education, 26(1).</w:t>
      </w:r>
    </w:p>
    <w:p w14:paraId="59F647BA" w14:textId="77777777" w:rsidR="00CF1E2D" w:rsidRDefault="00CF1E2D">
      <w:pPr>
        <w:spacing w:line="360" w:lineRule="auto"/>
        <w:jc w:val="both"/>
        <w:rPr>
          <w:rFonts w:ascii="Times New Roman" w:eastAsia="Times New Roman" w:hAnsi="Times New Roman" w:cs="Times New Roman"/>
          <w:sz w:val="24"/>
          <w:szCs w:val="24"/>
        </w:rPr>
      </w:pPr>
    </w:p>
    <w:p w14:paraId="582A8A5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how the source of word-of-mouth (WOM) affects information processing and the formation of brand attitudes in a high-involvement service context. The authors find that when the WOM source is a strong tie, consumers engage in more effortful processing, leading to stronger brand attitudes. </w:t>
      </w:r>
    </w:p>
    <w:p w14:paraId="73099799" w14:textId="77777777" w:rsidR="00CF1E2D" w:rsidRDefault="00CF1E2D">
      <w:pPr>
        <w:spacing w:line="360" w:lineRule="auto"/>
        <w:jc w:val="both"/>
        <w:rPr>
          <w:rFonts w:ascii="Times New Roman" w:eastAsia="Times New Roman" w:hAnsi="Times New Roman" w:cs="Times New Roman"/>
          <w:sz w:val="24"/>
          <w:szCs w:val="24"/>
        </w:rPr>
      </w:pPr>
    </w:p>
    <w:p w14:paraId="5209B5A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can offer valuable theoretical and empirical support for my study. The insights into the role of WOM sources in information processing and brand attitude formation can help me better understand the core concepts.</w:t>
      </w:r>
    </w:p>
    <w:p w14:paraId="598B99AB" w14:textId="77777777" w:rsidR="00CF1E2D" w:rsidRDefault="00CF1E2D">
      <w:pPr>
        <w:spacing w:line="360" w:lineRule="auto"/>
        <w:jc w:val="both"/>
        <w:rPr>
          <w:rFonts w:ascii="Times New Roman" w:eastAsia="Times New Roman" w:hAnsi="Times New Roman" w:cs="Times New Roman"/>
          <w:sz w:val="24"/>
          <w:szCs w:val="24"/>
        </w:rPr>
      </w:pPr>
    </w:p>
    <w:p w14:paraId="5B931D9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Hennig-Thurau, T., Gwinner, K. P., Walsh, G., &amp; Gremler, D. D. (2004). Electronic word-of-mouth via consumer-opinion platforms: What motivates consumers to articulate themselves on the Internet?. Journal of interactive marketing, 18(1), 38-52.</w:t>
      </w:r>
    </w:p>
    <w:p w14:paraId="35E24BD2" w14:textId="77777777" w:rsidR="00CF1E2D" w:rsidRDefault="00CF1E2D">
      <w:pPr>
        <w:spacing w:line="360" w:lineRule="auto"/>
        <w:jc w:val="both"/>
        <w:rPr>
          <w:rFonts w:ascii="Times New Roman" w:eastAsia="Times New Roman" w:hAnsi="Times New Roman" w:cs="Times New Roman"/>
          <w:sz w:val="24"/>
          <w:szCs w:val="24"/>
        </w:rPr>
      </w:pPr>
    </w:p>
    <w:p w14:paraId="458392B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examines the key drivers that motivate consumers to engage in electronic word-of-mouth (eWOM) on consumer-opinion platforms. The authors develop a conceptual model based on social exchange theory. The multi-method approach provides robust insights into why consumers choose to share their opinions online. </w:t>
      </w:r>
    </w:p>
    <w:p w14:paraId="639FCDF1" w14:textId="77777777" w:rsidR="00CF1E2D" w:rsidRDefault="00CF1E2D">
      <w:pPr>
        <w:spacing w:line="360" w:lineRule="auto"/>
        <w:jc w:val="both"/>
        <w:rPr>
          <w:rFonts w:ascii="Times New Roman" w:eastAsia="Times New Roman" w:hAnsi="Times New Roman" w:cs="Times New Roman"/>
          <w:sz w:val="24"/>
          <w:szCs w:val="24"/>
        </w:rPr>
      </w:pPr>
    </w:p>
    <w:p w14:paraId="04AC8C7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advances the understanding of the psychological and social factors that influence consumers' engagement in electronic word-of-mouth communication. The findings and the conceptual model provide a valuable framework for my research on the role of social media in the dissemination of marketing messages.</w:t>
      </w:r>
    </w:p>
    <w:p w14:paraId="6A966D80" w14:textId="77777777" w:rsidR="00CF1E2D" w:rsidRDefault="00CF1E2D">
      <w:pPr>
        <w:spacing w:line="360" w:lineRule="auto"/>
        <w:jc w:val="both"/>
        <w:rPr>
          <w:rFonts w:ascii="Times New Roman" w:eastAsia="Times New Roman" w:hAnsi="Times New Roman" w:cs="Times New Roman"/>
          <w:sz w:val="24"/>
          <w:szCs w:val="24"/>
        </w:rPr>
      </w:pPr>
    </w:p>
    <w:p w14:paraId="27F3BC64" w14:textId="4C3338B3"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C8F0997" w14:textId="77777777" w:rsidR="00CF1E2D" w:rsidRPr="00082D8D" w:rsidRDefault="00CF1E2D">
      <w:pPr>
        <w:spacing w:line="360" w:lineRule="auto"/>
        <w:jc w:val="both"/>
        <w:rPr>
          <w:rFonts w:ascii="Times New Roman" w:eastAsia="Times New Roman" w:hAnsi="Times New Roman" w:cs="Times New Roman"/>
          <w:sz w:val="24"/>
          <w:szCs w:val="24"/>
          <w:lang w:val="en-US"/>
        </w:rPr>
      </w:pPr>
    </w:p>
    <w:p w14:paraId="266FC7B7"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Hoxby, C. M. (2003). Innovation in education markets: Theory and evidence on the impact of competition and choice in charter schools. Harvard University. </w:t>
      </w:r>
    </w:p>
    <w:p w14:paraId="294D7380" w14:textId="77777777" w:rsidR="00CF1E2D" w:rsidRDefault="00CF1E2D">
      <w:pPr>
        <w:spacing w:line="360" w:lineRule="auto"/>
        <w:jc w:val="both"/>
        <w:rPr>
          <w:rFonts w:ascii="Times New Roman" w:eastAsia="Times New Roman" w:hAnsi="Times New Roman" w:cs="Times New Roman"/>
          <w:sz w:val="24"/>
          <w:szCs w:val="24"/>
        </w:rPr>
      </w:pPr>
    </w:p>
    <w:p w14:paraId="1B54BBE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theoretical and empirical evidence on how competition and school choice through charter schools can drive innovation and improve educational outcomes. It highlights the importance of considering contextual factors when evaluating the influence of competition and choice in education markets.</w:t>
      </w:r>
    </w:p>
    <w:p w14:paraId="1CBA8FC6" w14:textId="77777777" w:rsidR="00CF1E2D" w:rsidRDefault="00CF1E2D">
      <w:pPr>
        <w:spacing w:line="360" w:lineRule="auto"/>
        <w:jc w:val="both"/>
        <w:rPr>
          <w:rFonts w:ascii="Times New Roman" w:eastAsia="Times New Roman" w:hAnsi="Times New Roman" w:cs="Times New Roman"/>
          <w:sz w:val="24"/>
          <w:szCs w:val="24"/>
        </w:rPr>
      </w:pPr>
    </w:p>
    <w:p w14:paraId="3C2A7180"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addresses the key issues of interest regarding the potential benefits and challenges of competition and choice in the education sector. It provides a solid foundation for understanding the complex dynamics at play in education markets and their implications for innovation and student outcomes.</w:t>
      </w:r>
    </w:p>
    <w:p w14:paraId="43511BC8" w14:textId="77777777" w:rsidR="00CF1E2D" w:rsidRDefault="00CF1E2D">
      <w:pPr>
        <w:spacing w:line="360" w:lineRule="auto"/>
        <w:jc w:val="both"/>
        <w:rPr>
          <w:rFonts w:ascii="Times New Roman" w:eastAsia="Times New Roman" w:hAnsi="Times New Roman" w:cs="Times New Roman"/>
          <w:sz w:val="24"/>
          <w:szCs w:val="24"/>
        </w:rPr>
      </w:pPr>
    </w:p>
    <w:p w14:paraId="19A3B128"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Hoyer, W. D., &amp; Cobb-Walgren, C. J. (1988). Consumer Decision Making Across Product Categories: The Influence of Task Environment: ABSTRACT. Psychology &amp; Marketing (1986-1998), 5(1), 45.</w:t>
      </w:r>
    </w:p>
    <w:p w14:paraId="37D01BC8" w14:textId="77777777" w:rsidR="00CF1E2D" w:rsidRDefault="00CF1E2D">
      <w:pPr>
        <w:spacing w:line="360" w:lineRule="auto"/>
        <w:jc w:val="both"/>
        <w:rPr>
          <w:rFonts w:ascii="Times New Roman" w:eastAsia="Times New Roman" w:hAnsi="Times New Roman" w:cs="Times New Roman"/>
          <w:sz w:val="24"/>
          <w:szCs w:val="24"/>
        </w:rPr>
      </w:pPr>
    </w:p>
    <w:p w14:paraId="45C68FB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how consumer decision-making processes vary across product categories due to differences in task environments. The authors propose that factors such as product involvement can modulate the influence of individual traits on information search, evaluation, and choice strategies. The key findings are that individuals allocate more attention to attributes and employ more comprehensive decision processes for high-involvement products compared to low-involvement options. </w:t>
      </w:r>
    </w:p>
    <w:p w14:paraId="6D851575" w14:textId="77777777" w:rsidR="00CF1E2D" w:rsidRDefault="00CF1E2D">
      <w:pPr>
        <w:spacing w:line="360" w:lineRule="auto"/>
        <w:jc w:val="both"/>
        <w:rPr>
          <w:rFonts w:ascii="Times New Roman" w:eastAsia="Times New Roman" w:hAnsi="Times New Roman" w:cs="Times New Roman"/>
          <w:sz w:val="24"/>
          <w:szCs w:val="24"/>
        </w:rPr>
      </w:pPr>
    </w:p>
    <w:p w14:paraId="25951481"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have important implications for understanding the contingencies that impact consumer decision-making. This study lays the groundwork for further investigation into the complex interplay between situational and personal determinants of consumer choice. </w:t>
      </w:r>
    </w:p>
    <w:p w14:paraId="63405B06" w14:textId="495B028F"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37E169E" w14:textId="77777777" w:rsidR="00CF1E2D" w:rsidRDefault="00CF1E2D">
      <w:pPr>
        <w:spacing w:line="360" w:lineRule="auto"/>
        <w:jc w:val="both"/>
        <w:rPr>
          <w:rFonts w:ascii="Times New Roman" w:eastAsia="Times New Roman" w:hAnsi="Times New Roman" w:cs="Times New Roman"/>
          <w:sz w:val="24"/>
          <w:szCs w:val="24"/>
        </w:rPr>
      </w:pPr>
    </w:p>
    <w:p w14:paraId="36F0DDEE"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 H.-H., Parsa, H. G., &amp; Khan, M. (2006). Effectiveness of price discount levels and formats in service industries. Journal of Services Research, 6 (Special Issue), 67-90.</w:t>
      </w:r>
    </w:p>
    <w:p w14:paraId="517ECAC0" w14:textId="77777777" w:rsidR="00CF1E2D" w:rsidRDefault="00CF1E2D">
      <w:pPr>
        <w:spacing w:line="360" w:lineRule="auto"/>
        <w:jc w:val="both"/>
        <w:rPr>
          <w:rFonts w:ascii="Times New Roman" w:eastAsia="Times New Roman" w:hAnsi="Times New Roman" w:cs="Times New Roman"/>
          <w:sz w:val="24"/>
          <w:szCs w:val="24"/>
        </w:rPr>
      </w:pPr>
    </w:p>
    <w:p w14:paraId="0835190C"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how consumers perceive and respond to different price discount formats (dollar off vs. percentage off) and levels in the service industry. The researchers found that consumer perceptions of discount formats and levels vary depending on the service level. The study provides valuable insights into the nuanced role of price promotions in the service context, which can inform the marketing strategies of service providers.</w:t>
      </w:r>
    </w:p>
    <w:p w14:paraId="780E870C" w14:textId="77777777" w:rsidR="00CF1E2D" w:rsidRDefault="00CF1E2D">
      <w:pPr>
        <w:spacing w:line="360" w:lineRule="auto"/>
        <w:jc w:val="both"/>
        <w:rPr>
          <w:rFonts w:ascii="Times New Roman" w:eastAsia="Times New Roman" w:hAnsi="Times New Roman" w:cs="Times New Roman"/>
          <w:sz w:val="24"/>
          <w:szCs w:val="24"/>
        </w:rPr>
      </w:pPr>
    </w:p>
    <w:p w14:paraId="684B6E36" w14:textId="63431414" w:rsidR="00CF1E2D" w:rsidRDefault="00000000">
      <w:pPr>
        <w:spacing w:line="360" w:lineRule="auto"/>
        <w:jc w:val="both"/>
      </w:pPr>
      <w:r>
        <w:rPr>
          <w:rFonts w:ascii="Times New Roman" w:eastAsia="Times New Roman" w:hAnsi="Times New Roman" w:cs="Times New Roman"/>
          <w:sz w:val="24"/>
          <w:szCs w:val="24"/>
        </w:rPr>
        <w:t>The study is relevant to my research on price-based promotions in the service industry. It sheds light on the critical interplay between discount formats, discount levels, and service quality perceptions, which I can use to substantiate my arguments.</w:t>
      </w:r>
    </w:p>
    <w:p w14:paraId="2DD5EB32" w14:textId="77777777" w:rsidR="00082D8D" w:rsidRPr="00082D8D" w:rsidRDefault="00082D8D">
      <w:pPr>
        <w:spacing w:line="360" w:lineRule="auto"/>
        <w:jc w:val="both"/>
        <w:rPr>
          <w:rFonts w:ascii="Times New Roman" w:eastAsia="Times New Roman" w:hAnsi="Times New Roman" w:cs="Times New Roman"/>
          <w:sz w:val="24"/>
          <w:szCs w:val="24"/>
          <w:lang w:val="en-US"/>
        </w:rPr>
      </w:pPr>
    </w:p>
    <w:p w14:paraId="30CFF34C"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Jain, R., Jain, S., &amp; Dhar, U. (2003). Measuring customer relationship management. Journal of Services Research, 2(2), 97-109.</w:t>
      </w:r>
    </w:p>
    <w:p w14:paraId="34B570BE" w14:textId="77777777" w:rsidR="00CF1E2D" w:rsidRDefault="00CF1E2D">
      <w:pPr>
        <w:spacing w:line="360" w:lineRule="auto"/>
        <w:jc w:val="both"/>
        <w:rPr>
          <w:rFonts w:ascii="Times New Roman" w:eastAsia="Times New Roman" w:hAnsi="Times New Roman" w:cs="Times New Roman"/>
          <w:sz w:val="24"/>
          <w:szCs w:val="24"/>
        </w:rPr>
      </w:pPr>
    </w:p>
    <w:p w14:paraId="2FB3037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explores the essential determinants of effective customer relationship management (CRM) in the service industry. The researchers identified ten critical factors. This study provides valuable insights for service organisations seeking to develop more effective CRM strategies. </w:t>
      </w:r>
    </w:p>
    <w:p w14:paraId="0198A8ED" w14:textId="77777777" w:rsidR="00CF1E2D" w:rsidRDefault="00CF1E2D">
      <w:pPr>
        <w:spacing w:line="360" w:lineRule="auto"/>
        <w:jc w:val="both"/>
        <w:rPr>
          <w:rFonts w:ascii="Times New Roman" w:eastAsia="Times New Roman" w:hAnsi="Times New Roman" w:cs="Times New Roman"/>
          <w:sz w:val="24"/>
          <w:szCs w:val="24"/>
        </w:rPr>
      </w:pPr>
    </w:p>
    <w:p w14:paraId="5895448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relevant to my research as it explores the factors that contribute to the effectiveness of CRM programs, which is a crucial aspect of my research on customer engagement strategies. The findings can be used to inform the development of a measurement tool for assessing the effectiveness of CRM programs.</w:t>
      </w:r>
    </w:p>
    <w:p w14:paraId="7172738A" w14:textId="77777777" w:rsidR="00CF1E2D" w:rsidRDefault="00CF1E2D">
      <w:pPr>
        <w:spacing w:line="360" w:lineRule="auto"/>
        <w:jc w:val="both"/>
        <w:rPr>
          <w:rFonts w:ascii="Times New Roman" w:eastAsia="Times New Roman" w:hAnsi="Times New Roman" w:cs="Times New Roman"/>
          <w:sz w:val="24"/>
          <w:szCs w:val="24"/>
        </w:rPr>
      </w:pPr>
    </w:p>
    <w:p w14:paraId="4EC7568A" w14:textId="02AC9D02"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30FFFEA" w14:textId="77777777" w:rsidR="00CF1E2D" w:rsidRDefault="00CF1E2D">
      <w:pPr>
        <w:spacing w:line="360" w:lineRule="auto"/>
        <w:jc w:val="both"/>
        <w:rPr>
          <w:rFonts w:ascii="Times New Roman" w:eastAsia="Times New Roman" w:hAnsi="Times New Roman" w:cs="Times New Roman"/>
          <w:sz w:val="24"/>
          <w:szCs w:val="24"/>
        </w:rPr>
      </w:pPr>
    </w:p>
    <w:p w14:paraId="504FCB11"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Junaris, I. (2022). Pricing Strategy for Educational Services. Volume 5 Number 4 June 2022, 925–933.</w:t>
      </w:r>
    </w:p>
    <w:p w14:paraId="202E2A56" w14:textId="77777777" w:rsidR="00CF1E2D" w:rsidRDefault="00CF1E2D">
      <w:pPr>
        <w:spacing w:line="360" w:lineRule="auto"/>
        <w:jc w:val="both"/>
        <w:rPr>
          <w:rFonts w:ascii="Times New Roman" w:eastAsia="Times New Roman" w:hAnsi="Times New Roman" w:cs="Times New Roman"/>
          <w:sz w:val="24"/>
          <w:szCs w:val="24"/>
        </w:rPr>
      </w:pPr>
    </w:p>
    <w:p w14:paraId="261AF2F2"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discusses the different approaches and techniques for determining pricing for educational services. The author outlines three main approaches: pricing based on costs, pricing based on competition, and pricing based on the value provided to customers. This study can directly inform the development of pricing strategies for educational services.</w:t>
      </w:r>
    </w:p>
    <w:p w14:paraId="72E6EF40" w14:textId="77777777" w:rsidR="00CF1E2D" w:rsidRDefault="00CF1E2D">
      <w:pPr>
        <w:spacing w:line="360" w:lineRule="auto"/>
        <w:jc w:val="both"/>
        <w:rPr>
          <w:rFonts w:ascii="Times New Roman" w:eastAsia="Times New Roman" w:hAnsi="Times New Roman" w:cs="Times New Roman"/>
          <w:sz w:val="24"/>
          <w:szCs w:val="24"/>
        </w:rPr>
      </w:pPr>
    </w:p>
    <w:p w14:paraId="2075531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can inform my research on pricing strategies for educational services. The theoretical concepts and practical techniques discussed will be valuable in developing my pricing approach and supporting my arguments.</w:t>
      </w:r>
    </w:p>
    <w:p w14:paraId="5000DE3D" w14:textId="77777777" w:rsidR="00CF1E2D" w:rsidRDefault="00CF1E2D">
      <w:pPr>
        <w:spacing w:line="360" w:lineRule="auto"/>
        <w:jc w:val="both"/>
        <w:rPr>
          <w:rFonts w:ascii="Times New Roman" w:eastAsia="Times New Roman" w:hAnsi="Times New Roman" w:cs="Times New Roman"/>
          <w:sz w:val="24"/>
          <w:szCs w:val="24"/>
        </w:rPr>
      </w:pPr>
    </w:p>
    <w:p w14:paraId="4C5A97EF"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Kara, A., &amp; Kaynak, E. (1997). Markets of a single customer: exploiting conceptual developments in market segmentation. European Journal of Marketing, 31(11/12), 873-895.</w:t>
      </w:r>
    </w:p>
    <w:p w14:paraId="4A839A7E" w14:textId="77777777" w:rsidR="00CF1E2D" w:rsidRDefault="00CF1E2D">
      <w:pPr>
        <w:spacing w:line="360" w:lineRule="auto"/>
        <w:jc w:val="both"/>
        <w:rPr>
          <w:rFonts w:ascii="Times New Roman" w:eastAsia="Times New Roman" w:hAnsi="Times New Roman" w:cs="Times New Roman"/>
          <w:sz w:val="24"/>
          <w:szCs w:val="24"/>
        </w:rPr>
      </w:pPr>
    </w:p>
    <w:p w14:paraId="35CAB87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recent advancements in market segmentation, including concepts like niche marketing, database marketing, micro marketing, relationship marketing, and mass customisation. The authors argue that these approaches share the common goal of satisfying individual consumers' unique needs and wants efficiently. They introduce the concept of "finer segmentation" (FS) as the ultimate level of market differentiation, where markets are assumed to be perfectly heterogeneous, and customised products are delivered on a mass basis. The paper provides a comprehensive review of segmentation-related concepts and develops research propositions and hypotheses related to FS, outlining future research directions.</w:t>
      </w:r>
    </w:p>
    <w:p w14:paraId="3D13FEF5" w14:textId="77777777" w:rsidR="00CF1E2D" w:rsidRDefault="00CF1E2D">
      <w:pPr>
        <w:spacing w:line="360" w:lineRule="auto"/>
        <w:jc w:val="both"/>
        <w:rPr>
          <w:rFonts w:ascii="Times New Roman" w:eastAsia="Times New Roman" w:hAnsi="Times New Roman" w:cs="Times New Roman"/>
          <w:sz w:val="24"/>
          <w:szCs w:val="24"/>
        </w:rPr>
      </w:pPr>
    </w:p>
    <w:p w14:paraId="4328C04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is a well-researched conceptual work by experienced marketing scholars. While it does not present empirical data, the ideas and frameworks proposed can inform personalised marketing strategies. The implications for practice could be explored further, but the paper offers a valuable synthesis of the advancements in market segmentation theory.</w:t>
      </w:r>
    </w:p>
    <w:p w14:paraId="0D65B512" w14:textId="77777777" w:rsidR="00CF1E2D" w:rsidRDefault="00CF1E2D">
      <w:pPr>
        <w:spacing w:line="360" w:lineRule="auto"/>
        <w:jc w:val="both"/>
        <w:rPr>
          <w:rFonts w:ascii="Times New Roman" w:eastAsia="Times New Roman" w:hAnsi="Times New Roman" w:cs="Times New Roman"/>
          <w:sz w:val="24"/>
          <w:szCs w:val="24"/>
        </w:rPr>
      </w:pPr>
    </w:p>
    <w:p w14:paraId="11E0336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Keller, K. L. (1993). Conceptualising, measuring, and managing customer-based brand equity." Journal of marketing 57(1): 1.</w:t>
      </w:r>
    </w:p>
    <w:p w14:paraId="611FE0C9" w14:textId="77777777" w:rsidR="00CF1E2D" w:rsidRDefault="00CF1E2D">
      <w:pPr>
        <w:spacing w:line="360" w:lineRule="auto"/>
        <w:jc w:val="both"/>
        <w:rPr>
          <w:rFonts w:ascii="Times New Roman" w:eastAsia="Times New Roman" w:hAnsi="Times New Roman" w:cs="Times New Roman"/>
          <w:sz w:val="24"/>
          <w:szCs w:val="24"/>
        </w:rPr>
      </w:pPr>
    </w:p>
    <w:p w14:paraId="1EFF62FA"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provides a comprehensive overview of the conceptualisation, measurement, and management of customer-based brand equity (CBBE). The author defines CBBE and discusses the different perspectives from which it can be viewed. The CBBE framework consists of five key dimensions: brand awareness, brand associations, perceived quality, brand loyalty, and other proprietary brand assets. </w:t>
      </w:r>
    </w:p>
    <w:p w14:paraId="4684D022" w14:textId="77777777" w:rsidR="00CF1E2D" w:rsidRDefault="00CF1E2D">
      <w:pPr>
        <w:spacing w:line="360" w:lineRule="auto"/>
        <w:jc w:val="both"/>
        <w:rPr>
          <w:rFonts w:ascii="Times New Roman" w:eastAsia="Times New Roman" w:hAnsi="Times New Roman" w:cs="Times New Roman"/>
          <w:sz w:val="24"/>
          <w:szCs w:val="24"/>
        </w:rPr>
      </w:pPr>
    </w:p>
    <w:p w14:paraId="703194D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author's discussion of measurement approaches and brand management strategies provides a comprehensive and practical perspective. The paper is well-grounded in theory and research. This source is relevant and applicable to my research, as it offers a solid foundation for understanding the critical dimensions and management of brand equity.</w:t>
      </w:r>
    </w:p>
    <w:p w14:paraId="39282345" w14:textId="77777777" w:rsidR="00CF1E2D" w:rsidRDefault="00CF1E2D">
      <w:pPr>
        <w:spacing w:line="360" w:lineRule="auto"/>
        <w:jc w:val="both"/>
        <w:rPr>
          <w:rFonts w:ascii="Times New Roman" w:eastAsia="Times New Roman" w:hAnsi="Times New Roman" w:cs="Times New Roman"/>
          <w:sz w:val="24"/>
          <w:szCs w:val="24"/>
        </w:rPr>
      </w:pPr>
    </w:p>
    <w:p w14:paraId="53DDF132" w14:textId="77777777" w:rsidR="00CF1E2D" w:rsidRDefault="00CF1E2D">
      <w:pPr>
        <w:spacing w:line="360" w:lineRule="auto"/>
        <w:jc w:val="both"/>
        <w:rPr>
          <w:rFonts w:ascii="Times New Roman" w:eastAsia="Times New Roman" w:hAnsi="Times New Roman" w:cs="Times New Roman"/>
          <w:sz w:val="24"/>
          <w:szCs w:val="24"/>
        </w:rPr>
      </w:pPr>
    </w:p>
    <w:p w14:paraId="047AF0EC"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Krzyżanowska, M. and Tkaczyk, J. (2011). Competitive landscape of the educational market: A managerial perspective. SSRN Electronic Journal.</w:t>
      </w:r>
    </w:p>
    <w:p w14:paraId="7B793478" w14:textId="77777777" w:rsidR="00CF1E2D" w:rsidRDefault="00CF1E2D">
      <w:pPr>
        <w:spacing w:line="360" w:lineRule="auto"/>
        <w:jc w:val="both"/>
        <w:rPr>
          <w:rFonts w:ascii="Times New Roman" w:eastAsia="Times New Roman" w:hAnsi="Times New Roman" w:cs="Times New Roman"/>
          <w:sz w:val="24"/>
          <w:szCs w:val="24"/>
        </w:rPr>
      </w:pPr>
    </w:p>
    <w:p w14:paraId="73DEDC46"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examines how managers of non-public educational institutions in Poland perceive competition. The researchers conducted a qualitative study to gain insights into managerial perceptions. The findings reveal that while managers need help to identify their competitors clearly, they paradoxically try to differentiate their schools. </w:t>
      </w:r>
    </w:p>
    <w:p w14:paraId="47B54CDC" w14:textId="77777777" w:rsidR="00CF1E2D" w:rsidRDefault="00CF1E2D">
      <w:pPr>
        <w:spacing w:line="360" w:lineRule="auto"/>
        <w:jc w:val="both"/>
        <w:rPr>
          <w:rFonts w:ascii="Times New Roman" w:eastAsia="Times New Roman" w:hAnsi="Times New Roman" w:cs="Times New Roman"/>
          <w:sz w:val="24"/>
          <w:szCs w:val="24"/>
        </w:rPr>
      </w:pPr>
    </w:p>
    <w:p w14:paraId="11526F43"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offers nuanced perspectives on how managers in the education sector view competition. The findings could be relevant to my research on how educational institutions navigate competitive pressures. This source is significant because it provides an empirical examination of how managers in the educational sector perceive competition, which is a crucial element of positioning strategy. </w:t>
      </w:r>
    </w:p>
    <w:p w14:paraId="228320ED" w14:textId="07D9719B"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BE7F743" w14:textId="77777777" w:rsidR="00CF1E2D" w:rsidRDefault="00CF1E2D">
      <w:pPr>
        <w:spacing w:line="360" w:lineRule="auto"/>
        <w:jc w:val="both"/>
        <w:rPr>
          <w:rFonts w:ascii="Times New Roman" w:eastAsia="Times New Roman" w:hAnsi="Times New Roman" w:cs="Times New Roman"/>
          <w:sz w:val="24"/>
          <w:szCs w:val="24"/>
        </w:rPr>
      </w:pPr>
    </w:p>
    <w:p w14:paraId="1B92F7CC"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J., &amp; Netessine, S. (2012). Who are my Competitors? Let the Customer Decide.</w:t>
      </w:r>
    </w:p>
    <w:p w14:paraId="7038FC76" w14:textId="77777777" w:rsidR="00CF1E2D" w:rsidRDefault="00CF1E2D">
      <w:pPr>
        <w:spacing w:line="360" w:lineRule="auto"/>
        <w:jc w:val="both"/>
        <w:rPr>
          <w:rFonts w:ascii="Times New Roman" w:eastAsia="Times New Roman" w:hAnsi="Times New Roman" w:cs="Times New Roman"/>
          <w:sz w:val="24"/>
          <w:szCs w:val="24"/>
        </w:rPr>
      </w:pPr>
    </w:p>
    <w:p w14:paraId="553A334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proposes a customer-centric approach to identifying competitors in the hotel industry using online search and clickstream data. The study suggests that the traditional ways of defining competition sets based on rules of thumb or price matching need to be revised. The authors demonstrate the value of leveraging customer data to understand better networked competition, an approach that can be applied across various industries.</w:t>
      </w:r>
    </w:p>
    <w:p w14:paraId="34CE00BD" w14:textId="77777777" w:rsidR="00CF1E2D" w:rsidRDefault="00CF1E2D">
      <w:pPr>
        <w:spacing w:line="360" w:lineRule="auto"/>
        <w:jc w:val="both"/>
        <w:rPr>
          <w:rFonts w:ascii="Times New Roman" w:eastAsia="Times New Roman" w:hAnsi="Times New Roman" w:cs="Times New Roman"/>
          <w:sz w:val="24"/>
          <w:szCs w:val="24"/>
        </w:rPr>
      </w:pPr>
    </w:p>
    <w:p w14:paraId="5DFF133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relevant to my study, as it provides a way to identify competitors from the customer perspective, which is crucial for developing effective pricing and marketing strategies. </w:t>
      </w:r>
    </w:p>
    <w:p w14:paraId="1D9247C2" w14:textId="77777777" w:rsidR="00CF1E2D" w:rsidRDefault="00CF1E2D">
      <w:pPr>
        <w:spacing w:line="360" w:lineRule="auto"/>
        <w:jc w:val="both"/>
        <w:rPr>
          <w:rFonts w:ascii="Times New Roman" w:eastAsia="Times New Roman" w:hAnsi="Times New Roman" w:cs="Times New Roman"/>
          <w:sz w:val="24"/>
          <w:szCs w:val="24"/>
        </w:rPr>
      </w:pPr>
    </w:p>
    <w:p w14:paraId="0FD79839"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Milner, R., &amp; Furnham, A. (2017). Measuring Customer Feedback, Response and Satisfaction. Psychology, 8, 350-362.</w:t>
      </w:r>
    </w:p>
    <w:p w14:paraId="5CF785C4" w14:textId="77777777" w:rsidR="00CF1E2D" w:rsidRDefault="00CF1E2D">
      <w:pPr>
        <w:spacing w:line="360" w:lineRule="auto"/>
        <w:jc w:val="both"/>
        <w:rPr>
          <w:rFonts w:ascii="Times New Roman" w:eastAsia="Times New Roman" w:hAnsi="Times New Roman" w:cs="Times New Roman"/>
          <w:sz w:val="24"/>
          <w:szCs w:val="24"/>
        </w:rPr>
      </w:pPr>
    </w:p>
    <w:p w14:paraId="1ED39FD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various questionnaires used to measure customer satisfaction with services. The authors discuss three standard scales - SERVQUAL, RSQS, and SERV-OR - and compare their dimensions and psychometric properties.</w:t>
      </w:r>
    </w:p>
    <w:p w14:paraId="37A81409" w14:textId="77777777" w:rsidR="00CF1E2D" w:rsidRDefault="00CF1E2D">
      <w:pPr>
        <w:spacing w:line="360" w:lineRule="auto"/>
        <w:jc w:val="both"/>
        <w:rPr>
          <w:rFonts w:ascii="Times New Roman" w:eastAsia="Times New Roman" w:hAnsi="Times New Roman" w:cs="Times New Roman"/>
          <w:sz w:val="24"/>
          <w:szCs w:val="24"/>
        </w:rPr>
      </w:pPr>
    </w:p>
    <w:p w14:paraId="46156CB2" w14:textId="424A6FFF" w:rsidR="00082D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provides a comprehensive review of the key customer satisfaction measurement scales, drawing on a wide range of literature. It offers a critical assessment of these scales' strengths and limitations and provides clear recommendations for future research and practice in this area. This article is relevant to my study on measuring customer satisfaction. </w:t>
      </w:r>
      <w:r>
        <w:rPr>
          <w:rFonts w:ascii="Times New Roman" w:eastAsia="Times New Roman" w:hAnsi="Times New Roman" w:cs="Times New Roman"/>
          <w:sz w:val="24"/>
          <w:szCs w:val="24"/>
        </w:rPr>
        <w:br/>
      </w:r>
    </w:p>
    <w:p w14:paraId="3CB76187" w14:textId="77777777"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D2868D4" w14:textId="77777777" w:rsidR="00CF1E2D" w:rsidRDefault="00CF1E2D">
      <w:pPr>
        <w:spacing w:line="360" w:lineRule="auto"/>
        <w:jc w:val="both"/>
        <w:rPr>
          <w:rFonts w:ascii="Times New Roman" w:eastAsia="Times New Roman" w:hAnsi="Times New Roman" w:cs="Times New Roman"/>
          <w:sz w:val="24"/>
          <w:szCs w:val="24"/>
        </w:rPr>
      </w:pPr>
    </w:p>
    <w:p w14:paraId="3EF7B0D2"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Negoit,a, O.D., Purcarea, A.A., Popescu, M., Niculescu, A., &amp; Coman, C.N. (2018). Digital Marketing Tools Used by Companies. FAIMA Business &amp; Management Journal, 6(4), 66-75.</w:t>
      </w:r>
    </w:p>
    <w:p w14:paraId="3F473F0E" w14:textId="77777777" w:rsidR="00CF1E2D" w:rsidRDefault="00CF1E2D">
      <w:pPr>
        <w:spacing w:line="360" w:lineRule="auto"/>
        <w:jc w:val="both"/>
        <w:rPr>
          <w:rFonts w:ascii="Times New Roman" w:eastAsia="Times New Roman" w:hAnsi="Times New Roman" w:cs="Times New Roman"/>
          <w:sz w:val="24"/>
          <w:szCs w:val="24"/>
        </w:rPr>
      </w:pPr>
    </w:p>
    <w:p w14:paraId="2B4AE2F7"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investigates the use of digital marketing tools by IT&amp;C companies in Bucharest, Romania. The researchers found that 95% of respondents use digital marketing channels, with the website being the predominant channel where the largest share of the marketing budget is allocated. The authors also discovered that the use of the website influences the achievement of a competitive advantage for these companies.</w:t>
      </w:r>
    </w:p>
    <w:p w14:paraId="72F1E044" w14:textId="77777777" w:rsidR="00CF1E2D" w:rsidRDefault="00CF1E2D">
      <w:pPr>
        <w:spacing w:line="360" w:lineRule="auto"/>
        <w:jc w:val="both"/>
        <w:rPr>
          <w:rFonts w:ascii="Times New Roman" w:eastAsia="Times New Roman" w:hAnsi="Times New Roman" w:cs="Times New Roman"/>
          <w:sz w:val="24"/>
          <w:szCs w:val="24"/>
        </w:rPr>
      </w:pPr>
    </w:p>
    <w:p w14:paraId="443575E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peer-reviewed study provides valuable insights into the digital marketing practices of IT&amp;C companies in Romania. The findings are relevant to my research and can support my arguments. </w:t>
      </w:r>
    </w:p>
    <w:p w14:paraId="51FA1496" w14:textId="77777777" w:rsidR="00CF1E2D" w:rsidRDefault="00CF1E2D">
      <w:pPr>
        <w:spacing w:line="360" w:lineRule="auto"/>
        <w:jc w:val="both"/>
        <w:rPr>
          <w:rFonts w:ascii="Times New Roman" w:eastAsia="Times New Roman" w:hAnsi="Times New Roman" w:cs="Times New Roman"/>
          <w:sz w:val="24"/>
          <w:szCs w:val="24"/>
        </w:rPr>
      </w:pPr>
    </w:p>
    <w:p w14:paraId="01F49244"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Palazon, M., &amp; Delgado-Ballester, E. (2009). Effectiveness of price discounts and premium promotions. Psychology &amp; Marketing, 26(12), 1108-1129.</w:t>
      </w:r>
    </w:p>
    <w:p w14:paraId="1E9BF107" w14:textId="77777777" w:rsidR="00CF1E2D" w:rsidRDefault="00CF1E2D">
      <w:pPr>
        <w:spacing w:line="360" w:lineRule="auto"/>
        <w:jc w:val="both"/>
        <w:rPr>
          <w:rFonts w:ascii="Times New Roman" w:eastAsia="Times New Roman" w:hAnsi="Times New Roman" w:cs="Times New Roman"/>
          <w:sz w:val="24"/>
          <w:szCs w:val="24"/>
        </w:rPr>
      </w:pPr>
    </w:p>
    <w:p w14:paraId="5F7A6778"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explores the interaction effect between promotional benefit level and promotion type on consumer perceived value, buying intention, and search intention. The authors found that at high benefit levels, price discounts are more effective than premiums, while the opposite occurs at low benefit levels. The findings offer valuable insights for managers on how to use different promotional tools effectively depending on the benefit level.</w:t>
      </w:r>
    </w:p>
    <w:p w14:paraId="75E053D6" w14:textId="77777777" w:rsidR="00CF1E2D" w:rsidRDefault="00CF1E2D">
      <w:pPr>
        <w:spacing w:line="360" w:lineRule="auto"/>
        <w:jc w:val="both"/>
        <w:rPr>
          <w:rFonts w:ascii="Times New Roman" w:eastAsia="Times New Roman" w:hAnsi="Times New Roman" w:cs="Times New Roman"/>
          <w:sz w:val="24"/>
          <w:szCs w:val="24"/>
        </w:rPr>
      </w:pPr>
    </w:p>
    <w:p w14:paraId="39FD3280"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contribute to the academic understanding of consumer information processing in response to different promotional framings. This study is relevant to my research as it explores the comparative effectiveness of price-based versus non-price-based promotions, which can help unpack the core concepts related to promotional effectiveness in my study.</w:t>
      </w:r>
    </w:p>
    <w:p w14:paraId="418738C8" w14:textId="6225545A"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D21F881" w14:textId="77777777" w:rsidR="00CF1E2D" w:rsidRDefault="00CF1E2D">
      <w:pPr>
        <w:spacing w:line="360" w:lineRule="auto"/>
        <w:jc w:val="both"/>
        <w:rPr>
          <w:rFonts w:ascii="Times New Roman" w:eastAsia="Times New Roman" w:hAnsi="Times New Roman" w:cs="Times New Roman"/>
          <w:sz w:val="24"/>
          <w:szCs w:val="24"/>
        </w:rPr>
      </w:pPr>
    </w:p>
    <w:p w14:paraId="7B9A3A27"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Poplavskaya, A., Gruzdev, I., &amp; Petlin, A. (2018). Defining the Problem of Choosing Extracurricular Activities in Russia. Voprosy obrazovaniya / Educational Studies Moscow, 2018(4), 261–281.</w:t>
      </w:r>
    </w:p>
    <w:p w14:paraId="66B5E0C7" w14:textId="77777777" w:rsidR="00CF1E2D" w:rsidRDefault="00CF1E2D">
      <w:pPr>
        <w:spacing w:line="360" w:lineRule="auto"/>
        <w:jc w:val="both"/>
        <w:rPr>
          <w:rFonts w:ascii="Times New Roman" w:eastAsia="Times New Roman" w:hAnsi="Times New Roman" w:cs="Times New Roman"/>
          <w:sz w:val="24"/>
          <w:szCs w:val="24"/>
        </w:rPr>
      </w:pPr>
    </w:p>
    <w:p w14:paraId="6A7D20C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examines the challenges Russian parents face when selecting extracurricular activities (ECAs) for their children. The authors conducted interviews with middle- and high-income Moscow parents and analysed survey data to identify key factors shaping ECA choices, including family income, cultural capital, parental education, local infrastructure, and the ability to make informed decisions. The findings suggest that the expanded ECA market has made it difficult for families to navigate the options and evaluate program quality. The authors argue that many government initiatives to promote ECA participation may be ineffective, given the complexities of parental decision-making.</w:t>
      </w:r>
    </w:p>
    <w:p w14:paraId="5D60A254" w14:textId="77777777" w:rsidR="00CF1E2D" w:rsidRDefault="00CF1E2D">
      <w:pPr>
        <w:spacing w:line="360" w:lineRule="auto"/>
        <w:jc w:val="both"/>
        <w:rPr>
          <w:rFonts w:ascii="Times New Roman" w:eastAsia="Times New Roman" w:hAnsi="Times New Roman" w:cs="Times New Roman"/>
          <w:sz w:val="24"/>
          <w:szCs w:val="24"/>
        </w:rPr>
      </w:pPr>
    </w:p>
    <w:p w14:paraId="5F40576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mixed-methods study provides valuable insights into the ECA selection process in Russia, which differs from the predominantly North American focus of existing research. The authors make a compelling case that policymakers need to understand better parental decision-making to design effective initiatives to improve ECA access and quality.</w:t>
      </w:r>
    </w:p>
    <w:p w14:paraId="4265803A" w14:textId="77777777" w:rsidR="00CF1E2D" w:rsidRDefault="00CF1E2D">
      <w:pPr>
        <w:spacing w:line="360" w:lineRule="auto"/>
        <w:jc w:val="both"/>
        <w:rPr>
          <w:rFonts w:ascii="Times New Roman" w:eastAsia="Times New Roman" w:hAnsi="Times New Roman" w:cs="Times New Roman"/>
          <w:sz w:val="24"/>
          <w:szCs w:val="24"/>
        </w:rPr>
      </w:pPr>
    </w:p>
    <w:p w14:paraId="4AF5164C" w14:textId="2B4757B6"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AFCBBB4" w14:textId="77777777" w:rsidR="00CF1E2D" w:rsidRDefault="00CF1E2D">
      <w:pPr>
        <w:spacing w:line="360" w:lineRule="auto"/>
        <w:jc w:val="both"/>
        <w:rPr>
          <w:rFonts w:ascii="Times New Roman" w:eastAsia="Times New Roman" w:hAnsi="Times New Roman" w:cs="Times New Roman"/>
          <w:sz w:val="24"/>
          <w:szCs w:val="24"/>
        </w:rPr>
      </w:pPr>
    </w:p>
    <w:p w14:paraId="37654AA9"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Punj, G. N., &amp; Stewart, D. W. (1983). An Interaction Framework of Consumer Decision Making. Journal of Consumer Research, 10(2), 181–196. </w:t>
      </w:r>
    </w:p>
    <w:p w14:paraId="43EE0232" w14:textId="77777777" w:rsidR="00CF1E2D" w:rsidRDefault="00CF1E2D">
      <w:pPr>
        <w:spacing w:line="360" w:lineRule="auto"/>
        <w:jc w:val="both"/>
        <w:rPr>
          <w:rFonts w:ascii="Times New Roman" w:eastAsia="Times New Roman" w:hAnsi="Times New Roman" w:cs="Times New Roman"/>
          <w:sz w:val="24"/>
          <w:szCs w:val="24"/>
        </w:rPr>
      </w:pPr>
    </w:p>
    <w:p w14:paraId="1CD718F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proposes an interaction framework for consumer decision-making that integrates three research streams: task characteristics, individual differences, and elemental behavioural response analysis. The authors argue that behaviour is a function of task-related variables, individual differences, and their interaction. They present taxonomies of task and individual difference characteristics, providing a common language for describing the person and situation to identify interaction effects. </w:t>
      </w:r>
    </w:p>
    <w:p w14:paraId="02E5D603" w14:textId="77777777" w:rsidR="00CF1E2D" w:rsidRDefault="00CF1E2D">
      <w:pPr>
        <w:spacing w:line="360" w:lineRule="auto"/>
        <w:jc w:val="both"/>
        <w:rPr>
          <w:rFonts w:ascii="Times New Roman" w:eastAsia="Times New Roman" w:hAnsi="Times New Roman" w:cs="Times New Roman"/>
          <w:sz w:val="24"/>
          <w:szCs w:val="24"/>
        </w:rPr>
      </w:pPr>
    </w:p>
    <w:p w14:paraId="464FE47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interaction framework offers a more comprehensive understanding of consumer decision-making compared to approaches focusing solely on task or individual factors. It supports the argument that consumer decision-making is a complex process that cannot be fully explained by considering single factors in isolation. The taxonomies and the integrative perspective are highly relevant and significant for the proposed research. </w:t>
      </w:r>
    </w:p>
    <w:p w14:paraId="01FD807C" w14:textId="77777777" w:rsidR="00CF1E2D" w:rsidRDefault="00CF1E2D">
      <w:pPr>
        <w:spacing w:line="360" w:lineRule="auto"/>
        <w:jc w:val="both"/>
        <w:rPr>
          <w:rFonts w:ascii="Times New Roman" w:eastAsia="Times New Roman" w:hAnsi="Times New Roman" w:cs="Times New Roman"/>
          <w:sz w:val="24"/>
          <w:szCs w:val="24"/>
        </w:rPr>
      </w:pPr>
    </w:p>
    <w:p w14:paraId="7536BCD5" w14:textId="7CB9D961"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D55B26" w14:textId="77777777" w:rsidR="00CF1E2D" w:rsidRDefault="00CF1E2D">
      <w:pPr>
        <w:spacing w:line="360" w:lineRule="auto"/>
        <w:jc w:val="both"/>
        <w:rPr>
          <w:rFonts w:ascii="Times New Roman" w:eastAsia="Times New Roman" w:hAnsi="Times New Roman" w:cs="Times New Roman"/>
          <w:sz w:val="24"/>
          <w:szCs w:val="24"/>
        </w:rPr>
      </w:pPr>
    </w:p>
    <w:p w14:paraId="4FF72287"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Ramya, N., &amp; Mohamed Ali, S.A. (2016). Factors affecting consumer buying behaviour. International Journal of Applied Research, 2(10), 76-80.</w:t>
      </w:r>
    </w:p>
    <w:p w14:paraId="56F47C38" w14:textId="77777777" w:rsidR="00CF1E2D" w:rsidRDefault="00CF1E2D">
      <w:pPr>
        <w:spacing w:line="360" w:lineRule="auto"/>
        <w:jc w:val="both"/>
        <w:rPr>
          <w:rFonts w:ascii="Times New Roman" w:eastAsia="Times New Roman" w:hAnsi="Times New Roman" w:cs="Times New Roman"/>
          <w:sz w:val="24"/>
          <w:szCs w:val="24"/>
        </w:rPr>
      </w:pPr>
    </w:p>
    <w:p w14:paraId="7C4E4EC0"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explores the various factors that influence consumer buying behaviour, including internal/psychological factors (motivation and perception), social factors (family, reference groups), cultural factors (culture, subculture), economic factors (income), and personal factors (age, lifestyle). The authors argue that by understanding these complex influences, marketers can develop more effective strategies and marketing messages to better meet the needs of their target consumers. The paper provides a comprehensive overview of the key factors shaping consumer decision-making, shopping habits, and purchasing behaviour.</w:t>
      </w:r>
    </w:p>
    <w:p w14:paraId="633016DB" w14:textId="77777777" w:rsidR="00CF1E2D" w:rsidRDefault="00CF1E2D">
      <w:pPr>
        <w:spacing w:line="360" w:lineRule="auto"/>
        <w:jc w:val="both"/>
        <w:rPr>
          <w:rFonts w:ascii="Times New Roman" w:eastAsia="Times New Roman" w:hAnsi="Times New Roman" w:cs="Times New Roman"/>
          <w:sz w:val="24"/>
          <w:szCs w:val="24"/>
        </w:rPr>
      </w:pPr>
    </w:p>
    <w:p w14:paraId="46E9BA2E"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peer-reviewed journal article written by experienced researchers in the field of consumer behaviour. The authors have drawn on established theories and models, providing a well-structured and insightful analysis. While the paper does not present primary data, the secondary evidence is convincing. The work is highly relevant to my study, as it offers a robust theoretical foundation for understanding the multifaceted nature of consumer behaviour. I can use the evidence and ideas from this paper to support and contextualise my research on the factors shaping consumer decision-making in the extracurricular activities market.</w:t>
      </w:r>
    </w:p>
    <w:p w14:paraId="0F9862C3" w14:textId="77777777" w:rsidR="00CF1E2D" w:rsidRDefault="00CF1E2D">
      <w:pPr>
        <w:spacing w:line="360" w:lineRule="auto"/>
        <w:jc w:val="both"/>
        <w:rPr>
          <w:rFonts w:ascii="Times New Roman" w:eastAsia="Times New Roman" w:hAnsi="Times New Roman" w:cs="Times New Roman"/>
          <w:sz w:val="24"/>
          <w:szCs w:val="24"/>
        </w:rPr>
      </w:pPr>
    </w:p>
    <w:p w14:paraId="64118377" w14:textId="14166C7E" w:rsidR="00082D8D" w:rsidRDefault="00082D8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B4CCD48" w14:textId="77777777" w:rsidR="00CF1E2D" w:rsidRDefault="00CF1E2D">
      <w:pPr>
        <w:spacing w:line="360" w:lineRule="auto"/>
        <w:jc w:val="both"/>
        <w:rPr>
          <w:rFonts w:ascii="Times New Roman" w:eastAsia="Times New Roman" w:hAnsi="Times New Roman" w:cs="Times New Roman"/>
          <w:sz w:val="24"/>
          <w:szCs w:val="24"/>
        </w:rPr>
      </w:pPr>
    </w:p>
    <w:p w14:paraId="0EED6804"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Saarijärvi, H., Grönroos, C., &amp; Kuusela, H. (2014). Reverse use of customer data: implications for service-based business models. Journal of Services Marketing, 28(7), 529-537.</w:t>
      </w:r>
    </w:p>
    <w:p w14:paraId="44BC17A0" w14:textId="77777777" w:rsidR="00CF1E2D" w:rsidRDefault="00CF1E2D">
      <w:pPr>
        <w:spacing w:line="360" w:lineRule="auto"/>
        <w:jc w:val="both"/>
        <w:rPr>
          <w:rFonts w:ascii="Times New Roman" w:eastAsia="Times New Roman" w:hAnsi="Times New Roman" w:cs="Times New Roman"/>
          <w:sz w:val="24"/>
          <w:szCs w:val="24"/>
        </w:rPr>
      </w:pPr>
    </w:p>
    <w:p w14:paraId="7EE33B79"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explores the implications of using customer data in reverse for service-based business models. The authors suggest that firms can refine customer data into resources that directly support customers' value-creation processes. The authors conclude that the reverse use of customer data represents a new emerging research phenomenon.</w:t>
      </w:r>
    </w:p>
    <w:p w14:paraId="6E6D95CD" w14:textId="77777777" w:rsidR="00CF1E2D" w:rsidRDefault="00CF1E2D">
      <w:pPr>
        <w:spacing w:line="360" w:lineRule="auto"/>
        <w:jc w:val="both"/>
        <w:rPr>
          <w:rFonts w:ascii="Times New Roman" w:eastAsia="Times New Roman" w:hAnsi="Times New Roman" w:cs="Times New Roman"/>
          <w:sz w:val="24"/>
          <w:szCs w:val="24"/>
        </w:rPr>
      </w:pPr>
    </w:p>
    <w:p w14:paraId="7D18DB9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provides interesting theoretical ideas about how customer data can be used to support the customer's value-creation process. It is relevant to my research as it highlights new ways of leveraging customer data to enhance service-based business models.</w:t>
      </w:r>
    </w:p>
    <w:p w14:paraId="3DAE503C" w14:textId="77777777" w:rsidR="00CF1E2D" w:rsidRDefault="00CF1E2D">
      <w:pPr>
        <w:spacing w:line="360" w:lineRule="auto"/>
        <w:jc w:val="both"/>
        <w:rPr>
          <w:rFonts w:ascii="Times New Roman" w:eastAsia="Times New Roman" w:hAnsi="Times New Roman" w:cs="Times New Roman"/>
          <w:sz w:val="24"/>
          <w:szCs w:val="24"/>
        </w:rPr>
      </w:pPr>
    </w:p>
    <w:p w14:paraId="6348CFCF" w14:textId="77777777" w:rsidR="00CF1E2D" w:rsidRDefault="00CF1E2D">
      <w:pPr>
        <w:spacing w:line="360" w:lineRule="auto"/>
        <w:jc w:val="both"/>
        <w:rPr>
          <w:rFonts w:ascii="Times New Roman" w:eastAsia="Times New Roman" w:hAnsi="Times New Roman" w:cs="Times New Roman"/>
          <w:sz w:val="24"/>
          <w:szCs w:val="24"/>
        </w:rPr>
      </w:pPr>
    </w:p>
    <w:p w14:paraId="7B591302" w14:textId="77777777" w:rsidR="00CF1E2D" w:rsidRDefault="00CF1E2D">
      <w:pPr>
        <w:spacing w:line="360" w:lineRule="auto"/>
        <w:jc w:val="both"/>
        <w:rPr>
          <w:rFonts w:ascii="Times New Roman" w:eastAsia="Times New Roman" w:hAnsi="Times New Roman" w:cs="Times New Roman"/>
          <w:sz w:val="24"/>
          <w:szCs w:val="24"/>
        </w:rPr>
      </w:pPr>
    </w:p>
    <w:p w14:paraId="233B39A0" w14:textId="77777777" w:rsidR="00CF1E2D"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Stremersch, S., &amp; Tellis, G. J. (2002). The strategic bundling of products and prices: A new synthesis for marketing. Journal of Marketing, 66(1), 55-72.</w:t>
      </w:r>
    </w:p>
    <w:p w14:paraId="321E7961" w14:textId="77777777" w:rsidR="00CF1E2D" w:rsidRDefault="00CF1E2D">
      <w:pPr>
        <w:spacing w:line="360" w:lineRule="auto"/>
        <w:jc w:val="both"/>
        <w:rPr>
          <w:rFonts w:ascii="Times New Roman" w:eastAsia="Times New Roman" w:hAnsi="Times New Roman" w:cs="Times New Roman"/>
          <w:sz w:val="24"/>
          <w:szCs w:val="24"/>
        </w:rPr>
      </w:pPr>
    </w:p>
    <w:p w14:paraId="5623584D"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presents a comprehensive conceptual framework for the strategic bundling of services and their pricing. The authors examine when and why firms should bundle their services, as well as the optimal pricing strategies. The proposed framework suggests that service bundling can increase customer willingness to pay, reduce costs, and create value through complementarities. </w:t>
      </w:r>
    </w:p>
    <w:p w14:paraId="24FF688D" w14:textId="77777777" w:rsidR="00CF1E2D" w:rsidRDefault="00CF1E2D">
      <w:pPr>
        <w:spacing w:line="360" w:lineRule="auto"/>
        <w:jc w:val="both"/>
        <w:rPr>
          <w:rFonts w:ascii="Times New Roman" w:eastAsia="Times New Roman" w:hAnsi="Times New Roman" w:cs="Times New Roman"/>
          <w:sz w:val="24"/>
          <w:szCs w:val="24"/>
        </w:rPr>
      </w:pPr>
    </w:p>
    <w:p w14:paraId="755AB63F"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offers valuable insights into the strategic use of service bundling and pricing, which are applicable to the context of extracurricular activity providers. The conceptual framework and the core concepts discussed inform the development of my research model and hypotheses, particularly regarding the factors that influence the optimal bundling and pricing strategies for extracurricular activities.</w:t>
      </w:r>
    </w:p>
    <w:p w14:paraId="340E849A" w14:textId="77777777" w:rsidR="00CF1E2D" w:rsidRDefault="00CF1E2D">
      <w:pPr>
        <w:spacing w:line="360" w:lineRule="auto"/>
        <w:jc w:val="both"/>
        <w:rPr>
          <w:rFonts w:ascii="Times New Roman" w:eastAsia="Times New Roman" w:hAnsi="Times New Roman" w:cs="Times New Roman"/>
          <w:sz w:val="24"/>
          <w:szCs w:val="24"/>
        </w:rPr>
      </w:pPr>
    </w:p>
    <w:p w14:paraId="745A607D" w14:textId="77777777" w:rsidR="00CF1E2D" w:rsidRPr="00082D8D" w:rsidRDefault="00CF1E2D">
      <w:pPr>
        <w:spacing w:line="360" w:lineRule="auto"/>
        <w:jc w:val="both"/>
        <w:rPr>
          <w:rFonts w:ascii="Times New Roman" w:eastAsia="Times New Roman" w:hAnsi="Times New Roman" w:cs="Times New Roman"/>
          <w:sz w:val="24"/>
          <w:szCs w:val="24"/>
          <w:lang w:val="en-US"/>
        </w:rPr>
      </w:pPr>
    </w:p>
    <w:p w14:paraId="4A3498C4" w14:textId="77777777" w:rsidR="00CF1E2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2206FD9" wp14:editId="616FDD0E">
            <wp:extent cx="5943600" cy="8166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8166100"/>
                    </a:xfrm>
                    <a:prstGeom prst="rect">
                      <a:avLst/>
                    </a:prstGeom>
                    <a:ln/>
                  </pic:spPr>
                </pic:pic>
              </a:graphicData>
            </a:graphic>
          </wp:inline>
        </w:drawing>
      </w:r>
    </w:p>
    <w:sectPr w:rsidR="00CF1E2D" w:rsidSect="00082D8D">
      <w:headerReference w:type="default" r:id="rId9"/>
      <w:foot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F2CC8" w14:textId="77777777" w:rsidR="006D1065" w:rsidRDefault="006D1065">
      <w:pPr>
        <w:spacing w:line="240" w:lineRule="auto"/>
      </w:pPr>
      <w:r>
        <w:separator/>
      </w:r>
    </w:p>
  </w:endnote>
  <w:endnote w:type="continuationSeparator" w:id="0">
    <w:p w14:paraId="03B86A62" w14:textId="77777777" w:rsidR="006D1065" w:rsidRDefault="006D10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31E942" w14:textId="77777777" w:rsidR="00CF1E2D" w:rsidRDefault="00000000">
    <w:pPr>
      <w:jc w:val="center"/>
    </w:pPr>
    <w:r>
      <w:fldChar w:fldCharType="begin"/>
    </w:r>
    <w:r>
      <w:instrText>PAGE</w:instrText>
    </w:r>
    <w:r>
      <w:fldChar w:fldCharType="separate"/>
    </w:r>
    <w:r w:rsidR="00082D8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C2A5CD" w14:textId="77777777" w:rsidR="00CF1E2D" w:rsidRDefault="00CF1E2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7920F" w14:textId="77777777" w:rsidR="006D1065" w:rsidRDefault="006D1065">
      <w:pPr>
        <w:spacing w:line="240" w:lineRule="auto"/>
      </w:pPr>
      <w:r>
        <w:separator/>
      </w:r>
    </w:p>
  </w:footnote>
  <w:footnote w:type="continuationSeparator" w:id="0">
    <w:p w14:paraId="064B50A5" w14:textId="77777777" w:rsidR="006D1065" w:rsidRDefault="006D10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1355E4" w14:textId="77777777" w:rsidR="00CF1E2D" w:rsidRDefault="00CF1E2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E0B64"/>
    <w:multiLevelType w:val="multilevel"/>
    <w:tmpl w:val="77161B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3DC2715A"/>
    <w:multiLevelType w:val="multilevel"/>
    <w:tmpl w:val="AA3441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E934B74"/>
    <w:multiLevelType w:val="multilevel"/>
    <w:tmpl w:val="C40A6F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D8B25C0"/>
    <w:multiLevelType w:val="multilevel"/>
    <w:tmpl w:val="EA24EA6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7DB25A10"/>
    <w:multiLevelType w:val="multilevel"/>
    <w:tmpl w:val="AE407B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908420209">
    <w:abstractNumId w:val="4"/>
  </w:num>
  <w:num w:numId="2" w16cid:durableId="1571692326">
    <w:abstractNumId w:val="3"/>
  </w:num>
  <w:num w:numId="3" w16cid:durableId="1601062989">
    <w:abstractNumId w:val="2"/>
  </w:num>
  <w:num w:numId="4" w16cid:durableId="1718161773">
    <w:abstractNumId w:val="0"/>
  </w:num>
  <w:num w:numId="5" w16cid:durableId="1441099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E2D"/>
    <w:rsid w:val="00082D8D"/>
    <w:rsid w:val="006D1065"/>
    <w:rsid w:val="008D6FC7"/>
    <w:rsid w:val="00CF1E2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0A00DF96"/>
  <w15:docId w15:val="{24C9E642-1678-E548-8E9A-101BF172D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EastAsia" w:hAnsi="Arial" w:cs="Arial"/>
        <w:sz w:val="22"/>
        <w:szCs w:val="22"/>
        <w:lang w:val="en-GB" w:eastAsia="zh-T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unhideWhenUsed/>
    <w:qFormat/>
    <w:pPr>
      <w:keepNext/>
      <w:keepLines/>
      <w:spacing w:before="360" w:after="120"/>
      <w:outlineLvl w:val="1"/>
    </w:pPr>
    <w:rPr>
      <w:sz w:val="32"/>
      <w:szCs w:val="32"/>
    </w:rPr>
  </w:style>
  <w:style w:type="paragraph" w:styleId="3">
    <w:name w:val="heading 3"/>
    <w:basedOn w:val="a"/>
    <w:next w:val="a"/>
    <w:uiPriority w:val="9"/>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rFonts w:eastAsia="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.~WRD0089</Template>
  <TotalTime>5</TotalTime>
  <Pages>43</Pages>
  <Words>9913</Words>
  <Characters>56506</Characters>
  <Application>Microsoft Office Word</Application>
  <DocSecurity>0</DocSecurity>
  <Lines>470</Lines>
  <Paragraphs>132</Paragraphs>
  <ScaleCrop>false</ScaleCrop>
  <Company/>
  <LinksUpToDate>false</LinksUpToDate>
  <CharactersWithSpaces>66287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Jacky Yau</cp:lastModifiedBy>
  <cp:revision>2</cp:revision>
  <dcterms:created xsi:type="dcterms:W3CDTF">2024-09-05T13:51:00Z</dcterms:created>
  <dcterms:modified xsi:type="dcterms:W3CDTF">2024-09-05T13:57:00Z</dcterms:modified>
</cp:coreProperties>
</file>