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098C29B" w:rsidP="3098C29B" w:rsidRDefault="3098C29B" w14:paraId="14C8E908" w14:textId="38ABFE7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475"/>
        <w:gridCol w:w="6540"/>
      </w:tblGrid>
      <w:tr w:rsidR="3098C29B" w:rsidTr="3098C29B" w14:paraId="38EB6520">
        <w:trPr>
          <w:trHeight w:val="360"/>
        </w:trPr>
        <w:tc>
          <w:tcPr>
            <w:tcW w:w="2475" w:type="dxa"/>
            <w:tcMar/>
          </w:tcPr>
          <w:p w:rsidR="646EF240" w:rsidP="3098C29B" w:rsidRDefault="646EF240" w14:paraId="4B498151" w14:textId="2F180EAF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3098C29B" w:rsidR="646EF240">
              <w:rPr>
                <w:rFonts w:ascii="Arial" w:hAnsi="Arial" w:eastAsia="Arial" w:cs="Arial"/>
                <w:sz w:val="22"/>
                <w:szCs w:val="22"/>
              </w:rPr>
              <w:t>Name</w:t>
            </w:r>
            <w:r w:rsidRPr="3098C29B" w:rsidR="229145F0">
              <w:rPr>
                <w:rFonts w:ascii="Arial" w:hAnsi="Arial" w:eastAsia="Arial" w:cs="Arial"/>
                <w:sz w:val="22"/>
                <w:szCs w:val="22"/>
              </w:rPr>
              <w:t>:</w:t>
            </w:r>
          </w:p>
        </w:tc>
        <w:tc>
          <w:tcPr>
            <w:tcW w:w="6540" w:type="dxa"/>
            <w:tcMar/>
          </w:tcPr>
          <w:p w:rsidR="646EF240" w:rsidP="3098C29B" w:rsidRDefault="646EF240" w14:paraId="0570EA57" w14:textId="734514DB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3098C29B" w:rsidR="646EF240">
              <w:rPr>
                <w:rFonts w:ascii="Arial" w:hAnsi="Arial" w:eastAsia="Arial" w:cs="Arial"/>
                <w:sz w:val="22"/>
                <w:szCs w:val="22"/>
              </w:rPr>
              <w:t>Rashida Begum</w:t>
            </w:r>
          </w:p>
          <w:p w:rsidR="3098C29B" w:rsidP="3098C29B" w:rsidRDefault="3098C29B" w14:paraId="26C7ABC3" w14:textId="1BEBD3BE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="3098C29B" w:rsidTr="3098C29B" w14:paraId="0EBAF198">
        <w:trPr>
          <w:trHeight w:val="300"/>
        </w:trPr>
        <w:tc>
          <w:tcPr>
            <w:tcW w:w="2475" w:type="dxa"/>
            <w:tcMar/>
          </w:tcPr>
          <w:p w:rsidR="646EF240" w:rsidP="3098C29B" w:rsidRDefault="646EF240" w14:paraId="017EE26F" w14:textId="2188621B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3098C29B" w:rsidR="646EF240">
              <w:rPr>
                <w:rFonts w:ascii="Arial" w:hAnsi="Arial" w:eastAsia="Arial" w:cs="Arial"/>
                <w:sz w:val="22"/>
                <w:szCs w:val="22"/>
              </w:rPr>
              <w:t>Student Id</w:t>
            </w:r>
            <w:r w:rsidRPr="3098C29B" w:rsidR="3BB9B18E">
              <w:rPr>
                <w:rFonts w:ascii="Arial" w:hAnsi="Arial" w:eastAsia="Arial" w:cs="Arial"/>
                <w:sz w:val="22"/>
                <w:szCs w:val="22"/>
              </w:rPr>
              <w:t>:</w:t>
            </w:r>
          </w:p>
        </w:tc>
        <w:tc>
          <w:tcPr>
            <w:tcW w:w="6540" w:type="dxa"/>
            <w:tcMar/>
          </w:tcPr>
          <w:p w:rsidR="646EF240" w:rsidP="3098C29B" w:rsidRDefault="646EF240" w14:paraId="4B3DAE8B" w14:textId="664B0D24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3098C29B" w:rsidR="646EF240">
              <w:rPr>
                <w:rFonts w:ascii="Arial" w:hAnsi="Arial" w:eastAsia="Arial" w:cs="Arial"/>
                <w:sz w:val="22"/>
                <w:szCs w:val="22"/>
              </w:rPr>
              <w:t>2316439</w:t>
            </w:r>
          </w:p>
          <w:p w:rsidR="3098C29B" w:rsidP="3098C29B" w:rsidRDefault="3098C29B" w14:paraId="60613823" w14:textId="3C857BD6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="3098C29B" w:rsidTr="3098C29B" w14:paraId="7BD68A9B">
        <w:trPr>
          <w:trHeight w:val="300"/>
        </w:trPr>
        <w:tc>
          <w:tcPr>
            <w:tcW w:w="2475" w:type="dxa"/>
            <w:tcMar/>
          </w:tcPr>
          <w:p w:rsidR="646EF240" w:rsidP="3098C29B" w:rsidRDefault="646EF240" w14:paraId="2325F34E" w14:textId="43917E9B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3098C29B" w:rsidR="646EF240">
              <w:rPr>
                <w:rFonts w:ascii="Arial" w:hAnsi="Arial" w:eastAsia="Arial" w:cs="Arial"/>
                <w:sz w:val="22"/>
                <w:szCs w:val="22"/>
              </w:rPr>
              <w:t>Module</w:t>
            </w:r>
            <w:r w:rsidRPr="3098C29B" w:rsidR="41169807">
              <w:rPr>
                <w:rFonts w:ascii="Arial" w:hAnsi="Arial" w:eastAsia="Arial" w:cs="Arial"/>
                <w:sz w:val="22"/>
                <w:szCs w:val="22"/>
              </w:rPr>
              <w:t>:</w:t>
            </w:r>
          </w:p>
          <w:p w:rsidR="3098C29B" w:rsidP="3098C29B" w:rsidRDefault="3098C29B" w14:paraId="3C334BBA" w14:textId="1C4AB071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6540" w:type="dxa"/>
            <w:tcMar/>
          </w:tcPr>
          <w:p w:rsidR="646EF240" w:rsidP="3098C29B" w:rsidRDefault="646EF240" w14:paraId="5360861E" w14:textId="230D82B7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3098C29B" w:rsidR="646EF240">
              <w:rPr>
                <w:rFonts w:ascii="Arial" w:hAnsi="Arial" w:eastAsia="Arial" w:cs="Arial"/>
                <w:sz w:val="22"/>
                <w:szCs w:val="22"/>
              </w:rPr>
              <w:t>Introduction to Independent Research Skills</w:t>
            </w:r>
          </w:p>
        </w:tc>
      </w:tr>
      <w:tr w:rsidR="3098C29B" w:rsidTr="3098C29B" w14:paraId="64940E24">
        <w:trPr>
          <w:trHeight w:val="300"/>
        </w:trPr>
        <w:tc>
          <w:tcPr>
            <w:tcW w:w="2475" w:type="dxa"/>
            <w:tcMar/>
          </w:tcPr>
          <w:p w:rsidR="646EF240" w:rsidP="3098C29B" w:rsidRDefault="646EF240" w14:paraId="41FED65D" w14:textId="1455FB29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3098C29B" w:rsidR="646EF240">
              <w:rPr>
                <w:rFonts w:ascii="Arial" w:hAnsi="Arial" w:eastAsia="Arial" w:cs="Arial"/>
                <w:sz w:val="22"/>
                <w:szCs w:val="22"/>
              </w:rPr>
              <w:t>Module Code:</w:t>
            </w:r>
          </w:p>
        </w:tc>
        <w:tc>
          <w:tcPr>
            <w:tcW w:w="6540" w:type="dxa"/>
            <w:tcMar/>
          </w:tcPr>
          <w:p w:rsidR="646EF240" w:rsidP="3098C29B" w:rsidRDefault="646EF240" w14:paraId="7328C7FD" w14:textId="2E5B5414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3098C29B" w:rsidR="646EF240">
              <w:rPr>
                <w:rFonts w:ascii="Arial" w:hAnsi="Arial" w:eastAsia="Arial" w:cs="Arial"/>
                <w:sz w:val="22"/>
                <w:szCs w:val="22"/>
              </w:rPr>
              <w:t>BMHP5019</w:t>
            </w:r>
          </w:p>
          <w:p w:rsidR="3098C29B" w:rsidP="3098C29B" w:rsidRDefault="3098C29B" w14:paraId="06BC1329" w14:textId="5771F15D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="3098C29B" w:rsidTr="3098C29B" w14:paraId="3169405C">
        <w:trPr>
          <w:trHeight w:val="300"/>
        </w:trPr>
        <w:tc>
          <w:tcPr>
            <w:tcW w:w="2475" w:type="dxa"/>
            <w:tcMar/>
          </w:tcPr>
          <w:p w:rsidR="646EF240" w:rsidP="3098C29B" w:rsidRDefault="646EF240" w14:paraId="1F4657B0" w14:textId="58407A57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3098C29B" w:rsidR="646EF240">
              <w:rPr>
                <w:rFonts w:ascii="Arial" w:hAnsi="Arial" w:eastAsia="Arial" w:cs="Arial"/>
                <w:sz w:val="22"/>
                <w:szCs w:val="22"/>
              </w:rPr>
              <w:t>Assignment Title:</w:t>
            </w:r>
          </w:p>
        </w:tc>
        <w:tc>
          <w:tcPr>
            <w:tcW w:w="6540" w:type="dxa"/>
            <w:tcMar/>
          </w:tcPr>
          <w:p w:rsidR="646EF240" w:rsidP="3098C29B" w:rsidRDefault="646EF240" w14:paraId="03D58113" w14:textId="5D364B02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3098C29B" w:rsidR="646EF240">
              <w:rPr>
                <w:rFonts w:ascii="Arial" w:hAnsi="Arial" w:eastAsia="Arial" w:cs="Arial"/>
                <w:sz w:val="22"/>
                <w:szCs w:val="22"/>
              </w:rPr>
              <w:t>Component</w:t>
            </w:r>
            <w:r w:rsidRPr="3098C29B" w:rsidR="646EF240">
              <w:rPr>
                <w:rFonts w:ascii="Arial" w:hAnsi="Arial" w:eastAsia="Arial" w:cs="Arial"/>
                <w:sz w:val="22"/>
                <w:szCs w:val="22"/>
              </w:rPr>
              <w:t xml:space="preserve"> 1: Written Assignment (Research Proposal)</w:t>
            </w:r>
          </w:p>
          <w:p w:rsidR="3098C29B" w:rsidP="3098C29B" w:rsidRDefault="3098C29B" w14:paraId="2C5D616B" w14:textId="5E1408FE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="3098C29B" w:rsidTr="3098C29B" w14:paraId="52978B0F">
        <w:trPr>
          <w:trHeight w:val="300"/>
        </w:trPr>
        <w:tc>
          <w:tcPr>
            <w:tcW w:w="2475" w:type="dxa"/>
            <w:tcMar/>
          </w:tcPr>
          <w:p w:rsidR="646EF240" w:rsidP="3098C29B" w:rsidRDefault="646EF240" w14:paraId="05AA0C6E" w14:textId="55CC4151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3098C29B" w:rsidR="646EF240">
              <w:rPr>
                <w:rFonts w:ascii="Arial" w:hAnsi="Arial" w:eastAsia="Arial" w:cs="Arial"/>
                <w:sz w:val="22"/>
                <w:szCs w:val="22"/>
              </w:rPr>
              <w:t>Lecturer</w:t>
            </w:r>
            <w:r w:rsidRPr="3098C29B" w:rsidR="08A37270">
              <w:rPr>
                <w:rFonts w:ascii="Arial" w:hAnsi="Arial" w:eastAsia="Arial" w:cs="Arial"/>
                <w:sz w:val="22"/>
                <w:szCs w:val="22"/>
              </w:rPr>
              <w:t>:</w:t>
            </w:r>
          </w:p>
        </w:tc>
        <w:tc>
          <w:tcPr>
            <w:tcW w:w="6540" w:type="dxa"/>
            <w:tcMar/>
          </w:tcPr>
          <w:p w:rsidR="646EF240" w:rsidP="3098C29B" w:rsidRDefault="646EF240" w14:paraId="69579F4B" w14:textId="242A7A63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3098C29B" w:rsidR="646EF240">
              <w:rPr>
                <w:rFonts w:ascii="Arial" w:hAnsi="Arial" w:eastAsia="Arial" w:cs="Arial"/>
                <w:sz w:val="22"/>
                <w:szCs w:val="22"/>
              </w:rPr>
              <w:t>Philip Jones</w:t>
            </w:r>
          </w:p>
          <w:p w:rsidR="3098C29B" w:rsidP="3098C29B" w:rsidRDefault="3098C29B" w14:paraId="12B88D77" w14:textId="7C145B8A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</w:tbl>
    <w:p w:rsidR="3098C29B" w:rsidP="3098C29B" w:rsidRDefault="3098C29B" w14:paraId="2DBB3C74" w14:textId="0EBDC3A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098C29B" w:rsidP="3098C29B" w:rsidRDefault="3098C29B" w14:paraId="3146EB45" w14:textId="3848E62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098C29B" w:rsidP="3098C29B" w:rsidRDefault="3098C29B" w14:paraId="688026D5" w14:textId="57B58A1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098C29B" w:rsidP="3098C29B" w:rsidRDefault="3098C29B" w14:paraId="21D3B43E" w14:textId="7EA700D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098C29B" w:rsidP="3098C29B" w:rsidRDefault="3098C29B" w14:paraId="527E7D39" w14:textId="628F0BE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098C29B" w:rsidP="3098C29B" w:rsidRDefault="3098C29B" w14:paraId="0935556F" w14:textId="5A05AFE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098C29B" w:rsidP="3098C29B" w:rsidRDefault="3098C29B" w14:paraId="1D0D6BCD" w14:textId="0304149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098C29B" w:rsidP="3098C29B" w:rsidRDefault="3098C29B" w14:paraId="1EBC53A4" w14:textId="2B9684D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098C29B" w:rsidP="3098C29B" w:rsidRDefault="3098C29B" w14:paraId="11FD3F32" w14:textId="4B5B40E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098C29B" w:rsidP="3098C29B" w:rsidRDefault="3098C29B" w14:paraId="4BC77641" w14:textId="0D052D3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098C29B" w:rsidP="3098C29B" w:rsidRDefault="3098C29B" w14:paraId="1673133E" w14:textId="6745257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098C29B" w:rsidP="3098C29B" w:rsidRDefault="3098C29B" w14:paraId="389CBDA5" w14:textId="599423A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098C29B" w:rsidP="3098C29B" w:rsidRDefault="3098C29B" w14:paraId="55AE7C21" w14:textId="52BCE90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098C29B" w:rsidP="3098C29B" w:rsidRDefault="3098C29B" w14:paraId="766CC071" w14:textId="27D095D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098C29B" w:rsidP="3098C29B" w:rsidRDefault="3098C29B" w14:paraId="68E44CE4" w14:textId="7D49786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098C29B" w:rsidP="3098C29B" w:rsidRDefault="3098C29B" w14:paraId="35B35A42" w14:textId="7F67909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098C29B" w:rsidP="3098C29B" w:rsidRDefault="3098C29B" w14:paraId="3FA9C87B" w14:textId="6FA3F96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098C29B" w:rsidP="3098C29B" w:rsidRDefault="3098C29B" w14:paraId="7853A9B2" w14:textId="4A6DBF3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90F6ADD" w:rsidP="3098C29B" w:rsidRDefault="690F6ADD" w14:paraId="5C0C0353" w14:textId="603FE134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3098C29B" w:rsidR="690F6ADD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Research Proposal: Social Care Workforce Burnout in the UK</w:t>
      </w:r>
    </w:p>
    <w:p w:rsidR="70B8CB72" w:rsidP="3098C29B" w:rsidRDefault="70B8CB72" w14:paraId="0DAD3BEF" w14:textId="6587E3ED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single"/>
        </w:rPr>
      </w:pPr>
      <w:r w:rsidRPr="3098C29B" w:rsidR="70B8CB72">
        <w:rPr>
          <w:rFonts w:ascii="Arial" w:hAnsi="Arial" w:eastAsia="Arial" w:cs="Arial"/>
          <w:sz w:val="22"/>
          <w:szCs w:val="22"/>
          <w:u w:val="single"/>
        </w:rPr>
        <w:t>Introduction</w:t>
      </w:r>
    </w:p>
    <w:p w:rsidR="11886D63" w:rsidP="3098C29B" w:rsidRDefault="11886D63" w14:paraId="6521441F" w14:textId="307FD43D">
      <w:pPr>
        <w:pStyle w:val="Normal"/>
        <w:spacing w:line="360" w:lineRule="auto"/>
      </w:pPr>
      <w:r w:rsidRPr="3098C29B" w:rsidR="11886D63">
        <w:rPr>
          <w:rFonts w:ascii="Arial" w:hAnsi="Arial" w:eastAsia="Arial" w:cs="Arial"/>
          <w:noProof w:val="0"/>
          <w:sz w:val="22"/>
          <w:szCs w:val="22"/>
          <w:lang w:val="en-GB"/>
        </w:rPr>
        <w:t>A major issue in the UK is burnout among social workers, which is made worse by rising demand, ongoing staffing shortages, and the COVID-19 pandemic's aftereffects.</w:t>
      </w:r>
      <w:r w:rsidRPr="3098C29B" w:rsidR="4282F8D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Emotional weariness, depersonalisation, and diminished personal achievement are characteristics of burnout, which jeopardises not only the sustainability of the workforce but also the quality of care provided to clients (Maslach &amp; Leiter, 2016)</w:t>
      </w:r>
      <w:r w:rsidRPr="3098C29B" w:rsidR="4282F8DD">
        <w:rPr>
          <w:rFonts w:ascii="Arial" w:hAnsi="Arial" w:eastAsia="Arial" w:cs="Arial"/>
          <w:noProof w:val="0"/>
          <w:sz w:val="22"/>
          <w:szCs w:val="22"/>
          <w:lang w:val="en-GB"/>
        </w:rPr>
        <w:t>. Since the social care industry is under a lot of stress, managing burnout is crucial to preserving service delivery and staff wellness.</w:t>
      </w:r>
    </w:p>
    <w:p w:rsidR="22A76602" w:rsidP="3098C29B" w:rsidRDefault="22A76602" w14:paraId="18324B02" w14:textId="3EA433E9">
      <w:pPr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</w:pPr>
      <w:r w:rsidRPr="3098C29B" w:rsidR="22A76602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Research Question and Objectives</w:t>
      </w:r>
    </w:p>
    <w:p w:rsidR="22A76602" w:rsidP="3098C29B" w:rsidRDefault="22A76602" w14:paraId="570CB024" w14:textId="1C253362">
      <w:pPr>
        <w:pStyle w:val="Normal"/>
        <w:spacing w:line="360" w:lineRule="auto"/>
      </w:pPr>
      <w:r w:rsidRPr="3098C29B" w:rsidR="22A7660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proposed research topic is: What does the available data </w:t>
      </w:r>
      <w:r w:rsidRPr="3098C29B" w:rsidR="22A76602">
        <w:rPr>
          <w:rFonts w:ascii="Arial" w:hAnsi="Arial" w:eastAsia="Arial" w:cs="Arial"/>
          <w:noProof w:val="0"/>
          <w:sz w:val="22"/>
          <w:szCs w:val="22"/>
          <w:lang w:val="en-GB"/>
        </w:rPr>
        <w:t>indicate</w:t>
      </w:r>
      <w:r w:rsidRPr="3098C29B" w:rsidR="22A7660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about the origins, effects, and preventative measures of employee burnout in UK social care?</w:t>
      </w:r>
    </w:p>
    <w:p w:rsidR="22A76602" w:rsidP="3098C29B" w:rsidRDefault="22A76602" w14:paraId="15EFA4AA" w14:textId="5EF8B60A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98C29B" w:rsidR="22A76602">
        <w:rPr>
          <w:rFonts w:ascii="Arial" w:hAnsi="Arial" w:eastAsia="Arial" w:cs="Arial"/>
          <w:noProof w:val="0"/>
          <w:sz w:val="22"/>
          <w:szCs w:val="22"/>
          <w:lang w:val="en-GB"/>
        </w:rPr>
        <w:t>Objectives:</w:t>
      </w:r>
    </w:p>
    <w:p w:rsidR="1479A4CB" w:rsidP="3098C29B" w:rsidRDefault="1479A4CB" w14:paraId="33A00FAB" w14:textId="2E74B672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98C29B" w:rsidR="1479A4CB">
        <w:rPr>
          <w:rFonts w:ascii="Arial" w:hAnsi="Arial" w:eastAsia="Arial" w:cs="Arial"/>
          <w:noProof w:val="0"/>
          <w:sz w:val="22"/>
          <w:szCs w:val="22"/>
          <w:lang w:val="en-GB"/>
        </w:rPr>
        <w:t>1</w:t>
      </w:r>
      <w:r>
        <w:tab/>
      </w:r>
      <w:r w:rsidRPr="3098C29B" w:rsidR="1479A4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</w:t>
      </w:r>
      <w:r w:rsidRPr="3098C29B" w:rsidR="1479A4CB">
        <w:rPr>
          <w:rFonts w:ascii="Arial" w:hAnsi="Arial" w:eastAsia="Arial" w:cs="Arial"/>
          <w:noProof w:val="0"/>
          <w:sz w:val="22"/>
          <w:szCs w:val="22"/>
          <w:lang w:val="en-GB"/>
        </w:rPr>
        <w:t>determine</w:t>
      </w:r>
      <w:r w:rsidRPr="3098C29B" w:rsidR="1479A4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whether systemic, organisational, and individual elements lead to </w:t>
      </w:r>
      <w:r>
        <w:tab/>
      </w:r>
      <w:r>
        <w:tab/>
      </w:r>
      <w:r w:rsidRPr="3098C29B" w:rsidR="1479A4CB">
        <w:rPr>
          <w:rFonts w:ascii="Arial" w:hAnsi="Arial" w:eastAsia="Arial" w:cs="Arial"/>
          <w:noProof w:val="0"/>
          <w:sz w:val="22"/>
          <w:szCs w:val="22"/>
          <w:lang w:val="en-GB"/>
        </w:rPr>
        <w:t>burnout.</w:t>
      </w:r>
    </w:p>
    <w:p w:rsidR="1479A4CB" w:rsidP="3098C29B" w:rsidRDefault="1479A4CB" w14:paraId="516FD6F7" w14:textId="732B23BD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098C29B" w:rsidR="1479A4CB">
        <w:rPr>
          <w:rFonts w:ascii="Arial" w:hAnsi="Arial" w:eastAsia="Arial" w:cs="Arial"/>
          <w:noProof w:val="0"/>
          <w:sz w:val="22"/>
          <w:szCs w:val="22"/>
          <w:lang w:val="en-GB"/>
        </w:rPr>
        <w:t>2</w:t>
      </w:r>
      <w:r>
        <w:tab/>
      </w:r>
      <w:r w:rsidRPr="3098C29B" w:rsidR="1479A4CB">
        <w:rPr>
          <w:rFonts w:ascii="Arial" w:hAnsi="Arial" w:eastAsia="Arial" w:cs="Arial"/>
          <w:noProof w:val="0"/>
          <w:sz w:val="22"/>
          <w:szCs w:val="22"/>
          <w:lang w:val="en-GB"/>
        </w:rPr>
        <w:t>To evaluate how burnout affects employee welfare, retention, and care quality</w:t>
      </w:r>
      <w:r w:rsidRPr="3098C29B" w:rsidR="1473C2C1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1479A4CB" w:rsidP="3098C29B" w:rsidRDefault="1479A4CB" w14:paraId="2DD9522E" w14:textId="7705023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098C29B" w:rsidR="1479A4CB">
        <w:rPr>
          <w:rFonts w:ascii="Arial" w:hAnsi="Arial" w:eastAsia="Arial" w:cs="Arial"/>
          <w:noProof w:val="0"/>
          <w:sz w:val="22"/>
          <w:szCs w:val="22"/>
          <w:lang w:val="en-GB"/>
        </w:rPr>
        <w:t>3</w:t>
      </w:r>
      <w:r>
        <w:tab/>
      </w:r>
      <w:r w:rsidRPr="3098C29B" w:rsidR="1479A4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investigate strategies and laws intended to reduce or lessen burnout in UK social </w:t>
      </w:r>
      <w:r>
        <w:tab/>
      </w:r>
      <w:r w:rsidRPr="3098C29B" w:rsidR="0568CB40">
        <w:rPr>
          <w:rFonts w:ascii="Arial" w:hAnsi="Arial" w:eastAsia="Arial" w:cs="Arial"/>
          <w:noProof w:val="0"/>
          <w:sz w:val="22"/>
          <w:szCs w:val="22"/>
          <w:lang w:val="en-GB"/>
        </w:rPr>
        <w:t>services</w:t>
      </w:r>
      <w:r>
        <w:tab/>
      </w:r>
    </w:p>
    <w:p w:rsidR="49119586" w:rsidP="3098C29B" w:rsidRDefault="49119586" w14:paraId="049B8A36" w14:textId="4C278971">
      <w:pPr>
        <w:pStyle w:val="Normal"/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</w:pPr>
      <w:r w:rsidRPr="3098C29B" w:rsidR="49119586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Rationale</w:t>
      </w:r>
    </w:p>
    <w:p w:rsidR="242B4482" w:rsidP="3098C29B" w:rsidRDefault="242B4482" w14:paraId="3EC1FE41" w14:textId="4AF2885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098C29B" w:rsidR="242B4482">
        <w:rPr>
          <w:rFonts w:ascii="Arial" w:hAnsi="Arial" w:eastAsia="Arial" w:cs="Arial"/>
          <w:noProof w:val="0"/>
          <w:sz w:val="22"/>
          <w:szCs w:val="22"/>
          <w:lang w:val="en-GB"/>
        </w:rPr>
        <w:t>The UK social care workforce is facing previously unheard-of difficulties; in 2022–2023, there were more than 165,000 open positions, the most ever (Skills for Care, 202</w:t>
      </w:r>
      <w:r w:rsidRPr="3098C29B" w:rsidR="7F84DE23">
        <w:rPr>
          <w:rFonts w:ascii="Arial" w:hAnsi="Arial" w:eastAsia="Arial" w:cs="Arial"/>
          <w:noProof w:val="0"/>
          <w:sz w:val="22"/>
          <w:szCs w:val="22"/>
          <w:lang w:val="en-GB"/>
        </w:rPr>
        <w:t>5</w:t>
      </w:r>
      <w:r w:rsidRPr="3098C29B" w:rsidR="242B4482">
        <w:rPr>
          <w:rFonts w:ascii="Arial" w:hAnsi="Arial" w:eastAsia="Arial" w:cs="Arial"/>
          <w:noProof w:val="0"/>
          <w:sz w:val="22"/>
          <w:szCs w:val="22"/>
          <w:lang w:val="en-GB"/>
        </w:rPr>
        <w:t>).</w:t>
      </w:r>
      <w:r w:rsidRPr="3098C29B" w:rsidR="03BF82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Burnout is a major cause of employee departure; studies show that unsustainable workloads and declining mental health are </w:t>
      </w:r>
      <w:r w:rsidRPr="3098C29B" w:rsidR="6D286D0D">
        <w:rPr>
          <w:rFonts w:ascii="Arial" w:hAnsi="Arial" w:eastAsia="Arial" w:cs="Arial"/>
          <w:noProof w:val="0"/>
          <w:sz w:val="22"/>
          <w:szCs w:val="22"/>
          <w:lang w:val="en-GB"/>
        </w:rPr>
        <w:t>key issues</w:t>
      </w:r>
      <w:r w:rsidRPr="3098C29B" w:rsidR="03BF82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(Speicher and Francis, 2022).</w:t>
      </w:r>
      <w:r w:rsidRPr="3098C29B" w:rsidR="2EF274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There is a lack of comprehensive synthesis on effective solutions to treat burnout in this environment, despite government policy acknowledging the importance of staff wellness in improving social care (DHSC, 2021).</w:t>
      </w:r>
      <w:r w:rsidRPr="3098C29B" w:rsidR="4408171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Therefore, it makes sense to conduct a scoping review </w:t>
      </w:r>
      <w:r w:rsidRPr="3098C29B" w:rsidR="44081710">
        <w:rPr>
          <w:rFonts w:ascii="Arial" w:hAnsi="Arial" w:eastAsia="Arial" w:cs="Arial"/>
          <w:noProof w:val="0"/>
          <w:sz w:val="22"/>
          <w:szCs w:val="22"/>
          <w:lang w:val="en-GB"/>
        </w:rPr>
        <w:t>to</w:t>
      </w:r>
      <w:r w:rsidRPr="3098C29B" w:rsidR="4408171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compile, assess, and map the existing body of evidence, </w:t>
      </w:r>
      <w:r w:rsidRPr="3098C29B" w:rsidR="44081710">
        <w:rPr>
          <w:rFonts w:ascii="Arial" w:hAnsi="Arial" w:eastAsia="Arial" w:cs="Arial"/>
          <w:noProof w:val="0"/>
          <w:sz w:val="22"/>
          <w:szCs w:val="22"/>
          <w:lang w:val="en-GB"/>
        </w:rPr>
        <w:t>identifying</w:t>
      </w:r>
      <w:r w:rsidRPr="3098C29B" w:rsidR="4408171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any gaps that may influence future research, practice, and policy.</w:t>
      </w:r>
    </w:p>
    <w:p w:rsidR="1B2D9D73" w:rsidP="3098C29B" w:rsidRDefault="1B2D9D73" w14:paraId="5481584F" w14:textId="62AB185F">
      <w:pPr>
        <w:pStyle w:val="Normal"/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</w:pPr>
      <w:r w:rsidRPr="3098C29B" w:rsidR="1B2D9D73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Methods</w:t>
      </w:r>
    </w:p>
    <w:p w:rsidR="7DFA6FCF" w:rsidP="3098C29B" w:rsidRDefault="7DFA6FCF" w14:paraId="09200227" w14:textId="2409B8C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098C29B" w:rsidR="7DFA6FC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Using the five-stage framework proposed by Arksey and O'Malley (2005), this study will employ a scoping review technique (Levac, </w:t>
      </w:r>
      <w:bookmarkStart w:name="_Int_KArxE5VI" w:id="1159510272"/>
      <w:r w:rsidRPr="3098C29B" w:rsidR="7DFA6FCF">
        <w:rPr>
          <w:rFonts w:ascii="Arial" w:hAnsi="Arial" w:eastAsia="Arial" w:cs="Arial"/>
          <w:noProof w:val="0"/>
          <w:sz w:val="22"/>
          <w:szCs w:val="22"/>
          <w:lang w:val="en-GB"/>
        </w:rPr>
        <w:t>Colquhoun</w:t>
      </w:r>
      <w:bookmarkEnd w:id="1159510272"/>
      <w:r w:rsidRPr="3098C29B" w:rsidR="7DFA6FC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O’Brien, 2010).</w:t>
      </w:r>
      <w:r w:rsidRPr="3098C29B" w:rsidR="2A4561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Peer-reviewed research will be found using databases such as CINAHL, Medline, and Scopus, as well as grey literature like union publications and government reports. The following terms will be used: stress, burnout, worker wellbeing, social care, and </w:t>
      </w:r>
      <w:r w:rsidRPr="3098C29B" w:rsidR="7ADADB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</w:t>
      </w:r>
      <w:r w:rsidRPr="3098C29B" w:rsidR="2A4561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UK. To ensure current relevance, the inclusion criteria will focus on English-language research published between 2015 and 2023. </w:t>
      </w:r>
      <w:r w:rsidRPr="3098C29B" w:rsidR="075656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Using </w:t>
      </w:r>
      <w:r w:rsidRPr="3098C29B" w:rsidR="0D432DCC">
        <w:rPr>
          <w:rFonts w:ascii="Arial" w:hAnsi="Arial" w:eastAsia="Arial" w:cs="Arial"/>
          <w:noProof w:val="0"/>
          <w:sz w:val="22"/>
          <w:szCs w:val="22"/>
          <w:lang w:val="en-GB"/>
        </w:rPr>
        <w:t>Aveyard's</w:t>
      </w:r>
      <w:r w:rsidRPr="3098C29B" w:rsidR="075656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(2014) thematic </w:t>
      </w:r>
      <w:r w:rsidRPr="3098C29B" w:rsidR="5BB1DEFB">
        <w:rPr>
          <w:rFonts w:ascii="Arial" w:hAnsi="Arial" w:eastAsia="Arial" w:cs="Arial"/>
          <w:noProof w:val="0"/>
          <w:sz w:val="22"/>
          <w:szCs w:val="22"/>
          <w:lang w:val="en-GB"/>
        </w:rPr>
        <w:t>analysis</w:t>
      </w:r>
      <w:r w:rsidRPr="3098C29B" w:rsidR="075656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</w:t>
      </w:r>
      <w:r w:rsidRPr="3098C29B" w:rsidR="2A4561A6">
        <w:rPr>
          <w:rFonts w:ascii="Arial" w:hAnsi="Arial" w:eastAsia="Arial" w:cs="Arial"/>
          <w:noProof w:val="0"/>
          <w:sz w:val="22"/>
          <w:szCs w:val="22"/>
          <w:lang w:val="en-GB"/>
        </w:rPr>
        <w:t>o map the scope and type of evidence on the causes, effects, and solutions for workforce burnout, extracted data will be methodically plotted and synthesised thematically.</w:t>
      </w:r>
    </w:p>
    <w:p w:rsidR="676F633E" w:rsidP="3098C29B" w:rsidRDefault="676F633E" w14:paraId="0D709549" w14:textId="6E3CBE05">
      <w:pPr>
        <w:pStyle w:val="Normal"/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</w:pPr>
      <w:r w:rsidRPr="3098C29B" w:rsidR="676F633E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Ethical Considerations</w:t>
      </w:r>
    </w:p>
    <w:p w:rsidR="676F633E" w:rsidP="3098C29B" w:rsidRDefault="676F633E" w14:paraId="6A7E05B9" w14:textId="0EA4709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098C29B" w:rsidR="676F633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study does not include human subjects because it is secondary research. Avoiding plagiarism, accurately citing sources, and being transparent in reporting are all ethical considerations. </w:t>
      </w:r>
      <w:r w:rsidRPr="3098C29B" w:rsidR="676F633E">
        <w:rPr>
          <w:rFonts w:ascii="Arial" w:hAnsi="Arial" w:eastAsia="Arial" w:cs="Arial"/>
          <w:noProof w:val="0"/>
          <w:sz w:val="22"/>
          <w:szCs w:val="22"/>
          <w:lang w:val="en-GB"/>
        </w:rPr>
        <w:t>In accordance with</w:t>
      </w:r>
      <w:r w:rsidRPr="3098C29B" w:rsidR="676F633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professional standards and academic integrity, all resources will be properly referenced using Harvard style.</w:t>
      </w:r>
    </w:p>
    <w:p w:rsidR="3098C29B" w:rsidP="3098C29B" w:rsidRDefault="3098C29B" w14:paraId="57E0FD19" w14:textId="4A2411E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098C29B" w:rsidP="3098C29B" w:rsidRDefault="3098C29B" w14:paraId="27CEE1DF" w14:textId="021227A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098C29B" w:rsidP="3098C29B" w:rsidRDefault="3098C29B" w14:paraId="3D83D51F" w14:textId="67DB4394">
      <w:pPr>
        <w:pStyle w:val="Normal"/>
      </w:pPr>
    </w:p>
    <w:p w:rsidR="3098C29B" w:rsidP="3098C29B" w:rsidRDefault="3098C29B" w14:paraId="542AC013" w14:textId="798A4079">
      <w:pPr>
        <w:pStyle w:val="Normal"/>
      </w:pPr>
    </w:p>
    <w:p w:rsidR="3098C29B" w:rsidP="3098C29B" w:rsidRDefault="3098C29B" w14:paraId="2C841822" w14:textId="7FF16359">
      <w:pPr>
        <w:pStyle w:val="Normal"/>
      </w:pPr>
    </w:p>
    <w:p w:rsidR="3098C29B" w:rsidP="3098C29B" w:rsidRDefault="3098C29B" w14:paraId="69146186" w14:textId="04459274">
      <w:pPr>
        <w:pStyle w:val="Normal"/>
      </w:pPr>
    </w:p>
    <w:p w:rsidR="3098C29B" w:rsidP="3098C29B" w:rsidRDefault="3098C29B" w14:paraId="13486615" w14:textId="48E9CF87">
      <w:pPr>
        <w:pStyle w:val="Normal"/>
      </w:pPr>
    </w:p>
    <w:p w:rsidR="3098C29B" w:rsidP="3098C29B" w:rsidRDefault="3098C29B" w14:paraId="7F077D9B" w14:textId="3F105991">
      <w:pPr>
        <w:pStyle w:val="Normal"/>
      </w:pPr>
    </w:p>
    <w:p w:rsidR="3098C29B" w:rsidP="3098C29B" w:rsidRDefault="3098C29B" w14:paraId="1D5A9ADD" w14:textId="3B9D42F4">
      <w:pPr>
        <w:pStyle w:val="Normal"/>
      </w:pPr>
    </w:p>
    <w:p w:rsidR="3098C29B" w:rsidP="3098C29B" w:rsidRDefault="3098C29B" w14:paraId="5ADE4519" w14:textId="6C1B3549">
      <w:pPr>
        <w:pStyle w:val="Normal"/>
      </w:pPr>
    </w:p>
    <w:p w:rsidR="3098C29B" w:rsidP="3098C29B" w:rsidRDefault="3098C29B" w14:paraId="2591D8F1" w14:textId="526C27D0">
      <w:pPr>
        <w:pStyle w:val="Normal"/>
      </w:pPr>
    </w:p>
    <w:p w:rsidR="3098C29B" w:rsidP="3098C29B" w:rsidRDefault="3098C29B" w14:paraId="5B62B500" w14:textId="44ED52E0">
      <w:pPr>
        <w:pStyle w:val="Normal"/>
      </w:pPr>
    </w:p>
    <w:p w:rsidR="3098C29B" w:rsidP="3098C29B" w:rsidRDefault="3098C29B" w14:paraId="30D4DA7C" w14:textId="26C4674D">
      <w:pPr>
        <w:pStyle w:val="Normal"/>
      </w:pPr>
    </w:p>
    <w:p w:rsidR="3098C29B" w:rsidP="3098C29B" w:rsidRDefault="3098C29B" w14:paraId="61701449" w14:textId="2C90A2DF">
      <w:pPr>
        <w:pStyle w:val="Normal"/>
      </w:pPr>
    </w:p>
    <w:p w:rsidR="3098C29B" w:rsidP="3098C29B" w:rsidRDefault="3098C29B" w14:paraId="420512FE" w14:textId="2017F842">
      <w:pPr>
        <w:pStyle w:val="Normal"/>
      </w:pPr>
    </w:p>
    <w:p w:rsidR="3098C29B" w:rsidP="3098C29B" w:rsidRDefault="3098C29B" w14:paraId="27BA009C" w14:textId="489473FC">
      <w:pPr>
        <w:pStyle w:val="Normal"/>
      </w:pPr>
    </w:p>
    <w:p w:rsidR="3098C29B" w:rsidP="3098C29B" w:rsidRDefault="3098C29B" w14:paraId="4795D18E" w14:textId="44208200">
      <w:pPr>
        <w:pStyle w:val="Normal"/>
      </w:pPr>
    </w:p>
    <w:p w:rsidR="3098C29B" w:rsidP="3098C29B" w:rsidRDefault="3098C29B" w14:paraId="5977519E" w14:textId="7DD6C10C">
      <w:pPr>
        <w:pStyle w:val="Normal"/>
      </w:pPr>
    </w:p>
    <w:p w:rsidR="3098C29B" w:rsidP="3098C29B" w:rsidRDefault="3098C29B" w14:paraId="0AF62631" w14:textId="3FAA85DB">
      <w:pPr>
        <w:pStyle w:val="Normal"/>
      </w:pPr>
    </w:p>
    <w:p w:rsidR="2EEBE573" w:rsidP="3098C29B" w:rsidRDefault="2EEBE573" w14:paraId="1ED9383B" w14:textId="6E333CCE">
      <w:pPr>
        <w:pStyle w:val="Heading1"/>
        <w:spacing w:before="0" w:beforeAutospacing="off" w:after="330" w:afterAutospacing="off" w:line="360" w:lineRule="auto"/>
        <w:jc w:val="left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</w:pPr>
      <w:r w:rsidRPr="3098C29B" w:rsidR="2EEBE573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u w:val="single"/>
          <w:lang w:val="en-GB"/>
        </w:rPr>
        <w:t>Reference list</w:t>
      </w:r>
    </w:p>
    <w:p w:rsidR="2EEBE573" w:rsidP="3098C29B" w:rsidRDefault="2EEBE573" w14:paraId="111977A4" w14:textId="5C44E797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Arksey, H. and O’Malley, L. (2005). Scoping studies: Towards a Methodological Framework. </w:t>
      </w:r>
      <w:r w:rsidRPr="3098C29B" w:rsidR="2EEBE573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International Journal of Social Research Methodology</w:t>
      </w: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[online] 8(1), pp.19–32. </w:t>
      </w: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doi:https</w:t>
      </w: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://doi.org/10.1080/1364557032000119616.</w:t>
      </w:r>
    </w:p>
    <w:p w:rsidR="49A015E1" w:rsidP="3098C29B" w:rsidRDefault="49A015E1" w14:paraId="5BE3EE84" w14:textId="68B5F759">
      <w:pPr>
        <w:pStyle w:val="Heading5"/>
        <w:shd w:val="clear" w:color="auto" w:fill="FFFFFF" w:themeFill="background1"/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</w:pPr>
      <w:r w:rsidRPr="3098C29B" w:rsidR="49A01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Aveyard, H. (2014) </w:t>
      </w:r>
      <w:r w:rsidRPr="3098C29B" w:rsidR="49A015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Doing a literature review in health and social </w:t>
      </w:r>
      <w:r w:rsidRPr="3098C29B" w:rsidR="49A015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125"/>
          <w:sz w:val="22"/>
          <w:szCs w:val="22"/>
          <w:lang w:val="en-GB"/>
        </w:rPr>
        <w:t>care :</w:t>
      </w:r>
      <w:r w:rsidRPr="3098C29B" w:rsidR="49A015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a practical guide</w:t>
      </w:r>
      <w:r w:rsidRPr="3098C29B" w:rsidR="49A01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. 3rd </w:t>
      </w:r>
      <w:r w:rsidRPr="3098C29B" w:rsidR="49A01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edn</w:t>
      </w:r>
      <w:r w:rsidRPr="3098C29B" w:rsidR="49A01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. Maidenhead: Open University Press</w:t>
      </w:r>
    </w:p>
    <w:p w:rsidR="2EEBE573" w:rsidP="3098C29B" w:rsidRDefault="2EEBE573" w14:paraId="770E7118" w14:textId="4A168391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Department of Health and Social Care (2021). </w:t>
      </w:r>
      <w:r w:rsidRPr="3098C29B" w:rsidR="2EEBE573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People at the Heart of Care: adult social care reform white paper</w:t>
      </w: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. [online] GOV.UK. Available at: </w:t>
      </w:r>
      <w:hyperlink r:id="Rd33c6a0265214544">
        <w:r w:rsidRPr="3098C29B" w:rsidR="2EEBE573">
          <w:rPr>
            <w:rStyle w:val="Hyperlink"/>
            <w:rFonts w:ascii="Arial" w:hAnsi="Arial" w:eastAsia="Arial" w:cs="Arial"/>
            <w:noProof w:val="0"/>
            <w:color w:val="auto"/>
            <w:sz w:val="22"/>
            <w:szCs w:val="22"/>
            <w:lang w:val="en-GB"/>
          </w:rPr>
          <w:t>https://www.gov.uk/government/publications/people-at-the-heart-of-care-adult-social-care-reform-white-paper</w:t>
        </w:r>
      </w:hyperlink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[Accessed 30 Sep. 2025].</w:t>
      </w:r>
    </w:p>
    <w:p w:rsidR="2EEBE573" w:rsidP="3098C29B" w:rsidRDefault="2EEBE573" w14:paraId="793B5A1D" w14:textId="08FC0E1C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Dunn, P., Allen, L., </w:t>
      </w: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Alarilla</w:t>
      </w: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A., Grimm, F., Humphries, R. and </w:t>
      </w: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Alderwick</w:t>
      </w: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H. (2021). </w:t>
      </w:r>
      <w:r w:rsidRPr="3098C29B" w:rsidR="2EEBE573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Briefing: Adult social care and COVID-19 after the first wave Assessing the policy response in England</w:t>
      </w: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. [online] Available at: </w:t>
      </w:r>
      <w:hyperlink r:id="R39eea9ac2cc24892">
        <w:r w:rsidRPr="3098C29B" w:rsidR="2EEBE573">
          <w:rPr>
            <w:rStyle w:val="Hyperlink"/>
            <w:rFonts w:ascii="Arial" w:hAnsi="Arial" w:eastAsia="Arial" w:cs="Arial"/>
            <w:noProof w:val="0"/>
            <w:color w:val="auto"/>
            <w:sz w:val="22"/>
            <w:szCs w:val="22"/>
            <w:lang w:val="en-GB"/>
          </w:rPr>
          <w:t>https://www.health.org.uk/sites/default/files/upload/publications/2021/AdultSocialCareAndCOVID-19AfterTheFirstWave_WEB.pdf</w:t>
        </w:r>
      </w:hyperlink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[Accessed 30 Sep. 2025].</w:t>
      </w:r>
    </w:p>
    <w:p w:rsidR="2EEBE573" w:rsidP="3098C29B" w:rsidRDefault="2EEBE573" w14:paraId="71D31B5E" w14:textId="14AF4BCE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Levac, D., Colquhoun, H. and O’Brien, K.K. (2010). Scoping studies: Advancing the Methodology. </w:t>
      </w:r>
      <w:r w:rsidRPr="3098C29B" w:rsidR="2EEBE573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Implementation Science</w:t>
      </w: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[online] 5(1), pp.1–9. </w:t>
      </w: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doi:https</w:t>
      </w: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://doi.org/10.1186/1748-5908-5-69.</w:t>
      </w:r>
    </w:p>
    <w:p w:rsidR="2EEBE573" w:rsidP="3098C29B" w:rsidRDefault="2EEBE573" w14:paraId="519C2C28" w14:textId="25BB1623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Maslach, C. and Leiter, M.P. (2016). </w:t>
      </w:r>
      <w:r w:rsidRPr="3098C29B" w:rsidR="2EEBE573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Chapter 43 - Burnout</w:t>
      </w: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. [online] ScienceDirect. Available at: </w:t>
      </w:r>
      <w:hyperlink r:id="Rcb746dd31e1f455f">
        <w:r w:rsidRPr="3098C29B" w:rsidR="2EEBE573">
          <w:rPr>
            <w:rStyle w:val="Hyperlink"/>
            <w:rFonts w:ascii="Arial" w:hAnsi="Arial" w:eastAsia="Arial" w:cs="Arial"/>
            <w:noProof w:val="0"/>
            <w:color w:val="auto"/>
            <w:sz w:val="22"/>
            <w:szCs w:val="22"/>
            <w:lang w:val="en-GB"/>
          </w:rPr>
          <w:t>https://www.sciencedirect.com/science/article/abs/pii/B9780128009512000443</w:t>
        </w:r>
      </w:hyperlink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[Accessed 30 Sep. 2025].</w:t>
      </w:r>
    </w:p>
    <w:p w:rsidR="2EEBE573" w:rsidP="3098C29B" w:rsidRDefault="2EEBE573" w14:paraId="3B756C4F" w14:textId="6D6A0074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Skills for Care (2025). </w:t>
      </w:r>
      <w:r w:rsidRPr="3098C29B" w:rsidR="2EEBE573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The state of the adult social care sector and workforce in England 2023</w:t>
      </w: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. [online] Available at: </w:t>
      </w:r>
      <w:hyperlink r:id="R4ee54419b14f483c">
        <w:r w:rsidRPr="3098C29B" w:rsidR="2EEBE573">
          <w:rPr>
            <w:rStyle w:val="Hyperlink"/>
            <w:rFonts w:ascii="Arial" w:hAnsi="Arial" w:eastAsia="Arial" w:cs="Arial"/>
            <w:noProof w:val="0"/>
            <w:color w:val="auto"/>
            <w:sz w:val="22"/>
            <w:szCs w:val="22"/>
            <w:lang w:val="en-GB"/>
          </w:rPr>
          <w:t>https://www.skillsforcare.org.uk/Adult-Social-Care-Workforce-Data/Workforce-intelligence/documents/State-of-the-adult-social-care-sector/The-State-of-the-Adult-Social-Care-Sector-and-Workforce-2023.pdf</w:t>
        </w:r>
      </w:hyperlink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.</w:t>
      </w:r>
    </w:p>
    <w:p w:rsidR="2EEBE573" w:rsidP="3098C29B" w:rsidRDefault="2EEBE573" w14:paraId="33B470E2" w14:textId="50BC5989">
      <w:pPr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Speicher, </w:t>
      </w:r>
      <w:bookmarkStart w:name="_Int_TpMVpKgV" w:id="929271217"/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L.L.</w:t>
      </w:r>
      <w:bookmarkEnd w:id="929271217"/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and Francis, D. (2022). Improving employee experience: Reducing burnout, decreasing </w:t>
      </w:r>
      <w:bookmarkStart w:name="_Int_SzX4G631" w:id="1618782202"/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turnover</w:t>
      </w:r>
      <w:bookmarkEnd w:id="1618782202"/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and building well-being. </w:t>
      </w:r>
      <w:r w:rsidRPr="3098C29B" w:rsidR="2EEBE573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Clinical Gastroenterology and Hepatology</w:t>
      </w: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[online] 21(1). </w:t>
      </w: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doi:https</w:t>
      </w:r>
      <w:r w:rsidRPr="3098C29B" w:rsidR="2EEBE5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://doi.org/10.1016/j.cgh.2022.09.020.</w:t>
      </w:r>
    </w:p>
    <w:p w:rsidR="3098C29B" w:rsidP="3098C29B" w:rsidRDefault="3098C29B" w14:paraId="38F8F88E" w14:textId="7C0D751F">
      <w:pPr>
        <w:pStyle w:val="Normal"/>
        <w:spacing w:line="360" w:lineRule="auto"/>
        <w:rPr>
          <w:rFonts w:ascii="Arial" w:hAnsi="Arial" w:eastAsia="Arial" w:cs="Arial"/>
          <w:color w:val="auto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FGu+c6tQQGiEX" int2:id="k4NDGSXQ">
      <int2:state int2:type="spell" int2:value="Rejected"/>
    </int2:textHash>
    <int2:textHash int2:hashCode="Seiz3Ex8UIGtN6" int2:id="rwk7AZ8C">
      <int2:state int2:type="spell" int2:value="Rejected"/>
    </int2:textHash>
    <int2:textHash int2:hashCode="DTTcwT7Vnu94an" int2:id="Bmpr8h8t">
      <int2:state int2:type="spell" int2:value="Rejected"/>
    </int2:textHash>
    <int2:bookmark int2:bookmarkName="_Int_SzX4G631" int2:invalidationBookmarkName="" int2:hashCode="g+T7u7Si7KGCP5" int2:id="JrXRKb4E">
      <int2:state int2:type="style" int2:value="Rejected"/>
    </int2:bookmark>
    <int2:bookmark int2:bookmarkName="_Int_TpMVpKgV" int2:invalidationBookmarkName="" int2:hashCode="kDqswIsZQEbucT" int2:id="V3M6Plyb">
      <int2:state int2:type="style" int2:value="Rejected"/>
    </int2:bookmark>
    <int2:bookmark int2:bookmarkName="_Int_KArxE5VI" int2:invalidationBookmarkName="" int2:hashCode="9hvG+eGrphHL22" int2:id="G6DWIFJ3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7927c0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8C9D78"/>
    <w:rsid w:val="03BF8278"/>
    <w:rsid w:val="04555583"/>
    <w:rsid w:val="04DE1369"/>
    <w:rsid w:val="0568CB40"/>
    <w:rsid w:val="064F9518"/>
    <w:rsid w:val="06785CC8"/>
    <w:rsid w:val="07565678"/>
    <w:rsid w:val="08A37270"/>
    <w:rsid w:val="0A7CAEC6"/>
    <w:rsid w:val="0D174716"/>
    <w:rsid w:val="0D432DCC"/>
    <w:rsid w:val="11886D63"/>
    <w:rsid w:val="1473C2C1"/>
    <w:rsid w:val="1479A4CB"/>
    <w:rsid w:val="14C2968E"/>
    <w:rsid w:val="18993127"/>
    <w:rsid w:val="18AB99AA"/>
    <w:rsid w:val="197E0A6B"/>
    <w:rsid w:val="1A4CA099"/>
    <w:rsid w:val="1A890A5E"/>
    <w:rsid w:val="1AA304A9"/>
    <w:rsid w:val="1B2D9D73"/>
    <w:rsid w:val="1C245FF6"/>
    <w:rsid w:val="1C3E326A"/>
    <w:rsid w:val="1CA972B7"/>
    <w:rsid w:val="1CB65D05"/>
    <w:rsid w:val="1D743881"/>
    <w:rsid w:val="1D9CA96C"/>
    <w:rsid w:val="1ECC3838"/>
    <w:rsid w:val="1ED8EA86"/>
    <w:rsid w:val="1EE112A2"/>
    <w:rsid w:val="2079B6F8"/>
    <w:rsid w:val="229145F0"/>
    <w:rsid w:val="22A76602"/>
    <w:rsid w:val="22D2C892"/>
    <w:rsid w:val="22E7D97E"/>
    <w:rsid w:val="242B4482"/>
    <w:rsid w:val="24B80298"/>
    <w:rsid w:val="2564E3C7"/>
    <w:rsid w:val="264309F8"/>
    <w:rsid w:val="2A4561A6"/>
    <w:rsid w:val="2B189AE9"/>
    <w:rsid w:val="2B8C9D78"/>
    <w:rsid w:val="2DFBA319"/>
    <w:rsid w:val="2E16B665"/>
    <w:rsid w:val="2EEBE573"/>
    <w:rsid w:val="2EF27427"/>
    <w:rsid w:val="2EF99BBB"/>
    <w:rsid w:val="303AB754"/>
    <w:rsid w:val="3098C29B"/>
    <w:rsid w:val="31F61900"/>
    <w:rsid w:val="33E2CA59"/>
    <w:rsid w:val="37481D5F"/>
    <w:rsid w:val="3BB9B18E"/>
    <w:rsid w:val="3BD40920"/>
    <w:rsid w:val="3CAC932E"/>
    <w:rsid w:val="3CCD40B7"/>
    <w:rsid w:val="3CE4050D"/>
    <w:rsid w:val="3DD07C7A"/>
    <w:rsid w:val="40578AA5"/>
    <w:rsid w:val="41169807"/>
    <w:rsid w:val="4282F8DD"/>
    <w:rsid w:val="44081710"/>
    <w:rsid w:val="467DD59D"/>
    <w:rsid w:val="49119586"/>
    <w:rsid w:val="49A015E1"/>
    <w:rsid w:val="49CA943F"/>
    <w:rsid w:val="4A44B1ED"/>
    <w:rsid w:val="4BF495DA"/>
    <w:rsid w:val="4E438F95"/>
    <w:rsid w:val="4E838343"/>
    <w:rsid w:val="4FB71A47"/>
    <w:rsid w:val="503183D4"/>
    <w:rsid w:val="51A5B8AB"/>
    <w:rsid w:val="5498B368"/>
    <w:rsid w:val="58703558"/>
    <w:rsid w:val="5AE7B1C3"/>
    <w:rsid w:val="5BB1DEFB"/>
    <w:rsid w:val="5E905627"/>
    <w:rsid w:val="5F7F789F"/>
    <w:rsid w:val="602D6B33"/>
    <w:rsid w:val="646EF240"/>
    <w:rsid w:val="656E28BF"/>
    <w:rsid w:val="65EAB000"/>
    <w:rsid w:val="676F633E"/>
    <w:rsid w:val="68B3BA8C"/>
    <w:rsid w:val="690F6ADD"/>
    <w:rsid w:val="6B75CFB9"/>
    <w:rsid w:val="6D286D0D"/>
    <w:rsid w:val="6D956072"/>
    <w:rsid w:val="6F1D5905"/>
    <w:rsid w:val="70B8CB72"/>
    <w:rsid w:val="728FDFB2"/>
    <w:rsid w:val="72C87E5F"/>
    <w:rsid w:val="72F24745"/>
    <w:rsid w:val="77CA8AE1"/>
    <w:rsid w:val="7994BAB8"/>
    <w:rsid w:val="79D79395"/>
    <w:rsid w:val="7ADADB23"/>
    <w:rsid w:val="7B58CAA0"/>
    <w:rsid w:val="7B888847"/>
    <w:rsid w:val="7DF05D2E"/>
    <w:rsid w:val="7DFA6FCF"/>
    <w:rsid w:val="7F84DE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8C9D78"/>
  <w15:chartTrackingRefBased/>
  <w15:docId w15:val="{8C7BC64B-1EB1-4F3A-A2D0-5CB05E84B9F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098C29B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3098C29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3098C29B"/>
    <w:rPr>
      <w:color w:val="467886"/>
      <w:u w:val="single"/>
    </w:rPr>
  </w:style>
  <w:style w:type="paragraph" w:styleId="Heading5">
    <w:uiPriority w:val="9"/>
    <w:name w:val="heading 5"/>
    <w:basedOn w:val="Normal"/>
    <w:next w:val="Normal"/>
    <w:unhideWhenUsed/>
    <w:qFormat/>
    <w:rsid w:val="3098C29B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v.uk/government/publications/people-at-the-heart-of-care-adult-social-care-reform-white-paper" TargetMode="External" Id="Rd33c6a0265214544" /><Relationship Type="http://schemas.openxmlformats.org/officeDocument/2006/relationships/hyperlink" Target="https://www.health.org.uk/sites/default/files/upload/publications/2021/AdultSocialCareAndCOVID-19AfterTheFirstWave_WEB.pdf" TargetMode="External" Id="R39eea9ac2cc24892" /><Relationship Type="http://schemas.openxmlformats.org/officeDocument/2006/relationships/hyperlink" Target="https://www.sciencedirect.com/science/article/abs/pii/B9780128009512000443" TargetMode="External" Id="Rcb746dd31e1f455f" /><Relationship Type="http://schemas.openxmlformats.org/officeDocument/2006/relationships/hyperlink" Target="https://www.skillsforcare.org.uk/Adult-Social-Care-Workforce-Data/Workforce-intelligence/documents/State-of-the-adult-social-care-sector/The-State-of-the-Adult-Social-Care-Sector-and-Workforce-2023.pdf" TargetMode="External" Id="R4ee54419b14f483c" /><Relationship Type="http://schemas.microsoft.com/office/2020/10/relationships/intelligence" Target="/word/intelligence2.xml" Id="R18193706fcfd498f" /><Relationship Type="http://schemas.openxmlformats.org/officeDocument/2006/relationships/numbering" Target="/word/numbering.xml" Id="Rd7915cf5ab47428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Rashida Begum (2316439)</dc:creator>
  <keywords/>
  <dc:description/>
  <lastModifiedBy>Rashida Begum (2316439)</lastModifiedBy>
  <revision>2</revision>
  <dcterms:created xsi:type="dcterms:W3CDTF">2025-09-30T11:11:51.2766839Z</dcterms:created>
  <dcterms:modified xsi:type="dcterms:W3CDTF">2025-10-03T15:22:11.9355867Z</dcterms:modified>
</coreProperties>
</file>