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0EA972" w14:textId="45889E45" w:rsidR="00804EDA" w:rsidRDefault="00804EDA" w:rsidP="00804EDA">
      <w:pPr>
        <w:spacing w:after="0" w:line="240" w:lineRule="auto"/>
        <w:jc w:val="right"/>
        <w:rPr>
          <w:rFonts w:ascii="Arial" w:eastAsia="Times New Roman" w:hAnsi="Arial" w:cs="Arial"/>
          <w:b/>
          <w:sz w:val="28"/>
          <w:szCs w:val="28"/>
          <w:lang w:eastAsia="en-GB"/>
        </w:rPr>
      </w:pPr>
      <w:r>
        <w:rPr>
          <w:noProof/>
        </w:rPr>
        <w:drawing>
          <wp:anchor distT="0" distB="0" distL="114300" distR="114300" simplePos="0" relativeHeight="251659264" behindDoc="0" locked="0" layoutInCell="1" allowOverlap="1" wp14:anchorId="2AED5CD2" wp14:editId="4CE69901">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Times New Roman" w:hAnsi="Arial" w:cs="Arial"/>
          <w:sz w:val="20"/>
          <w:szCs w:val="20"/>
          <w:lang w:eastAsia="en-GB"/>
        </w:rPr>
        <w:t xml:space="preserve"> </w:t>
      </w:r>
      <w:r>
        <w:rPr>
          <w:rFonts w:ascii="Arial" w:eastAsia="Times New Roman" w:hAnsi="Arial" w:cs="Arial"/>
          <w:sz w:val="20"/>
          <w:szCs w:val="20"/>
          <w:lang w:eastAsia="en-GB"/>
        </w:rPr>
        <w:br w:type="textWrapping" w:clear="all"/>
      </w:r>
      <w:r>
        <w:rPr>
          <w:rFonts w:ascii="Arial" w:eastAsia="Times New Roman" w:hAnsi="Arial" w:cs="Arial"/>
          <w:b/>
          <w:sz w:val="28"/>
          <w:szCs w:val="28"/>
          <w:lang w:eastAsia="en-GB"/>
        </w:rPr>
        <w:t>APPENDIX GA36b</w:t>
      </w:r>
    </w:p>
    <w:p w14:paraId="20876D5B" w14:textId="77777777" w:rsidR="00804EDA" w:rsidRDefault="00804EDA" w:rsidP="00804EDA">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804EDA" w14:paraId="38F30206" w14:textId="77777777" w:rsidTr="00804EDA">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067B081D" w14:textId="77777777" w:rsidR="00804EDA" w:rsidRDefault="00804EDA">
            <w:pPr>
              <w:keepNext/>
              <w:spacing w:before="120" w:after="120" w:line="240" w:lineRule="auto"/>
              <w:jc w:val="center"/>
              <w:outlineLvl w:val="3"/>
              <w:rPr>
                <w:rFonts w:ascii="Arial" w:eastAsia="Times New Roman" w:hAnsi="Arial" w:cs="Arial"/>
                <w:b/>
                <w:sz w:val="40"/>
                <w:szCs w:val="20"/>
                <w:lang w:eastAsia="en-GB"/>
              </w:rPr>
            </w:pPr>
            <w:r>
              <w:rPr>
                <w:rFonts w:ascii="Arial" w:eastAsia="Times New Roman" w:hAnsi="Arial" w:cs="Arial"/>
                <w:b/>
                <w:sz w:val="40"/>
                <w:szCs w:val="20"/>
                <w:lang w:eastAsia="en-GB"/>
              </w:rPr>
              <w:t xml:space="preserve">LEVEL 5 ASSESSMENT SPECIFICATION </w:t>
            </w:r>
          </w:p>
        </w:tc>
      </w:tr>
    </w:tbl>
    <w:p w14:paraId="5DA17094" w14:textId="77777777" w:rsidR="00804EDA" w:rsidRDefault="00804EDA" w:rsidP="00804EDA">
      <w:pPr>
        <w:spacing w:after="0" w:line="240" w:lineRule="auto"/>
        <w:jc w:val="center"/>
        <w:rPr>
          <w:rFonts w:ascii="Arial" w:eastAsia="Times New Roman" w:hAnsi="Arial" w:cs="Arial"/>
          <w:b/>
          <w:i/>
          <w:sz w:val="32"/>
          <w:szCs w:val="20"/>
          <w:lang w:eastAsia="en-GB"/>
        </w:rPr>
      </w:pPr>
    </w:p>
    <w:tbl>
      <w:tblPr>
        <w:tblW w:w="994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8"/>
        <w:gridCol w:w="3301"/>
        <w:gridCol w:w="2273"/>
        <w:gridCol w:w="2273"/>
      </w:tblGrid>
      <w:tr w:rsidR="00804EDA" w14:paraId="338C692A" w14:textId="77777777" w:rsidTr="00804EDA">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568B3C9" w14:textId="77777777" w:rsidR="00804EDA" w:rsidRDefault="00804ED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6CC5ED93" w14:textId="4B330ADF" w:rsidR="00804EDA" w:rsidRDefault="00804ED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Michael Reid</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00380C27" w14:textId="77777777" w:rsidR="00804EDA" w:rsidRDefault="00804ED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Student ID number:</w:t>
            </w:r>
          </w:p>
        </w:tc>
        <w:tc>
          <w:tcPr>
            <w:tcW w:w="2268" w:type="dxa"/>
            <w:tcBorders>
              <w:top w:val="single" w:sz="4" w:space="0" w:color="auto"/>
              <w:left w:val="single" w:sz="4" w:space="0" w:color="auto"/>
              <w:bottom w:val="single" w:sz="4" w:space="0" w:color="auto"/>
              <w:right w:val="single" w:sz="4" w:space="0" w:color="auto"/>
            </w:tcBorders>
          </w:tcPr>
          <w:p w14:paraId="0136EF71" w14:textId="09EE3B1E" w:rsidR="00804EDA" w:rsidRDefault="00804ED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1910650</w:t>
            </w:r>
          </w:p>
        </w:tc>
      </w:tr>
      <w:tr w:rsidR="00804EDA" w14:paraId="47AD9317" w14:textId="77777777" w:rsidTr="00804EDA">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CAB516E" w14:textId="77777777" w:rsidR="00804EDA" w:rsidRDefault="00804ED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Programme:</w:t>
            </w:r>
          </w:p>
        </w:tc>
        <w:tc>
          <w:tcPr>
            <w:tcW w:w="7829" w:type="dxa"/>
            <w:gridSpan w:val="3"/>
            <w:tcBorders>
              <w:top w:val="single" w:sz="4" w:space="0" w:color="auto"/>
              <w:left w:val="single" w:sz="4" w:space="0" w:color="auto"/>
              <w:bottom w:val="single" w:sz="4" w:space="0" w:color="auto"/>
              <w:right w:val="single" w:sz="4" w:space="0" w:color="auto"/>
            </w:tcBorders>
          </w:tcPr>
          <w:p w14:paraId="435FA79A" w14:textId="77777777" w:rsidR="00804EDA" w:rsidRDefault="00804EDA">
            <w:pPr>
              <w:spacing w:before="120" w:after="120" w:line="240" w:lineRule="auto"/>
              <w:jc w:val="both"/>
              <w:rPr>
                <w:rFonts w:ascii="Arial" w:eastAsia="Times New Roman" w:hAnsi="Arial" w:cs="Arial"/>
                <w:b/>
                <w:lang w:eastAsia="en-GB"/>
              </w:rPr>
            </w:pPr>
          </w:p>
        </w:tc>
      </w:tr>
      <w:tr w:rsidR="00804EDA" w14:paraId="3AF1701E" w14:textId="77777777" w:rsidTr="00804EDA">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8F0B285" w14:textId="77777777" w:rsidR="00804EDA" w:rsidRDefault="00804ED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74FD77FF" w14:textId="77777777" w:rsidR="00804EDA" w:rsidRDefault="00804ED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804EDA" w14:paraId="346E3A33" w14:textId="77777777" w:rsidTr="00804EDA">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B66F9C0" w14:textId="77777777" w:rsidR="00804EDA" w:rsidRDefault="00804ED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18882633" w14:textId="77777777" w:rsidR="00804EDA" w:rsidRDefault="00804ED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3A2E3823" w14:textId="77777777" w:rsidR="00804EDA" w:rsidRDefault="00804EDA">
            <w:pPr>
              <w:keepNext/>
              <w:spacing w:after="0" w:line="240" w:lineRule="auto"/>
              <w:jc w:val="both"/>
              <w:outlineLvl w:val="1"/>
              <w:rPr>
                <w:rFonts w:ascii="Arial" w:eastAsia="Times New Roman" w:hAnsi="Arial" w:cs="Arial"/>
                <w:b/>
                <w:lang w:eastAsia="en-GB"/>
              </w:rPr>
            </w:pPr>
            <w:r>
              <w:rPr>
                <w:rFonts w:ascii="Arial" w:eastAsia="Times New Roman" w:hAnsi="Arial" w:cs="Arial"/>
                <w:b/>
                <w:lang w:eastAsia="en-GB"/>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1A2C66BE" w14:textId="77777777" w:rsidR="00804EDA" w:rsidRDefault="00804ED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50%</w:t>
            </w:r>
          </w:p>
        </w:tc>
      </w:tr>
      <w:tr w:rsidR="00804EDA" w14:paraId="7BC511E0" w14:textId="77777777" w:rsidTr="00804EDA">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3BB92B1" w14:textId="77777777" w:rsidR="00804EDA" w:rsidRDefault="00804ED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Lecturer:</w:t>
            </w:r>
          </w:p>
        </w:tc>
        <w:tc>
          <w:tcPr>
            <w:tcW w:w="3293" w:type="dxa"/>
            <w:tcBorders>
              <w:top w:val="single" w:sz="4" w:space="0" w:color="auto"/>
              <w:left w:val="single" w:sz="4" w:space="0" w:color="auto"/>
              <w:bottom w:val="single" w:sz="4" w:space="0" w:color="auto"/>
              <w:right w:val="single" w:sz="4" w:space="0" w:color="auto"/>
            </w:tcBorders>
            <w:hideMark/>
          </w:tcPr>
          <w:p w14:paraId="4DF753D0" w14:textId="77777777" w:rsidR="00804EDA" w:rsidRDefault="00804ED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Mark Jordan </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24571F4B" w14:textId="77777777" w:rsidR="00804EDA" w:rsidRDefault="00804ED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Internal Verifier:</w:t>
            </w:r>
          </w:p>
        </w:tc>
        <w:tc>
          <w:tcPr>
            <w:tcW w:w="2268" w:type="dxa"/>
            <w:tcBorders>
              <w:top w:val="single" w:sz="4" w:space="0" w:color="auto"/>
              <w:left w:val="single" w:sz="4" w:space="0" w:color="auto"/>
              <w:bottom w:val="single" w:sz="4" w:space="0" w:color="auto"/>
              <w:right w:val="single" w:sz="4" w:space="0" w:color="auto"/>
            </w:tcBorders>
          </w:tcPr>
          <w:p w14:paraId="3D5833B9" w14:textId="77777777" w:rsidR="00804EDA" w:rsidRDefault="00804EDA">
            <w:pPr>
              <w:spacing w:before="120" w:after="120" w:line="240" w:lineRule="auto"/>
              <w:jc w:val="both"/>
              <w:rPr>
                <w:rFonts w:ascii="Arial" w:eastAsia="Times New Roman" w:hAnsi="Arial" w:cs="Arial"/>
                <w:b/>
                <w:lang w:eastAsia="en-GB"/>
              </w:rPr>
            </w:pPr>
          </w:p>
        </w:tc>
      </w:tr>
      <w:tr w:rsidR="00804EDA" w14:paraId="21DFB584" w14:textId="77777777" w:rsidTr="00804EDA">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24BBE20" w14:textId="77777777" w:rsidR="00804EDA" w:rsidRDefault="00804ED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3EC9C64A" w14:textId="77777777" w:rsidR="00804EDA" w:rsidRDefault="00804ED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5DC8D79A" w14:textId="77777777" w:rsidR="00804EDA" w:rsidRDefault="00804ED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7D041D29" w14:textId="77777777" w:rsidR="00804EDA" w:rsidRDefault="00804ED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804EDA" w14:paraId="38160CA0" w14:textId="77777777" w:rsidTr="00804EDA">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E435A1A" w14:textId="77777777" w:rsidR="00804EDA" w:rsidRDefault="00804ED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18E4666C" w14:textId="77777777" w:rsidR="00804EDA" w:rsidRDefault="00804ED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12</w:t>
            </w:r>
            <w:r>
              <w:rPr>
                <w:rFonts w:ascii="Arial" w:eastAsia="Times New Roman" w:hAnsi="Arial" w:cs="Arial"/>
                <w:b/>
                <w:vertAlign w:val="superscript"/>
                <w:lang w:eastAsia="en-GB"/>
              </w:rPr>
              <w:t>th</w:t>
            </w:r>
            <w:r>
              <w:rPr>
                <w:rFonts w:ascii="Arial" w:eastAsia="Times New Roman" w:hAnsi="Arial" w:cs="Arial"/>
                <w:b/>
                <w:lang w:eastAsia="en-GB"/>
              </w:rPr>
              <w:t xml:space="preserve"> July 2021</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0D3A01F2" w14:textId="77777777" w:rsidR="00804EDA" w:rsidRDefault="00804ED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14:paraId="05696A0C" w14:textId="77777777" w:rsidR="00804EDA" w:rsidRDefault="00804EDA">
            <w:pPr>
              <w:spacing w:before="120" w:after="120" w:line="240" w:lineRule="auto"/>
              <w:jc w:val="both"/>
              <w:rPr>
                <w:rFonts w:ascii="Arial" w:eastAsia="Times New Roman" w:hAnsi="Arial" w:cs="Arial"/>
                <w:b/>
                <w:lang w:eastAsia="en-GB"/>
              </w:rPr>
            </w:pPr>
          </w:p>
        </w:tc>
      </w:tr>
      <w:tr w:rsidR="00804EDA" w14:paraId="35420D8C" w14:textId="77777777" w:rsidTr="00804EDA">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0EF2DCB" w14:textId="77777777" w:rsidR="00804EDA" w:rsidRDefault="00804ED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32BC8C27" w14:textId="77777777" w:rsidR="00804EDA" w:rsidRDefault="00804EDA">
            <w:pPr>
              <w:spacing w:after="0" w:line="240" w:lineRule="auto"/>
              <w:rPr>
                <w:rFonts w:ascii="Arial" w:eastAsia="Times New Roman" w:hAnsi="Arial" w:cs="Arial"/>
                <w:lang w:eastAsia="en-GB"/>
              </w:rPr>
            </w:pPr>
            <w:r>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5991FB" w14:textId="77777777" w:rsidR="00804EDA" w:rsidRDefault="00804ED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Late submission of the assessment will result in a late penalty mark.  </w:t>
            </w:r>
            <w:r>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804EDA" w14:paraId="19B6341C" w14:textId="77777777" w:rsidTr="00804EDA">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20E72A6" w14:textId="77777777" w:rsidR="00804EDA" w:rsidRDefault="00804EDA">
            <w:pPr>
              <w:spacing w:before="120" w:after="120" w:line="240" w:lineRule="auto"/>
              <w:rPr>
                <w:rFonts w:ascii="Arial" w:eastAsia="Times New Roman" w:hAnsi="Arial" w:cs="Arial"/>
                <w:b/>
                <w:lang w:eastAsia="en-GB"/>
              </w:rPr>
            </w:pPr>
            <w:r>
              <w:rPr>
                <w:rFonts w:ascii="Arial" w:eastAsia="Times New Roman" w:hAnsi="Arial" w:cs="Arial"/>
                <w:b/>
                <w:lang w:eastAsia="en-G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tcPr>
          <w:p w14:paraId="3F512C63" w14:textId="77777777" w:rsidR="00804EDA" w:rsidRDefault="00804EDA">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2820A2E4" w14:textId="77777777" w:rsidR="00804EDA" w:rsidRDefault="00804EDA">
            <w:pPr>
              <w:spacing w:before="120" w:after="120" w:line="240" w:lineRule="auto"/>
              <w:jc w:val="both"/>
              <w:rPr>
                <w:rFonts w:ascii="Arial" w:eastAsia="Times New Roman" w:hAnsi="Arial" w:cs="Arial"/>
                <w:lang w:eastAsia="en-GB"/>
              </w:rPr>
            </w:pPr>
          </w:p>
          <w:p w14:paraId="0715BEE7" w14:textId="77777777" w:rsidR="00804EDA" w:rsidRDefault="00804EDA">
            <w:pPr>
              <w:spacing w:before="120" w:after="120" w:line="240" w:lineRule="auto"/>
              <w:jc w:val="both"/>
              <w:rPr>
                <w:rFonts w:ascii="Arial" w:eastAsia="Times New Roman" w:hAnsi="Arial" w:cs="Arial"/>
                <w:lang w:eastAsia="en-GB"/>
              </w:rPr>
            </w:pPr>
          </w:p>
          <w:p w14:paraId="68494EA0" w14:textId="77777777" w:rsidR="00804EDA" w:rsidRDefault="00804EDA">
            <w:pPr>
              <w:spacing w:before="120" w:after="120" w:line="240" w:lineRule="auto"/>
              <w:jc w:val="both"/>
              <w:rPr>
                <w:rFonts w:ascii="Arial" w:eastAsia="Times New Roman" w:hAnsi="Arial" w:cs="Arial"/>
                <w:lang w:eastAsia="en-GB"/>
              </w:rPr>
            </w:pPr>
          </w:p>
          <w:p w14:paraId="5F5A3E7E" w14:textId="77777777" w:rsidR="00804EDA" w:rsidRDefault="00804EDA">
            <w:pPr>
              <w:spacing w:before="120" w:after="120" w:line="240" w:lineRule="auto"/>
              <w:jc w:val="both"/>
              <w:rPr>
                <w:rFonts w:ascii="Arial" w:eastAsia="Times New Roman" w:hAnsi="Arial" w:cs="Arial"/>
                <w:lang w:eastAsia="en-GB"/>
              </w:rPr>
            </w:pPr>
          </w:p>
          <w:p w14:paraId="241C56F8" w14:textId="77777777" w:rsidR="00804EDA" w:rsidRDefault="00804EDA">
            <w:pPr>
              <w:spacing w:before="120" w:after="120" w:line="240" w:lineRule="auto"/>
              <w:jc w:val="both"/>
              <w:rPr>
                <w:rFonts w:ascii="Arial" w:eastAsia="Times New Roman" w:hAnsi="Arial" w:cs="Arial"/>
                <w:lang w:eastAsia="en-GB"/>
              </w:rPr>
            </w:pPr>
          </w:p>
          <w:p w14:paraId="6E4130D9" w14:textId="77777777" w:rsidR="00804EDA" w:rsidRDefault="00804EDA">
            <w:pPr>
              <w:spacing w:before="120" w:after="120" w:line="240" w:lineRule="auto"/>
              <w:jc w:val="both"/>
              <w:rPr>
                <w:rFonts w:ascii="Arial" w:eastAsia="Times New Roman" w:hAnsi="Arial" w:cs="Arial"/>
                <w:lang w:eastAsia="en-GB"/>
              </w:rPr>
            </w:pPr>
          </w:p>
          <w:p w14:paraId="55FBDCFB" w14:textId="77777777" w:rsidR="00804EDA" w:rsidRDefault="00804EDA">
            <w:pPr>
              <w:spacing w:before="120" w:after="120" w:line="240" w:lineRule="auto"/>
              <w:jc w:val="both"/>
              <w:rPr>
                <w:rFonts w:ascii="Arial" w:eastAsia="Times New Roman" w:hAnsi="Arial" w:cs="Arial"/>
                <w:lang w:eastAsia="en-GB"/>
              </w:rPr>
            </w:pPr>
          </w:p>
          <w:p w14:paraId="3A59759B" w14:textId="77777777" w:rsidR="00804EDA" w:rsidRDefault="00804EDA">
            <w:pPr>
              <w:spacing w:before="120" w:after="120" w:line="240" w:lineRule="auto"/>
              <w:jc w:val="both"/>
              <w:rPr>
                <w:rFonts w:ascii="Arial" w:eastAsia="Times New Roman" w:hAnsi="Arial" w:cs="Arial"/>
                <w:lang w:eastAsia="en-GB"/>
              </w:rPr>
            </w:pPr>
          </w:p>
          <w:p w14:paraId="15018EC8" w14:textId="77777777" w:rsidR="00804EDA" w:rsidRDefault="00804EDA">
            <w:pPr>
              <w:spacing w:before="120" w:after="120" w:line="240" w:lineRule="auto"/>
              <w:jc w:val="both"/>
              <w:rPr>
                <w:rFonts w:ascii="Arial" w:eastAsia="Times New Roman" w:hAnsi="Arial" w:cs="Arial"/>
                <w:lang w:eastAsia="en-GB"/>
              </w:rPr>
            </w:pPr>
          </w:p>
          <w:p w14:paraId="77CF4F77" w14:textId="77777777" w:rsidR="00804EDA" w:rsidRDefault="00804EDA">
            <w:pPr>
              <w:spacing w:before="120" w:after="120" w:line="240" w:lineRule="auto"/>
              <w:jc w:val="both"/>
              <w:rPr>
                <w:rFonts w:ascii="Arial" w:eastAsia="Times New Roman" w:hAnsi="Arial" w:cs="Arial"/>
                <w:lang w:eastAsia="en-GB"/>
              </w:rPr>
            </w:pPr>
          </w:p>
          <w:p w14:paraId="67288D00" w14:textId="77777777" w:rsidR="00804EDA" w:rsidRDefault="00804EDA">
            <w:pPr>
              <w:spacing w:before="120" w:after="120" w:line="240" w:lineRule="auto"/>
              <w:jc w:val="both"/>
              <w:rPr>
                <w:rFonts w:ascii="Arial" w:eastAsia="Times New Roman" w:hAnsi="Arial" w:cs="Arial"/>
                <w:lang w:eastAsia="en-GB"/>
              </w:rPr>
            </w:pPr>
          </w:p>
        </w:tc>
      </w:tr>
    </w:tbl>
    <w:p w14:paraId="0216E106" w14:textId="252C8DEA" w:rsidR="00804EDA" w:rsidRDefault="00804EDA">
      <w:pPr>
        <w:spacing w:line="259" w:lineRule="auto"/>
        <w:rPr>
          <w:rFonts w:ascii="Arial" w:eastAsia="Times New Roman" w:hAnsi="Arial" w:cs="Arial"/>
          <w:lang w:eastAsia="en-GB"/>
        </w:rPr>
      </w:pPr>
    </w:p>
    <w:p w14:paraId="0862BEE2" w14:textId="772C85D3" w:rsidR="00804EDA" w:rsidRDefault="00804EDA" w:rsidP="00804EDA">
      <w:pPr>
        <w:spacing w:after="0" w:line="240" w:lineRule="auto"/>
        <w:ind w:left="426"/>
        <w:rPr>
          <w:rFonts w:ascii="Arial" w:eastAsia="Times New Roman" w:hAnsi="Arial" w:cs="Arial"/>
          <w:lang w:eastAsia="en-GB"/>
        </w:rPr>
      </w:pPr>
      <w:r>
        <w:rPr>
          <w:rFonts w:ascii="Arial" w:eastAsia="Times New Roman" w:hAnsi="Arial" w:cs="Arial"/>
          <w:lang w:eastAsia="en-GB"/>
        </w:rPr>
        <w:t>Students are required to complete a 1000-word essay under the following title:</w:t>
      </w:r>
    </w:p>
    <w:p w14:paraId="4F419AB9" w14:textId="77777777" w:rsidR="00804EDA" w:rsidRDefault="00804EDA" w:rsidP="00804EDA">
      <w:pPr>
        <w:spacing w:after="0" w:line="240" w:lineRule="auto"/>
        <w:ind w:left="426"/>
        <w:rPr>
          <w:rFonts w:ascii="Arial" w:eastAsia="Times New Roman" w:hAnsi="Arial" w:cs="Arial"/>
          <w:b/>
          <w:sz w:val="24"/>
          <w:szCs w:val="24"/>
          <w:lang w:eastAsia="en-GB"/>
        </w:rPr>
      </w:pPr>
    </w:p>
    <w:p w14:paraId="22D99502" w14:textId="77777777" w:rsidR="00804EDA" w:rsidRDefault="00804EDA" w:rsidP="00804ED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Analyse why key incidents/events have had a damaging effect on the willingness of communities to engage with the police</w:t>
      </w:r>
    </w:p>
    <w:p w14:paraId="1036337D" w14:textId="77777777" w:rsidR="00804EDA" w:rsidRDefault="00804EDA" w:rsidP="00804ED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Evaluate the role of community policing in fostering and maintaining community cohesion and understand and apply key principles of effective community engagement</w:t>
      </w:r>
    </w:p>
    <w:p w14:paraId="62D561E9" w14:textId="32396CBF" w:rsidR="009C7340" w:rsidRDefault="00C3108B" w:rsidP="00804ED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Policing has been seen as an “us and them” model for some time now. </w:t>
      </w:r>
      <w:r w:rsidR="005072E5">
        <w:rPr>
          <w:rFonts w:ascii="Arial" w:eastAsia="Times New Roman" w:hAnsi="Arial" w:cs="Arial"/>
          <w:lang w:eastAsia="en-GB"/>
        </w:rPr>
        <w:t xml:space="preserve">Recent contemporary events have made this problem worse; with people seeing the Police as one entity globally, not factoring into account departmental and cultural differences within Policing. The Police have been traditionally viewed as the people who dole out punishments, and not </w:t>
      </w:r>
      <w:r w:rsidR="00F0681B">
        <w:rPr>
          <w:rFonts w:ascii="Arial" w:eastAsia="Times New Roman" w:hAnsi="Arial" w:cs="Arial"/>
          <w:lang w:eastAsia="en-GB"/>
        </w:rPr>
        <w:t xml:space="preserve">those who help society along and help those in need. </w:t>
      </w:r>
    </w:p>
    <w:p w14:paraId="17CA1A31" w14:textId="77777777" w:rsidR="00080D9D" w:rsidRDefault="009C7340" w:rsidP="006F66DF">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One such big key incident in recent events would be the </w:t>
      </w:r>
      <w:r w:rsidR="00FF633A">
        <w:rPr>
          <w:rFonts w:ascii="Arial" w:eastAsia="Times New Roman" w:hAnsi="Arial" w:cs="Arial"/>
          <w:lang w:eastAsia="en-GB"/>
        </w:rPr>
        <w:t xml:space="preserve">death of George Floyd. This death </w:t>
      </w:r>
      <w:r w:rsidR="008451A7">
        <w:rPr>
          <w:rFonts w:ascii="Arial" w:eastAsia="Times New Roman" w:hAnsi="Arial" w:cs="Arial"/>
          <w:lang w:eastAsia="en-GB"/>
        </w:rPr>
        <w:t xml:space="preserve">sent shockwaves through social media and for a long time it was hard to avoid it. This death was in the media, talked about all over the media, in many social circles, it was inescapable, and by extension, it could not be ignored. This death, caused by something so simple as Police restraining an individual caused that greater divide between Police and the wider communities they serve. It became an us and them situation, with people fearing what would happen if one day they lay in the same position as George Floyd. People were scared that they would end up the victim of Police brutality, and with all the hostilities towards the Police, it was becoming increasingly easier to become involved in a conflict or confrontation with Police as a regular citizen. Admittedly, at their core function, the Police are peace keepers. Their job is to keep the peace, and this is almost a global function of a modern Police service. </w:t>
      </w:r>
      <w:r w:rsidR="008451A7" w:rsidRPr="008451A7">
        <w:rPr>
          <w:rFonts w:ascii="Arial" w:eastAsia="Times New Roman" w:hAnsi="Arial" w:cs="Arial"/>
          <w:lang w:eastAsia="en-GB"/>
        </w:rPr>
        <w:t>“Images of Floyd pleading for relief from the excessive force were captured on video by a bystander and shared widely on social media. Social networking sites such as Facebook filled with commentary about Floyd’s death, as it was widely deemed to constitute clear evidence of oppression, in accordance with longstanding claims promulgated by such groups as the Black Lives Matter movement (BLM)”</w:t>
      </w:r>
      <w:r w:rsidR="00EF4CB2">
        <w:rPr>
          <w:rFonts w:ascii="Arial" w:eastAsia="Times New Roman" w:hAnsi="Arial" w:cs="Arial"/>
          <w:lang w:eastAsia="en-GB"/>
        </w:rPr>
        <w:t xml:space="preserve"> </w:t>
      </w:r>
      <w:r w:rsidR="00EF4CB2" w:rsidRPr="00EF4CB2">
        <w:rPr>
          <w:rFonts w:ascii="Arial" w:eastAsia="Times New Roman" w:hAnsi="Arial" w:cs="Arial"/>
          <w:lang w:eastAsia="en-GB"/>
        </w:rPr>
        <w:t>(Dixon and Dundes, 2020)</w:t>
      </w:r>
      <w:r w:rsidR="00EF4CB2">
        <w:rPr>
          <w:rFonts w:ascii="Arial" w:eastAsia="Times New Roman" w:hAnsi="Arial" w:cs="Arial"/>
          <w:lang w:eastAsia="en-GB"/>
        </w:rPr>
        <w:t>. These images being so widespread, did not help matters, and worked to further alienate the Police from wider communities. Furthermore; the Black Lives Matter movement gained traction and this was mostly aimed against Police actions against black people. The focus was on how black people are more likely to be arrested; searched, shot and killed. While this is true; the background of why this is was never opened up, instead, the Police blamed as if it was a quick fix that the Police could solve</w:t>
      </w:r>
      <w:r w:rsidR="006F66DF">
        <w:rPr>
          <w:rFonts w:ascii="Arial" w:eastAsia="Times New Roman" w:hAnsi="Arial" w:cs="Arial"/>
          <w:lang w:eastAsia="en-GB"/>
        </w:rPr>
        <w:t xml:space="preserve"> by changing their behaviour or methods. </w:t>
      </w:r>
    </w:p>
    <w:p w14:paraId="16894343" w14:textId="54F08A19" w:rsidR="009C7340" w:rsidRDefault="00080D9D" w:rsidP="006F66DF">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w:t>
      </w:r>
      <w:r w:rsidR="006F66DF" w:rsidRPr="006F66DF">
        <w:rPr>
          <w:rFonts w:ascii="Arial" w:eastAsia="Times New Roman" w:hAnsi="Arial" w:cs="Arial"/>
          <w:lang w:eastAsia="en-GB"/>
        </w:rPr>
        <w:t>White men have a vested interest in conceiving of the video of a White police</w:t>
      </w:r>
      <w:r w:rsidR="006F66DF">
        <w:rPr>
          <w:rFonts w:ascii="Arial" w:eastAsia="Times New Roman" w:hAnsi="Arial" w:cs="Arial"/>
          <w:lang w:eastAsia="en-GB"/>
        </w:rPr>
        <w:t xml:space="preserve"> </w:t>
      </w:r>
      <w:r w:rsidR="006F66DF" w:rsidRPr="006F66DF">
        <w:rPr>
          <w:rFonts w:ascii="Arial" w:eastAsia="Times New Roman" w:hAnsi="Arial" w:cs="Arial"/>
          <w:lang w:eastAsia="en-GB"/>
        </w:rPr>
        <w:t>officer killing a Black man as one autonomous man killing another man, neither of whom represent</w:t>
      </w:r>
      <w:r w:rsidR="006F66DF">
        <w:rPr>
          <w:rFonts w:ascii="Arial" w:eastAsia="Times New Roman" w:hAnsi="Arial" w:cs="Arial"/>
          <w:lang w:eastAsia="en-GB"/>
        </w:rPr>
        <w:t xml:space="preserve"> </w:t>
      </w:r>
      <w:r w:rsidR="006F66DF" w:rsidRPr="006F66DF">
        <w:rPr>
          <w:rFonts w:ascii="Arial" w:eastAsia="Times New Roman" w:hAnsi="Arial" w:cs="Arial"/>
          <w:lang w:eastAsia="en-GB"/>
        </w:rPr>
        <w:t>a demographic group. Instead, they may view the video as depicting a flawed police officer whose</w:t>
      </w:r>
      <w:r>
        <w:rPr>
          <w:rFonts w:ascii="Arial" w:eastAsia="Times New Roman" w:hAnsi="Arial" w:cs="Arial"/>
          <w:lang w:eastAsia="en-GB"/>
        </w:rPr>
        <w:t xml:space="preserve"> </w:t>
      </w:r>
      <w:r w:rsidR="006F66DF" w:rsidRPr="006F66DF">
        <w:rPr>
          <w:rFonts w:ascii="Arial" w:eastAsia="Times New Roman" w:hAnsi="Arial" w:cs="Arial"/>
          <w:lang w:eastAsia="en-GB"/>
        </w:rPr>
        <w:t>actions occur outside a racialized context. Ignoring a pattern helps them avoid seeing themselves in</w:t>
      </w:r>
      <w:r>
        <w:rPr>
          <w:rFonts w:ascii="Arial" w:eastAsia="Times New Roman" w:hAnsi="Arial" w:cs="Arial"/>
          <w:lang w:eastAsia="en-GB"/>
        </w:rPr>
        <w:t xml:space="preserve"> </w:t>
      </w:r>
      <w:r w:rsidR="006F66DF" w:rsidRPr="006F66DF">
        <w:rPr>
          <w:rFonts w:ascii="Arial" w:eastAsia="Times New Roman" w:hAnsi="Arial" w:cs="Arial"/>
          <w:lang w:eastAsia="en-GB"/>
        </w:rPr>
        <w:t>the video; they do not want to recognize themselves as the oppressor or part of a racial group that</w:t>
      </w:r>
      <w:r>
        <w:rPr>
          <w:rFonts w:ascii="Arial" w:eastAsia="Times New Roman" w:hAnsi="Arial" w:cs="Arial"/>
          <w:lang w:eastAsia="en-GB"/>
        </w:rPr>
        <w:t xml:space="preserve"> </w:t>
      </w:r>
      <w:r w:rsidR="006F66DF" w:rsidRPr="006F66DF">
        <w:rPr>
          <w:rFonts w:ascii="Arial" w:eastAsia="Times New Roman" w:hAnsi="Arial" w:cs="Arial"/>
          <w:lang w:eastAsia="en-GB"/>
        </w:rPr>
        <w:t>exerts hegemony</w:t>
      </w:r>
      <w:r>
        <w:rPr>
          <w:rFonts w:ascii="Arial" w:eastAsia="Times New Roman" w:hAnsi="Arial" w:cs="Arial"/>
          <w:lang w:eastAsia="en-GB"/>
        </w:rPr>
        <w:t xml:space="preserve">” </w:t>
      </w:r>
      <w:r w:rsidRPr="00EF4CB2">
        <w:rPr>
          <w:rFonts w:ascii="Arial" w:eastAsia="Times New Roman" w:hAnsi="Arial" w:cs="Arial"/>
          <w:lang w:eastAsia="en-GB"/>
        </w:rPr>
        <w:t>(Dixon and Dundes, 2020)</w:t>
      </w:r>
      <w:r>
        <w:rPr>
          <w:rFonts w:ascii="Arial" w:eastAsia="Times New Roman" w:hAnsi="Arial" w:cs="Arial"/>
          <w:lang w:eastAsia="en-GB"/>
        </w:rPr>
        <w:t>.</w:t>
      </w:r>
      <w:r>
        <w:rPr>
          <w:rFonts w:ascii="Arial" w:eastAsia="Times New Roman" w:hAnsi="Arial" w:cs="Arial"/>
          <w:lang w:eastAsia="en-GB"/>
        </w:rPr>
        <w:t xml:space="preserve"> This study into George Floyd goes some way into suggesting that racial stereotyping and profiling plays a part with public perceptions of what happened. </w:t>
      </w:r>
      <w:r w:rsidR="00CE1CFE">
        <w:rPr>
          <w:rFonts w:ascii="Arial" w:eastAsia="Times New Roman" w:hAnsi="Arial" w:cs="Arial"/>
          <w:lang w:eastAsia="en-GB"/>
        </w:rPr>
        <w:t xml:space="preserve">Not only that, it contributes to public perceptions moving forward with dealing with the fall out of this incident. Policing at it’s fundamental core, is not about race; however due to these incidents, it’s been made about racial stereotypes and segregation. Police departments are making concerted efforts into hiring ethnic minority </w:t>
      </w:r>
      <w:r w:rsidR="00CE1CFE">
        <w:rPr>
          <w:rFonts w:ascii="Arial" w:eastAsia="Times New Roman" w:hAnsi="Arial" w:cs="Arial"/>
          <w:lang w:eastAsia="en-GB"/>
        </w:rPr>
        <w:lastRenderedPageBreak/>
        <w:t xml:space="preserve">officers, and making efforts to positively discriminate during the recruitment process to </w:t>
      </w:r>
      <w:r w:rsidR="00EA1F58">
        <w:rPr>
          <w:rFonts w:ascii="Arial" w:eastAsia="Times New Roman" w:hAnsi="Arial" w:cs="Arial"/>
          <w:lang w:eastAsia="en-GB"/>
        </w:rPr>
        <w:t xml:space="preserve">try and match that of the communities that they Police. This is all done in a bid to negate the effects of such social media campaigns such as those born out of the George Floyd incident. </w:t>
      </w:r>
    </w:p>
    <w:p w14:paraId="22EA8864" w14:textId="77777777" w:rsidR="00EA1F58" w:rsidRDefault="00EA1F58" w:rsidP="00804ED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7BFB562F" w14:textId="77777777" w:rsidR="00D14C8F" w:rsidRDefault="00EF4CB2" w:rsidP="00804ED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George Floyd was one major example in recent history that shook the world of Policing, especially the American model. </w:t>
      </w:r>
      <w:r w:rsidR="006F66DF">
        <w:rPr>
          <w:rFonts w:ascii="Arial" w:eastAsia="Times New Roman" w:hAnsi="Arial" w:cs="Arial"/>
          <w:lang w:eastAsia="en-GB"/>
        </w:rPr>
        <w:t xml:space="preserve">However, controversial events in modern Policing </w:t>
      </w:r>
      <w:r w:rsidR="00EA1F58">
        <w:rPr>
          <w:rFonts w:ascii="Arial" w:eastAsia="Times New Roman" w:hAnsi="Arial" w:cs="Arial"/>
          <w:lang w:eastAsia="en-GB"/>
        </w:rPr>
        <w:t xml:space="preserve">extend far beyond that, including into our own British society. As with all things, the Metropolitan Police Service are responsible for this, in a time shortly before the Police and Criminal Evidence Act. </w:t>
      </w:r>
      <w:r w:rsidR="006D745C">
        <w:rPr>
          <w:rFonts w:ascii="Arial" w:eastAsia="Times New Roman" w:hAnsi="Arial" w:cs="Arial"/>
          <w:lang w:eastAsia="en-GB"/>
        </w:rPr>
        <w:t xml:space="preserve">This was one such incident which led to the formation of PACE, as it introduced some fundamental rules to Policing within the UK. </w:t>
      </w:r>
      <w:r w:rsidR="007044CD">
        <w:rPr>
          <w:rFonts w:ascii="Arial" w:eastAsia="Times New Roman" w:hAnsi="Arial" w:cs="Arial"/>
          <w:lang w:eastAsia="en-GB"/>
        </w:rPr>
        <w:t>“</w:t>
      </w:r>
      <w:r w:rsidR="007044CD" w:rsidRPr="007044CD">
        <w:rPr>
          <w:rFonts w:ascii="Arial" w:eastAsia="Times New Roman" w:hAnsi="Arial" w:cs="Arial"/>
          <w:lang w:eastAsia="en-GB"/>
        </w:rPr>
        <w:t>Unlike the violence which</w:t>
      </w:r>
      <w:r w:rsidR="007044CD">
        <w:rPr>
          <w:rFonts w:ascii="Arial" w:eastAsia="Times New Roman" w:hAnsi="Arial" w:cs="Arial"/>
          <w:lang w:eastAsia="en-GB"/>
        </w:rPr>
        <w:t xml:space="preserve"> </w:t>
      </w:r>
      <w:r w:rsidR="007044CD" w:rsidRPr="007044CD">
        <w:rPr>
          <w:rFonts w:ascii="Arial" w:eastAsia="Times New Roman" w:hAnsi="Arial" w:cs="Arial"/>
          <w:lang w:eastAsia="en-GB"/>
        </w:rPr>
        <w:t>erupted in St. Paul's, which only lasted a few hours, the riots which broke out in Brixton lasted</w:t>
      </w:r>
      <w:r w:rsidR="007044CD">
        <w:rPr>
          <w:rFonts w:ascii="Arial" w:eastAsia="Times New Roman" w:hAnsi="Arial" w:cs="Arial"/>
          <w:lang w:eastAsia="en-GB"/>
        </w:rPr>
        <w:t xml:space="preserve"> </w:t>
      </w:r>
      <w:r w:rsidR="007044CD" w:rsidRPr="007044CD">
        <w:rPr>
          <w:rFonts w:ascii="Arial" w:eastAsia="Times New Roman" w:hAnsi="Arial" w:cs="Arial"/>
          <w:lang w:eastAsia="en-GB"/>
        </w:rPr>
        <w:t>three days, with smaller disorders breaking out over the following months. The civil disorders in</w:t>
      </w:r>
      <w:r w:rsidR="007044CD">
        <w:rPr>
          <w:rFonts w:ascii="Arial" w:eastAsia="Times New Roman" w:hAnsi="Arial" w:cs="Arial"/>
          <w:lang w:eastAsia="en-GB"/>
        </w:rPr>
        <w:t xml:space="preserve"> </w:t>
      </w:r>
      <w:r w:rsidR="007044CD" w:rsidRPr="007044CD">
        <w:rPr>
          <w:rFonts w:ascii="Arial" w:eastAsia="Times New Roman" w:hAnsi="Arial" w:cs="Arial"/>
          <w:lang w:eastAsia="en-GB"/>
        </w:rPr>
        <w:t>Britain were so profoundly destructive and troubling to the government that Lord Scarman was</w:t>
      </w:r>
      <w:r w:rsidR="007044CD">
        <w:rPr>
          <w:rFonts w:ascii="Arial" w:eastAsia="Times New Roman" w:hAnsi="Arial" w:cs="Arial"/>
          <w:lang w:eastAsia="en-GB"/>
        </w:rPr>
        <w:t xml:space="preserve"> </w:t>
      </w:r>
      <w:r w:rsidR="007044CD" w:rsidRPr="007044CD">
        <w:rPr>
          <w:rFonts w:ascii="Arial" w:eastAsia="Times New Roman" w:hAnsi="Arial" w:cs="Arial"/>
          <w:lang w:eastAsia="en-GB"/>
        </w:rPr>
        <w:t>appointed to undertake a comprehensive inquiry, which came to be known as The Scarman</w:t>
      </w:r>
      <w:r w:rsidR="007044CD">
        <w:rPr>
          <w:rFonts w:ascii="Arial" w:eastAsia="Times New Roman" w:hAnsi="Arial" w:cs="Arial"/>
          <w:lang w:eastAsia="en-GB"/>
        </w:rPr>
        <w:t xml:space="preserve"> </w:t>
      </w:r>
      <w:r w:rsidR="007044CD" w:rsidRPr="007044CD">
        <w:rPr>
          <w:rFonts w:ascii="Arial" w:eastAsia="Times New Roman" w:hAnsi="Arial" w:cs="Arial"/>
          <w:lang w:eastAsia="en-GB"/>
        </w:rPr>
        <w:t>Inquiry, into the causes of</w:t>
      </w:r>
      <w:r w:rsidR="007044CD">
        <w:rPr>
          <w:rFonts w:ascii="Arial" w:eastAsia="Times New Roman" w:hAnsi="Arial" w:cs="Arial"/>
          <w:lang w:eastAsia="en-GB"/>
        </w:rPr>
        <w:t xml:space="preserve"> </w:t>
      </w:r>
      <w:r w:rsidR="007044CD" w:rsidRPr="007044CD">
        <w:rPr>
          <w:rFonts w:ascii="Arial" w:eastAsia="Times New Roman" w:hAnsi="Arial" w:cs="Arial"/>
          <w:lang w:eastAsia="en-GB"/>
        </w:rPr>
        <w:t>the outbreak, and what measures should be taken to prevent another</w:t>
      </w:r>
      <w:r w:rsidR="007044CD">
        <w:rPr>
          <w:rFonts w:ascii="Arial" w:eastAsia="Times New Roman" w:hAnsi="Arial" w:cs="Arial"/>
          <w:lang w:eastAsia="en-GB"/>
        </w:rPr>
        <w:t xml:space="preserve"> </w:t>
      </w:r>
      <w:r w:rsidR="007044CD" w:rsidRPr="007044CD">
        <w:rPr>
          <w:rFonts w:ascii="Arial" w:eastAsia="Times New Roman" w:hAnsi="Arial" w:cs="Arial"/>
          <w:lang w:eastAsia="en-GB"/>
        </w:rPr>
        <w:t>such disturbance in the future</w:t>
      </w:r>
      <w:r w:rsidR="007044CD">
        <w:rPr>
          <w:rFonts w:ascii="Arial" w:eastAsia="Times New Roman" w:hAnsi="Arial" w:cs="Arial"/>
          <w:lang w:eastAsia="en-GB"/>
        </w:rPr>
        <w:t xml:space="preserve">” </w:t>
      </w:r>
      <w:r w:rsidR="007044CD" w:rsidRPr="007044CD">
        <w:rPr>
          <w:rFonts w:ascii="Arial" w:eastAsia="Times New Roman" w:hAnsi="Arial" w:cs="Arial"/>
          <w:lang w:eastAsia="en-GB"/>
        </w:rPr>
        <w:t>(Foreman, 2021)</w:t>
      </w:r>
      <w:r w:rsidR="007044CD">
        <w:rPr>
          <w:rFonts w:ascii="Arial" w:eastAsia="Times New Roman" w:hAnsi="Arial" w:cs="Arial"/>
          <w:lang w:eastAsia="en-GB"/>
        </w:rPr>
        <w:t>. The St Pauls riots happened in Bristol and were of a much smaller scale; however, only one year later, the Brixton riots erupted and they could not be ignored. The Brixton Riots outlined again, much like George Floyd, that the black community in the outskirts of London were disproportionately targeted, and it was spurred on by the Metropolitan Police simply deciding to stop search black people for limited or no reason. Again, this went a long way to harming Police trust among the public, causing them to be feared for all the wrong reasons.</w:t>
      </w:r>
    </w:p>
    <w:p w14:paraId="7C4055AD" w14:textId="77777777" w:rsidR="00D14C8F" w:rsidRDefault="00D14C8F" w:rsidP="00804ED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5A1C99F8" w14:textId="74264C0C" w:rsidR="00C4572B" w:rsidRDefault="00C4572B" w:rsidP="00804ED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Community Policing, when employed to tackle certain issues can be exceedingly effective. For example, when we look at the Metropolitan Police Service, when they tried to tackle gun and drug crime back in 2003-2006; “</w:t>
      </w:r>
      <w:r w:rsidRPr="00C4572B">
        <w:rPr>
          <w:rFonts w:ascii="Arial" w:eastAsia="Times New Roman" w:hAnsi="Arial" w:cs="Arial"/>
          <w:lang w:eastAsia="en-GB"/>
        </w:rPr>
        <w:t>The Jamaican women in particular were extremely concerned about drug supply and the associated gun crime. The professionals working with the two communities agreed that community-led interventions would be positively received, and perceived a recent increasing willingness among the Jamaican and Turkish communities to engage with these</w:t>
      </w:r>
      <w:r>
        <w:rPr>
          <w:rFonts w:ascii="Arial" w:eastAsia="Times New Roman" w:hAnsi="Arial" w:cs="Arial"/>
          <w:lang w:eastAsia="en-GB"/>
        </w:rPr>
        <w:t xml:space="preserve">” </w:t>
      </w:r>
      <w:r w:rsidRPr="00C4572B">
        <w:rPr>
          <w:rFonts w:ascii="Arial" w:eastAsia="Times New Roman" w:hAnsi="Arial" w:cs="Arial"/>
          <w:lang w:eastAsia="en-GB"/>
        </w:rPr>
        <w:t>(Fountain et al., 2007)</w:t>
      </w:r>
      <w:r>
        <w:rPr>
          <w:rFonts w:ascii="Arial" w:eastAsia="Times New Roman" w:hAnsi="Arial" w:cs="Arial"/>
          <w:lang w:eastAsia="en-GB"/>
        </w:rPr>
        <w:t>.</w:t>
      </w:r>
      <w:r w:rsidR="00D14C8F">
        <w:rPr>
          <w:rFonts w:ascii="Arial" w:eastAsia="Times New Roman" w:hAnsi="Arial" w:cs="Arial"/>
          <w:lang w:eastAsia="en-GB"/>
        </w:rPr>
        <w:t xml:space="preserve"> This shows that if the Police are tackling what is perceived to be the widespread issues in the community, they are more likely to gain the support of the community to help tackle them. Crime not only effects the Police, but it effects those who have to live within it, live around it, and deal with the effects of it on a daily basis with regards to family members, or friends. </w:t>
      </w:r>
    </w:p>
    <w:p w14:paraId="1F17BCAC" w14:textId="6CADD16C" w:rsidR="009C7340" w:rsidRDefault="009C7340" w:rsidP="00804ED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63480C40" w14:textId="67F55101" w:rsidR="009C7340" w:rsidRDefault="00F94039" w:rsidP="00804ED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(1030 words)</w:t>
      </w:r>
    </w:p>
    <w:p w14:paraId="6BC0F005" w14:textId="7A7EACF6" w:rsidR="00E10D07" w:rsidRDefault="00E10D07">
      <w:pPr>
        <w:spacing w:line="259" w:lineRule="auto"/>
        <w:rPr>
          <w:rFonts w:ascii="Arial" w:eastAsia="Times New Roman" w:hAnsi="Arial" w:cs="Arial"/>
          <w:b/>
          <w:sz w:val="24"/>
          <w:szCs w:val="24"/>
          <w:lang w:eastAsia="en-GB"/>
        </w:rPr>
      </w:pPr>
      <w:r>
        <w:rPr>
          <w:rFonts w:ascii="Arial" w:eastAsia="Times New Roman" w:hAnsi="Arial" w:cs="Arial"/>
          <w:b/>
          <w:sz w:val="24"/>
          <w:szCs w:val="24"/>
          <w:lang w:eastAsia="en-GB"/>
        </w:rPr>
        <w:br w:type="page"/>
      </w:r>
    </w:p>
    <w:p w14:paraId="68BE590B" w14:textId="77777777" w:rsidR="00804EDA" w:rsidRDefault="00804EDA" w:rsidP="00804EDA">
      <w:pPr>
        <w:spacing w:after="0" w:line="240" w:lineRule="auto"/>
        <w:ind w:left="426"/>
        <w:rPr>
          <w:rFonts w:ascii="Arial" w:eastAsia="Times New Roman" w:hAnsi="Arial" w:cs="Arial"/>
          <w:b/>
          <w:sz w:val="24"/>
          <w:szCs w:val="24"/>
          <w:lang w:eastAsia="en-GB"/>
        </w:rPr>
      </w:pPr>
    </w:p>
    <w:p w14:paraId="63C4F317" w14:textId="77777777" w:rsidR="00804EDA" w:rsidRDefault="00804EDA" w:rsidP="00804EDA">
      <w:pPr>
        <w:spacing w:after="0" w:line="240" w:lineRule="auto"/>
        <w:ind w:left="426"/>
        <w:rPr>
          <w:rFonts w:ascii="Arial" w:eastAsia="Times New Roman" w:hAnsi="Arial" w:cs="Arial"/>
          <w:b/>
          <w:sz w:val="24"/>
          <w:szCs w:val="24"/>
          <w:lang w:eastAsia="en-GB"/>
        </w:rPr>
      </w:pPr>
      <w:r>
        <w:rPr>
          <w:rFonts w:ascii="Arial" w:eastAsia="Times New Roman" w:hAnsi="Arial" w:cs="Arial"/>
          <w:lang w:eastAsia="en-GB"/>
        </w:rPr>
        <w:t>Students are required to complete a 1000-word essay under the following title:</w:t>
      </w:r>
    </w:p>
    <w:p w14:paraId="15AE9C30" w14:textId="77777777" w:rsidR="00804EDA" w:rsidRDefault="00804EDA" w:rsidP="00804EDA">
      <w:pPr>
        <w:spacing w:after="0" w:line="240" w:lineRule="auto"/>
        <w:rPr>
          <w:rFonts w:ascii="Arial" w:eastAsia="Times New Roman" w:hAnsi="Arial" w:cs="Arial"/>
          <w:b/>
          <w:sz w:val="24"/>
          <w:szCs w:val="24"/>
          <w:lang w:eastAsia="en-GB"/>
        </w:rPr>
      </w:pPr>
    </w:p>
    <w:p w14:paraId="66AAA751" w14:textId="77777777" w:rsidR="00804EDA" w:rsidRDefault="00804EDA" w:rsidP="00804ED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Assess the strengths and weakness of different policing models in relation to crime/victimisation and the public and explore crime prevention theories initiates and strategies</w:t>
      </w:r>
    </w:p>
    <w:p w14:paraId="3BE1AC03" w14:textId="77777777" w:rsidR="00804EDA" w:rsidRDefault="00804EDA" w:rsidP="00804EDA">
      <w:pPr>
        <w:spacing w:after="0" w:line="240" w:lineRule="auto"/>
        <w:ind w:left="426"/>
        <w:jc w:val="center"/>
        <w:rPr>
          <w:rFonts w:ascii="Arial" w:eastAsia="Times New Roman" w:hAnsi="Arial" w:cs="Arial"/>
          <w:b/>
          <w:sz w:val="24"/>
          <w:szCs w:val="24"/>
          <w:lang w:eastAsia="en-GB"/>
        </w:rPr>
      </w:pPr>
    </w:p>
    <w:p w14:paraId="5B90C3E8" w14:textId="77777777" w:rsidR="00804EDA" w:rsidRDefault="00804EDA" w:rsidP="00804ED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Explain and employ analytical products provided by intelligence specialists during the course of an investigation</w:t>
      </w:r>
    </w:p>
    <w:p w14:paraId="5BB88CCC" w14:textId="77777777" w:rsidR="00804EDA" w:rsidRDefault="00804EDA" w:rsidP="00804EDA">
      <w:pPr>
        <w:spacing w:after="0" w:line="240" w:lineRule="auto"/>
        <w:ind w:left="426"/>
        <w:rPr>
          <w:rFonts w:ascii="Arial" w:eastAsia="Times New Roman" w:hAnsi="Arial" w:cs="Arial"/>
          <w:b/>
          <w:sz w:val="24"/>
          <w:szCs w:val="24"/>
          <w:lang w:eastAsia="en-GB"/>
        </w:rPr>
      </w:pPr>
    </w:p>
    <w:p w14:paraId="51FE4F11" w14:textId="77777777" w:rsidR="00804EDA" w:rsidRDefault="00804EDA" w:rsidP="00804EDA">
      <w:pPr>
        <w:spacing w:after="0" w:line="240" w:lineRule="auto"/>
        <w:ind w:left="426"/>
        <w:jc w:val="center"/>
        <w:rPr>
          <w:rFonts w:ascii="Arial" w:eastAsia="Times New Roman" w:hAnsi="Arial" w:cs="Arial"/>
          <w:b/>
          <w:sz w:val="24"/>
          <w:szCs w:val="24"/>
          <w:lang w:eastAsia="en-GB"/>
        </w:rPr>
      </w:pPr>
    </w:p>
    <w:p w14:paraId="1CFE4422" w14:textId="77777777" w:rsidR="003E2367" w:rsidRDefault="003E2367">
      <w:pPr>
        <w:spacing w:line="259" w:lineRule="auto"/>
        <w:rPr>
          <w:rFonts w:ascii="Arial" w:eastAsia="Times New Roman" w:hAnsi="Arial" w:cs="Arial"/>
          <w:bCs/>
          <w:lang w:eastAsia="en-GB"/>
        </w:rPr>
      </w:pPr>
      <w:r>
        <w:rPr>
          <w:rFonts w:ascii="Arial" w:eastAsia="Times New Roman" w:hAnsi="Arial" w:cs="Arial"/>
          <w:bCs/>
          <w:lang w:eastAsia="en-GB"/>
        </w:rPr>
        <w:t xml:space="preserve">There are different models of Policing, and these will be effective and ineffective depending on the types of crime or victimisation that they are deployed to combat. With regards to this, to begin to talk about them, we must first identify the models of Policing. </w:t>
      </w:r>
    </w:p>
    <w:p w14:paraId="505FAE5D" w14:textId="77777777" w:rsidR="003E2367" w:rsidRDefault="003E2367">
      <w:pPr>
        <w:spacing w:line="259" w:lineRule="auto"/>
        <w:rPr>
          <w:rFonts w:ascii="Arial" w:eastAsia="Times New Roman" w:hAnsi="Arial" w:cs="Arial"/>
          <w:bCs/>
          <w:lang w:eastAsia="en-GB"/>
        </w:rPr>
      </w:pPr>
    </w:p>
    <w:p w14:paraId="3FD5AB64" w14:textId="1163CE66" w:rsidR="00785688" w:rsidRDefault="003E2367" w:rsidP="00785688">
      <w:pPr>
        <w:spacing w:line="259" w:lineRule="auto"/>
        <w:rPr>
          <w:rFonts w:ascii="Arial" w:eastAsia="Times New Roman" w:hAnsi="Arial" w:cs="Arial"/>
          <w:bCs/>
          <w:lang w:eastAsia="en-GB"/>
        </w:rPr>
      </w:pPr>
      <w:r>
        <w:rPr>
          <w:rFonts w:ascii="Arial" w:eastAsia="Times New Roman" w:hAnsi="Arial" w:cs="Arial"/>
          <w:bCs/>
          <w:lang w:eastAsia="en-GB"/>
        </w:rPr>
        <w:t>One prominent crime prevention theory would be the ‘Broken Windows’ thesis. This theory specifically talks about, broken windows, although it’s really implying a much wider impact. Simply put, if one window is broken, another one is likely to be broken as one is already broken. If a wall already has graffiti, it’s more likely to be graffiti’d again. While simple, it helps inform a pattern of criminality and offending, and rather than placing the onus of offending onto individuals, it instead, focuses on the area that offending happens within. Succinctly put; “</w:t>
      </w:r>
      <w:r w:rsidRPr="003E2367">
        <w:rPr>
          <w:rFonts w:ascii="Arial" w:eastAsia="Times New Roman" w:hAnsi="Arial" w:cs="Arial"/>
          <w:bCs/>
          <w:lang w:eastAsia="en-GB"/>
        </w:rPr>
        <w:t>That link is similar to the process whereby one broken window becomes many. The citizen who fears the ill-smelling drunk, the rowdy teenager, or the importuning beggar is not merely expressing his distaste for unseemly behavior; he is also giving voice to a bit of folk wisdom that happens to be a correct generalization—namely, that serious street crime flourishes in areas in which disorderly behavior goes unchecked</w:t>
      </w:r>
      <w:r>
        <w:rPr>
          <w:rFonts w:ascii="Arial" w:eastAsia="Times New Roman" w:hAnsi="Arial" w:cs="Arial"/>
          <w:bCs/>
          <w:lang w:eastAsia="en-GB"/>
        </w:rPr>
        <w:t xml:space="preserve">” </w:t>
      </w:r>
      <w:r w:rsidR="009818A0" w:rsidRPr="009818A0">
        <w:rPr>
          <w:rFonts w:ascii="Arial" w:eastAsia="Times New Roman" w:hAnsi="Arial" w:cs="Arial"/>
          <w:bCs/>
          <w:lang w:eastAsia="en-GB"/>
        </w:rPr>
        <w:t>(Wilson and Kelling, 2021)</w:t>
      </w:r>
      <w:r w:rsidR="009818A0">
        <w:rPr>
          <w:rFonts w:ascii="Arial" w:eastAsia="Times New Roman" w:hAnsi="Arial" w:cs="Arial"/>
          <w:bCs/>
          <w:lang w:eastAsia="en-GB"/>
        </w:rPr>
        <w:t>.</w:t>
      </w:r>
      <w:r w:rsidR="005C49B0">
        <w:rPr>
          <w:rFonts w:ascii="Arial" w:eastAsia="Times New Roman" w:hAnsi="Arial" w:cs="Arial"/>
          <w:bCs/>
          <w:lang w:eastAsia="en-GB"/>
        </w:rPr>
        <w:t xml:space="preserve"> This model of Policing helped to influence the Zero Tolerance Policing model, along with community policing. Community Policing, was focused more with fixing the root causes of crime, rather than punishing those involved in the cycle. Zero Tolerance Policing is a resource intensive model of Policing that is focused on punishing all criminal behaviour, including low level behaviour. This inherently makes it more resource intensive, and could be argued to be a poor value for money solution for the British tax payer. </w:t>
      </w:r>
      <w:r w:rsidR="0040300A">
        <w:rPr>
          <w:rFonts w:ascii="Arial" w:eastAsia="Times New Roman" w:hAnsi="Arial" w:cs="Arial"/>
          <w:bCs/>
          <w:lang w:eastAsia="en-GB"/>
        </w:rPr>
        <w:t>“</w:t>
      </w:r>
      <w:r w:rsidR="0040300A" w:rsidRPr="0040300A">
        <w:rPr>
          <w:rFonts w:ascii="Arial" w:eastAsia="Times New Roman" w:hAnsi="Arial" w:cs="Arial"/>
          <w:bCs/>
          <w:lang w:eastAsia="en-GB"/>
        </w:rPr>
        <w:t>The principle of ‘zero-tolerance policing’ has not been applied in the UK, mainly as it is very</w:t>
      </w:r>
      <w:r w:rsidR="0040300A">
        <w:rPr>
          <w:rFonts w:ascii="Arial" w:eastAsia="Times New Roman" w:hAnsi="Arial" w:cs="Arial"/>
          <w:bCs/>
          <w:lang w:eastAsia="en-GB"/>
        </w:rPr>
        <w:t xml:space="preserve"> </w:t>
      </w:r>
      <w:r w:rsidR="0040300A" w:rsidRPr="0040300A">
        <w:rPr>
          <w:rFonts w:ascii="Arial" w:eastAsia="Times New Roman" w:hAnsi="Arial" w:cs="Arial"/>
          <w:bCs/>
          <w:lang w:eastAsia="en-GB"/>
        </w:rPr>
        <w:t>resource intensive in respect of police officers: first, to provide a visible presence on the</w:t>
      </w:r>
      <w:r w:rsidR="0040300A">
        <w:rPr>
          <w:rFonts w:ascii="Arial" w:eastAsia="Times New Roman" w:hAnsi="Arial" w:cs="Arial"/>
          <w:bCs/>
          <w:lang w:eastAsia="en-GB"/>
        </w:rPr>
        <w:t xml:space="preserve"> </w:t>
      </w:r>
      <w:r w:rsidR="0040300A" w:rsidRPr="0040300A">
        <w:rPr>
          <w:rFonts w:ascii="Arial" w:eastAsia="Times New Roman" w:hAnsi="Arial" w:cs="Arial"/>
          <w:bCs/>
          <w:lang w:eastAsia="en-GB"/>
        </w:rPr>
        <w:t>street in order to provide reassurance for the public and, second, to detect and deal with</w:t>
      </w:r>
      <w:r w:rsidR="0040300A">
        <w:rPr>
          <w:rFonts w:ascii="Arial" w:eastAsia="Times New Roman" w:hAnsi="Arial" w:cs="Arial"/>
          <w:bCs/>
          <w:lang w:eastAsia="en-GB"/>
        </w:rPr>
        <w:t xml:space="preserve"> </w:t>
      </w:r>
      <w:r w:rsidR="0040300A" w:rsidRPr="0040300A">
        <w:rPr>
          <w:rFonts w:ascii="Arial" w:eastAsia="Times New Roman" w:hAnsi="Arial" w:cs="Arial"/>
          <w:bCs/>
          <w:lang w:eastAsia="en-GB"/>
        </w:rPr>
        <w:t>the most minor of offences, particularly ASB, that the zero-tolerance approach targets</w:t>
      </w:r>
      <w:r w:rsidR="0040300A">
        <w:rPr>
          <w:rFonts w:ascii="Arial" w:eastAsia="Times New Roman" w:hAnsi="Arial" w:cs="Arial"/>
          <w:bCs/>
          <w:lang w:eastAsia="en-GB"/>
        </w:rPr>
        <w:t xml:space="preserve">” </w:t>
      </w:r>
      <w:r w:rsidR="0040300A" w:rsidRPr="0040300A">
        <w:rPr>
          <w:rFonts w:ascii="Arial" w:eastAsia="Times New Roman" w:hAnsi="Arial" w:cs="Arial"/>
          <w:bCs/>
          <w:lang w:eastAsia="en-GB"/>
        </w:rPr>
        <w:t>(Blake, Sheldon and Williams, 2010</w:t>
      </w:r>
      <w:r w:rsidR="00785688">
        <w:rPr>
          <w:rFonts w:ascii="Arial" w:eastAsia="Times New Roman" w:hAnsi="Arial" w:cs="Arial"/>
          <w:bCs/>
          <w:lang w:eastAsia="en-GB"/>
        </w:rPr>
        <w:t>) However, “</w:t>
      </w:r>
      <w:r w:rsidR="00785688" w:rsidRPr="00785688">
        <w:rPr>
          <w:rFonts w:ascii="Arial" w:eastAsia="Times New Roman" w:hAnsi="Arial" w:cs="Arial"/>
          <w:bCs/>
          <w:lang w:eastAsia="en-GB"/>
        </w:rPr>
        <w:t>The most famous UK example comes from Cleveland Constabulary in the late 1990 period</w:t>
      </w:r>
      <w:r w:rsidR="00785688">
        <w:rPr>
          <w:rFonts w:ascii="Arial" w:eastAsia="Times New Roman" w:hAnsi="Arial" w:cs="Arial"/>
          <w:bCs/>
          <w:lang w:eastAsia="en-GB"/>
        </w:rPr>
        <w:t xml:space="preserve"> </w:t>
      </w:r>
      <w:r w:rsidR="00785688" w:rsidRPr="00785688">
        <w:rPr>
          <w:rFonts w:ascii="Arial" w:eastAsia="Times New Roman" w:hAnsi="Arial" w:cs="Arial"/>
          <w:bCs/>
          <w:lang w:eastAsia="en-GB"/>
        </w:rPr>
        <w:t>under the leadership of Superintendent Ray Mallon</w:t>
      </w:r>
      <w:r w:rsidR="00785688">
        <w:rPr>
          <w:rFonts w:ascii="Arial" w:eastAsia="Times New Roman" w:hAnsi="Arial" w:cs="Arial"/>
          <w:bCs/>
          <w:lang w:eastAsia="en-GB"/>
        </w:rPr>
        <w:t xml:space="preserve">. </w:t>
      </w:r>
      <w:r w:rsidR="00785688" w:rsidRPr="00785688">
        <w:rPr>
          <w:rFonts w:ascii="Arial" w:eastAsia="Times New Roman" w:hAnsi="Arial" w:cs="Arial"/>
          <w:bCs/>
          <w:lang w:eastAsia="en-GB"/>
        </w:rPr>
        <w:t>It is</w:t>
      </w:r>
      <w:r w:rsidR="00785688">
        <w:rPr>
          <w:rFonts w:ascii="Arial" w:eastAsia="Times New Roman" w:hAnsi="Arial" w:cs="Arial"/>
          <w:bCs/>
          <w:lang w:eastAsia="en-GB"/>
        </w:rPr>
        <w:t xml:space="preserve"> </w:t>
      </w:r>
      <w:r w:rsidR="00785688" w:rsidRPr="00785688">
        <w:rPr>
          <w:rFonts w:ascii="Arial" w:eastAsia="Times New Roman" w:hAnsi="Arial" w:cs="Arial"/>
          <w:bCs/>
          <w:lang w:eastAsia="en-GB"/>
        </w:rPr>
        <w:t>claimed that, within three months of the strategy having been implemented, a 22 per cent</w:t>
      </w:r>
      <w:r w:rsidR="00785688">
        <w:rPr>
          <w:rFonts w:ascii="Arial" w:eastAsia="Times New Roman" w:hAnsi="Arial" w:cs="Arial"/>
          <w:bCs/>
          <w:lang w:eastAsia="en-GB"/>
        </w:rPr>
        <w:t xml:space="preserve"> </w:t>
      </w:r>
      <w:r w:rsidR="00785688" w:rsidRPr="00785688">
        <w:rPr>
          <w:rFonts w:ascii="Arial" w:eastAsia="Times New Roman" w:hAnsi="Arial" w:cs="Arial"/>
          <w:bCs/>
          <w:lang w:eastAsia="en-GB"/>
        </w:rPr>
        <w:t>reduction in ASB, burglary in a dwelling and other quality-of-life offences had resulted</w:t>
      </w:r>
      <w:r w:rsidR="00785688">
        <w:rPr>
          <w:rFonts w:ascii="Arial" w:eastAsia="Times New Roman" w:hAnsi="Arial" w:cs="Arial"/>
          <w:bCs/>
          <w:lang w:eastAsia="en-GB"/>
        </w:rPr>
        <w:t>.”</w:t>
      </w:r>
    </w:p>
    <w:p w14:paraId="3CF1D9F3" w14:textId="25431047" w:rsidR="00785688" w:rsidRDefault="00785688" w:rsidP="00785688">
      <w:pPr>
        <w:spacing w:line="259" w:lineRule="auto"/>
        <w:rPr>
          <w:rFonts w:ascii="Arial" w:eastAsia="Times New Roman" w:hAnsi="Arial" w:cs="Arial"/>
          <w:bCs/>
          <w:lang w:eastAsia="en-GB"/>
        </w:rPr>
      </w:pPr>
    </w:p>
    <w:p w14:paraId="6766FD4B" w14:textId="77777777" w:rsidR="00701B46" w:rsidRDefault="00785688" w:rsidP="00785688">
      <w:pPr>
        <w:spacing w:line="259" w:lineRule="auto"/>
        <w:rPr>
          <w:rFonts w:ascii="Arial" w:eastAsia="Times New Roman" w:hAnsi="Arial" w:cs="Arial"/>
          <w:bCs/>
          <w:lang w:eastAsia="en-GB"/>
        </w:rPr>
      </w:pPr>
      <w:r>
        <w:rPr>
          <w:rFonts w:ascii="Arial" w:eastAsia="Times New Roman" w:hAnsi="Arial" w:cs="Arial"/>
          <w:bCs/>
          <w:lang w:eastAsia="en-GB"/>
        </w:rPr>
        <w:t xml:space="preserve">Broken Windows Theory covers a large approach to dealing with criminality. However, perhaps an even larger and more often overlooked approach would be the Problem Oriented Policing approach. </w:t>
      </w:r>
      <w:r w:rsidR="00C43479">
        <w:rPr>
          <w:rFonts w:ascii="Arial" w:eastAsia="Times New Roman" w:hAnsi="Arial" w:cs="Arial"/>
          <w:bCs/>
          <w:lang w:eastAsia="en-GB"/>
        </w:rPr>
        <w:t xml:space="preserve">This approach is focused on tackling the problems as they appeared within the community, rather than preventing them from arising in the first place. With the invention of modern technologies, such as the Police Vehicle, and the Personal Radio, it’s now possible to be told by a control room operator where to go, why you’re going and how </w:t>
      </w:r>
      <w:r w:rsidR="00C43479">
        <w:rPr>
          <w:rFonts w:ascii="Arial" w:eastAsia="Times New Roman" w:hAnsi="Arial" w:cs="Arial"/>
          <w:bCs/>
          <w:lang w:eastAsia="en-GB"/>
        </w:rPr>
        <w:lastRenderedPageBreak/>
        <w:t xml:space="preserve">fast you need to go. </w:t>
      </w:r>
      <w:r w:rsidR="00CC29A5">
        <w:rPr>
          <w:rFonts w:ascii="Arial" w:eastAsia="Times New Roman" w:hAnsi="Arial" w:cs="Arial"/>
          <w:bCs/>
          <w:lang w:eastAsia="en-GB"/>
        </w:rPr>
        <w:t xml:space="preserve">Incidents would often be resolved as a ‘problem’ to be solved in that moment, rather than a recurring issue, potentially leaving neighbours and members of the public to watch these problems arise time and time again. </w:t>
      </w:r>
      <w:r w:rsidR="0013312D">
        <w:rPr>
          <w:rFonts w:ascii="Arial" w:eastAsia="Times New Roman" w:hAnsi="Arial" w:cs="Arial"/>
          <w:bCs/>
          <w:lang w:eastAsia="en-GB"/>
        </w:rPr>
        <w:t>“</w:t>
      </w:r>
      <w:r w:rsidR="0013312D" w:rsidRPr="0013312D">
        <w:rPr>
          <w:rFonts w:ascii="Arial" w:eastAsia="Times New Roman" w:hAnsi="Arial" w:cs="Arial"/>
          <w:bCs/>
          <w:lang w:eastAsia="en-GB"/>
        </w:rPr>
        <w:t>Goldstein went some way to addressing these issues, with his approach to problem-oriented policing (POP). Basically, a ‘problem’ is considered to be something that promotes</w:t>
      </w:r>
      <w:r w:rsidR="0013312D">
        <w:rPr>
          <w:rFonts w:ascii="Arial" w:eastAsia="Times New Roman" w:hAnsi="Arial" w:cs="Arial"/>
          <w:bCs/>
          <w:lang w:eastAsia="en-GB"/>
        </w:rPr>
        <w:t xml:space="preserve"> </w:t>
      </w:r>
      <w:r w:rsidR="0013312D" w:rsidRPr="0013312D">
        <w:rPr>
          <w:rFonts w:ascii="Arial" w:eastAsia="Times New Roman" w:hAnsi="Arial" w:cs="Arial"/>
          <w:bCs/>
          <w:lang w:eastAsia="en-GB"/>
        </w:rPr>
        <w:t>substantial community concerns and police are encouraged to consider problems in</w:t>
      </w:r>
      <w:r w:rsidR="0013312D">
        <w:rPr>
          <w:rFonts w:ascii="Arial" w:eastAsia="Times New Roman" w:hAnsi="Arial" w:cs="Arial"/>
          <w:bCs/>
          <w:lang w:eastAsia="en-GB"/>
        </w:rPr>
        <w:t xml:space="preserve"> </w:t>
      </w:r>
      <w:r w:rsidR="0013312D" w:rsidRPr="0013312D">
        <w:rPr>
          <w:rFonts w:ascii="Arial" w:eastAsia="Times New Roman" w:hAnsi="Arial" w:cs="Arial"/>
          <w:bCs/>
          <w:lang w:eastAsia="en-GB"/>
        </w:rPr>
        <w:t>‘clusters’ as opposed to single incidents. POP dictates that police research into the</w:t>
      </w:r>
      <w:r w:rsidR="0013312D">
        <w:rPr>
          <w:rFonts w:ascii="Arial" w:eastAsia="Times New Roman" w:hAnsi="Arial" w:cs="Arial"/>
          <w:bCs/>
          <w:lang w:eastAsia="en-GB"/>
        </w:rPr>
        <w:t xml:space="preserve"> </w:t>
      </w:r>
      <w:r w:rsidR="0013312D" w:rsidRPr="0013312D">
        <w:rPr>
          <w:rFonts w:ascii="Arial" w:eastAsia="Times New Roman" w:hAnsi="Arial" w:cs="Arial"/>
          <w:bCs/>
          <w:lang w:eastAsia="en-GB"/>
        </w:rPr>
        <w:t>underlying problems that affect the safety of the community they serv</w:t>
      </w:r>
      <w:r w:rsidR="0013312D">
        <w:rPr>
          <w:rFonts w:ascii="Arial" w:eastAsia="Times New Roman" w:hAnsi="Arial" w:cs="Arial"/>
          <w:bCs/>
          <w:lang w:eastAsia="en-GB"/>
        </w:rPr>
        <w:t>e” (</w:t>
      </w:r>
      <w:r w:rsidR="0013312D" w:rsidRPr="0040300A">
        <w:rPr>
          <w:rFonts w:ascii="Arial" w:eastAsia="Times New Roman" w:hAnsi="Arial" w:cs="Arial"/>
          <w:bCs/>
          <w:lang w:eastAsia="en-GB"/>
        </w:rPr>
        <w:t>Blake, Sheldon and Williams, 2010</w:t>
      </w:r>
      <w:r w:rsidR="0013312D">
        <w:rPr>
          <w:rFonts w:ascii="Arial" w:eastAsia="Times New Roman" w:hAnsi="Arial" w:cs="Arial"/>
          <w:bCs/>
          <w:lang w:eastAsia="en-GB"/>
        </w:rPr>
        <w:t>)</w:t>
      </w:r>
      <w:r w:rsidR="0013312D">
        <w:rPr>
          <w:rFonts w:ascii="Arial" w:eastAsia="Times New Roman" w:hAnsi="Arial" w:cs="Arial"/>
          <w:bCs/>
          <w:lang w:eastAsia="en-GB"/>
        </w:rPr>
        <w:t>. Looking at it from this perspective, if these problems are tackled in clusters, you’re more likely to get to the root of the issue. Furthermore, if you are tackling problems without using the criminal justice system, for example, community workshops to tackle delinquent behaviour, then the success of a multi</w:t>
      </w:r>
      <w:r w:rsidR="00701B46">
        <w:rPr>
          <w:rFonts w:ascii="Arial" w:eastAsia="Times New Roman" w:hAnsi="Arial" w:cs="Arial"/>
          <w:bCs/>
          <w:lang w:eastAsia="en-GB"/>
        </w:rPr>
        <w:t>-</w:t>
      </w:r>
      <w:r w:rsidR="0013312D">
        <w:rPr>
          <w:rFonts w:ascii="Arial" w:eastAsia="Times New Roman" w:hAnsi="Arial" w:cs="Arial"/>
          <w:bCs/>
          <w:lang w:eastAsia="en-GB"/>
        </w:rPr>
        <w:t xml:space="preserve">agency approach is more likely to occur here. </w:t>
      </w:r>
    </w:p>
    <w:p w14:paraId="3F807BBC" w14:textId="77777777" w:rsidR="00701B46" w:rsidRDefault="00701B46" w:rsidP="00785688">
      <w:pPr>
        <w:spacing w:line="259" w:lineRule="auto"/>
        <w:rPr>
          <w:rFonts w:ascii="Arial" w:eastAsia="Times New Roman" w:hAnsi="Arial" w:cs="Arial"/>
          <w:bCs/>
          <w:lang w:eastAsia="en-GB"/>
        </w:rPr>
      </w:pPr>
    </w:p>
    <w:p w14:paraId="78A1C34B" w14:textId="77777777" w:rsidR="0032708E" w:rsidRDefault="00701B46" w:rsidP="00785688">
      <w:pPr>
        <w:spacing w:line="259" w:lineRule="auto"/>
        <w:rPr>
          <w:rFonts w:ascii="Arial" w:eastAsia="Times New Roman" w:hAnsi="Arial" w:cs="Arial"/>
          <w:bCs/>
          <w:lang w:eastAsia="en-GB"/>
        </w:rPr>
      </w:pPr>
      <w:r>
        <w:rPr>
          <w:rFonts w:ascii="Arial" w:eastAsia="Times New Roman" w:hAnsi="Arial" w:cs="Arial"/>
          <w:bCs/>
          <w:lang w:eastAsia="en-GB"/>
        </w:rPr>
        <w:t xml:space="preserve">Perhaps the most simple solution to tackling crime, would be the SARA model. In the SARA model, we look at the information in the S stage, before analysing what the problem or complaint is in the A stage, then moving onto a response in the R stage, perhaps getting a multi agency approach to solving the issue, then finally the last A, which is basically to check if what you’ve done is working. SARA is a simple but effective model, and often cuts to the root cause of the issue fairly quickly if the initial attending Officer can see the incident for what it really is, and not what it’s masquerading as. </w:t>
      </w:r>
    </w:p>
    <w:p w14:paraId="2BF09D2A" w14:textId="77777777" w:rsidR="0032708E" w:rsidRDefault="0032708E" w:rsidP="00785688">
      <w:pPr>
        <w:spacing w:line="259" w:lineRule="auto"/>
        <w:rPr>
          <w:rFonts w:ascii="Arial" w:eastAsia="Times New Roman" w:hAnsi="Arial" w:cs="Arial"/>
          <w:bCs/>
          <w:lang w:eastAsia="en-GB"/>
        </w:rPr>
      </w:pPr>
    </w:p>
    <w:p w14:paraId="5194C208" w14:textId="77777777" w:rsidR="00973013" w:rsidRDefault="0032708E" w:rsidP="00785688">
      <w:pPr>
        <w:spacing w:line="259" w:lineRule="auto"/>
        <w:rPr>
          <w:rFonts w:ascii="Arial" w:eastAsia="Times New Roman" w:hAnsi="Arial" w:cs="Arial"/>
          <w:bCs/>
          <w:lang w:eastAsia="en-GB"/>
        </w:rPr>
      </w:pPr>
      <w:r>
        <w:rPr>
          <w:rFonts w:ascii="Arial" w:eastAsia="Times New Roman" w:hAnsi="Arial" w:cs="Arial"/>
          <w:bCs/>
          <w:lang w:eastAsia="en-GB"/>
        </w:rPr>
        <w:t xml:space="preserve">When conducting an investigation, we must use analytical methods to assess the information that we hold, to check if it’s viable information or not. For example, the SWOT analysis, broken down, means simply, Strengths, Weaknesses, Opportunities and Threats, can be used to examine the information that we have on hand to check if it’s useful in the situation, or detrimental to our circumstances. </w:t>
      </w:r>
      <w:r w:rsidR="00F7745B">
        <w:rPr>
          <w:rFonts w:ascii="Arial" w:eastAsia="Times New Roman" w:hAnsi="Arial" w:cs="Arial"/>
          <w:bCs/>
          <w:lang w:eastAsia="en-GB"/>
        </w:rPr>
        <w:t xml:space="preserve">We can use this model to assess the viability of our information, for example, Strengths of the information could be, is it helpful to achieving the objective, is it useful to the investigation. Weaknesses could be, is this information disproving the investigative direction? In Policing, that’s still useful, however, it changes the dynamic of the investigation somewhat. </w:t>
      </w:r>
    </w:p>
    <w:p w14:paraId="26CF7F81" w14:textId="77777777" w:rsidR="00973013" w:rsidRDefault="00973013" w:rsidP="00785688">
      <w:pPr>
        <w:spacing w:line="259" w:lineRule="auto"/>
        <w:rPr>
          <w:rFonts w:ascii="Arial" w:eastAsia="Times New Roman" w:hAnsi="Arial" w:cs="Arial"/>
          <w:bCs/>
          <w:lang w:eastAsia="en-GB"/>
        </w:rPr>
      </w:pPr>
    </w:p>
    <w:p w14:paraId="606A0E1C" w14:textId="77777777" w:rsidR="00973013" w:rsidRDefault="00973013" w:rsidP="00785688">
      <w:pPr>
        <w:spacing w:line="259" w:lineRule="auto"/>
        <w:rPr>
          <w:rFonts w:ascii="Arial" w:eastAsia="Times New Roman" w:hAnsi="Arial" w:cs="Arial"/>
          <w:bCs/>
          <w:lang w:eastAsia="en-GB"/>
        </w:rPr>
      </w:pPr>
      <w:r>
        <w:rPr>
          <w:rFonts w:ascii="Arial" w:eastAsia="Times New Roman" w:hAnsi="Arial" w:cs="Arial"/>
          <w:bCs/>
          <w:lang w:eastAsia="en-GB"/>
        </w:rPr>
        <w:t xml:space="preserve">To summarise, different approaches to dealing with crime have different strengths and weaknesses, and further to that, they can all be employed in different ways to help achieve the same goal, but in many different ways. It helps to remind us how Policing is not simply one size fits all, and that it’s fluid, dynamic, and changes based on country to country, culture to culture, and even situation to situation. Operational Policing is situational, and different situations may call for different solutions. </w:t>
      </w:r>
    </w:p>
    <w:p w14:paraId="6E44C959" w14:textId="77777777" w:rsidR="00973013" w:rsidRDefault="00973013" w:rsidP="00785688">
      <w:pPr>
        <w:spacing w:line="259" w:lineRule="auto"/>
        <w:rPr>
          <w:rFonts w:ascii="Arial" w:eastAsia="Times New Roman" w:hAnsi="Arial" w:cs="Arial"/>
          <w:bCs/>
          <w:lang w:eastAsia="en-GB"/>
        </w:rPr>
      </w:pPr>
    </w:p>
    <w:p w14:paraId="242C1AAA" w14:textId="054EDC24" w:rsidR="00E10D07" w:rsidRPr="0040300A" w:rsidRDefault="00973013" w:rsidP="00785688">
      <w:pPr>
        <w:spacing w:line="259" w:lineRule="auto"/>
        <w:rPr>
          <w:rFonts w:ascii="Arial" w:eastAsia="Times New Roman" w:hAnsi="Arial" w:cs="Arial"/>
          <w:bCs/>
          <w:lang w:eastAsia="en-GB"/>
        </w:rPr>
      </w:pPr>
      <w:r>
        <w:rPr>
          <w:rFonts w:ascii="Arial" w:eastAsia="Times New Roman" w:hAnsi="Arial" w:cs="Arial"/>
          <w:bCs/>
          <w:lang w:eastAsia="en-GB"/>
        </w:rPr>
        <w:t>(970 words)</w:t>
      </w:r>
      <w:r w:rsidR="00E10D07">
        <w:rPr>
          <w:rFonts w:ascii="Arial" w:eastAsia="Times New Roman" w:hAnsi="Arial" w:cs="Arial"/>
          <w:b/>
          <w:sz w:val="24"/>
          <w:szCs w:val="24"/>
          <w:lang w:eastAsia="en-GB"/>
        </w:rPr>
        <w:br w:type="page"/>
      </w:r>
    </w:p>
    <w:p w14:paraId="456AC546" w14:textId="77777777" w:rsidR="00804EDA" w:rsidRDefault="00804EDA" w:rsidP="00804EDA">
      <w:pPr>
        <w:spacing w:after="0" w:line="240" w:lineRule="auto"/>
        <w:ind w:left="426"/>
        <w:rPr>
          <w:rFonts w:ascii="Arial" w:eastAsia="Times New Roman" w:hAnsi="Arial" w:cs="Arial"/>
          <w:b/>
          <w:sz w:val="24"/>
          <w:szCs w:val="24"/>
          <w:lang w:eastAsia="en-GB"/>
        </w:rPr>
      </w:pPr>
    </w:p>
    <w:p w14:paraId="4B07BD48" w14:textId="77777777" w:rsidR="00804EDA" w:rsidRDefault="00804EDA" w:rsidP="00804EDA">
      <w:pPr>
        <w:spacing w:after="0" w:line="240" w:lineRule="auto"/>
        <w:ind w:left="426"/>
        <w:rPr>
          <w:rFonts w:ascii="Arial" w:eastAsia="Times New Roman" w:hAnsi="Arial" w:cs="Arial"/>
          <w:b/>
          <w:sz w:val="24"/>
          <w:szCs w:val="24"/>
          <w:lang w:eastAsia="en-GB"/>
        </w:rPr>
      </w:pPr>
      <w:r>
        <w:rPr>
          <w:rFonts w:ascii="Arial" w:eastAsia="Times New Roman" w:hAnsi="Arial" w:cs="Arial"/>
          <w:lang w:eastAsia="en-GB"/>
        </w:rPr>
        <w:t>Students are required to complete a 1000-word essay under the following title:</w:t>
      </w:r>
    </w:p>
    <w:p w14:paraId="02F53E9D" w14:textId="77777777" w:rsidR="00804EDA" w:rsidRDefault="00804EDA" w:rsidP="00804EDA">
      <w:pPr>
        <w:spacing w:after="0" w:line="240" w:lineRule="auto"/>
        <w:ind w:left="426"/>
        <w:jc w:val="center"/>
        <w:rPr>
          <w:rFonts w:ascii="Arial" w:eastAsia="Times New Roman" w:hAnsi="Arial" w:cs="Arial"/>
          <w:b/>
          <w:sz w:val="24"/>
          <w:szCs w:val="24"/>
          <w:lang w:eastAsia="en-GB"/>
        </w:rPr>
      </w:pPr>
    </w:p>
    <w:p w14:paraId="156FBD24" w14:textId="77777777" w:rsidR="00804EDA" w:rsidRDefault="00804EDA" w:rsidP="00804EDA">
      <w:pPr>
        <w:spacing w:after="0" w:line="240" w:lineRule="auto"/>
        <w:ind w:left="426"/>
        <w:jc w:val="center"/>
        <w:rPr>
          <w:rFonts w:ascii="Arial" w:eastAsia="Times New Roman" w:hAnsi="Arial" w:cs="Arial"/>
          <w:b/>
          <w:sz w:val="24"/>
          <w:szCs w:val="24"/>
          <w:lang w:eastAsia="en-GB"/>
        </w:rPr>
      </w:pPr>
    </w:p>
    <w:p w14:paraId="7AB7D915" w14:textId="77777777" w:rsidR="00804EDA" w:rsidRDefault="00804EDA" w:rsidP="00804EDA">
      <w:pPr>
        <w:spacing w:after="0" w:line="240" w:lineRule="auto"/>
        <w:ind w:left="426"/>
        <w:jc w:val="center"/>
        <w:rPr>
          <w:rFonts w:ascii="Arial" w:eastAsia="Times New Roman" w:hAnsi="Arial" w:cs="Arial"/>
          <w:b/>
          <w:sz w:val="24"/>
          <w:szCs w:val="24"/>
          <w:lang w:eastAsia="en-GB"/>
        </w:rPr>
      </w:pPr>
    </w:p>
    <w:p w14:paraId="7A0FE4A6" w14:textId="77777777" w:rsidR="00804EDA" w:rsidRDefault="00804EDA" w:rsidP="00804EDA">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Pr>
          <w:rFonts w:ascii="Arial" w:eastAsia="Times New Roman" w:hAnsi="Arial" w:cs="Arial"/>
          <w:lang w:eastAsia="en-GB"/>
        </w:rPr>
        <w:t xml:space="preserve">Critically review key issues relating to the complexity and challenges of operational policing, review examples of critical and major incidents and analyse the role of the police within a joint emergency services operation to establish ‘best practice’. </w:t>
      </w:r>
    </w:p>
    <w:p w14:paraId="4EC3B568" w14:textId="77777777" w:rsidR="00804EDA" w:rsidRDefault="00804EDA" w:rsidP="00804EDA">
      <w:pPr>
        <w:spacing w:after="0" w:line="240" w:lineRule="auto"/>
        <w:ind w:left="426"/>
        <w:rPr>
          <w:rFonts w:ascii="Arial" w:eastAsia="Times New Roman" w:hAnsi="Arial" w:cs="Arial"/>
          <w:b/>
          <w:sz w:val="24"/>
          <w:szCs w:val="24"/>
          <w:lang w:eastAsia="en-GB"/>
        </w:rPr>
      </w:pPr>
    </w:p>
    <w:p w14:paraId="45132F6C" w14:textId="77777777" w:rsidR="00804EDA" w:rsidRDefault="00804EDA" w:rsidP="00804EDA">
      <w:pPr>
        <w:spacing w:after="0" w:line="240" w:lineRule="auto"/>
        <w:ind w:left="426"/>
        <w:jc w:val="center"/>
        <w:rPr>
          <w:rFonts w:ascii="Arial" w:eastAsia="Times New Roman" w:hAnsi="Arial" w:cs="Arial"/>
          <w:b/>
          <w:sz w:val="24"/>
          <w:szCs w:val="24"/>
          <w:lang w:eastAsia="en-GB"/>
        </w:rPr>
      </w:pPr>
    </w:p>
    <w:p w14:paraId="40FA44BC" w14:textId="77777777" w:rsidR="00B234F7" w:rsidRDefault="0071776C">
      <w:pPr>
        <w:spacing w:line="259" w:lineRule="auto"/>
        <w:rPr>
          <w:rFonts w:ascii="Arial" w:eastAsia="Times New Roman" w:hAnsi="Arial" w:cs="Arial"/>
          <w:lang w:eastAsia="en-GB"/>
        </w:rPr>
      </w:pPr>
      <w:r>
        <w:rPr>
          <w:rFonts w:ascii="Arial" w:eastAsia="Times New Roman" w:hAnsi="Arial" w:cs="Arial"/>
          <w:lang w:eastAsia="en-GB"/>
        </w:rPr>
        <w:t>The Police Service is constantly evolving, changing, adapting. This is no exception when it comes to major and critical incidents. JESIP defines a ‘Major Incident’ as “</w:t>
      </w:r>
      <w:r w:rsidRPr="0071776C">
        <w:rPr>
          <w:rFonts w:ascii="Arial" w:eastAsia="Times New Roman" w:hAnsi="Arial" w:cs="Arial"/>
          <w:lang w:eastAsia="en-GB"/>
        </w:rPr>
        <w:t>A major incident is beyond the scope of business-as-usual operations, and is likely to involve serious harm, damage, disruption or risk to human life or welfare, essential services, the environment or national security</w:t>
      </w:r>
      <w:r>
        <w:rPr>
          <w:rFonts w:ascii="Arial" w:eastAsia="Times New Roman" w:hAnsi="Arial" w:cs="Arial"/>
          <w:lang w:eastAsia="en-GB"/>
        </w:rPr>
        <w:t xml:space="preserve">” </w:t>
      </w:r>
      <w:r w:rsidR="00375158" w:rsidRPr="00375158">
        <w:rPr>
          <w:rFonts w:ascii="Arial" w:eastAsia="Times New Roman" w:hAnsi="Arial" w:cs="Arial"/>
          <w:lang w:eastAsia="en-GB"/>
        </w:rPr>
        <w:t>(JESIP - Working together, Saving Lives, 2021)</w:t>
      </w:r>
      <w:r w:rsidR="00375158">
        <w:rPr>
          <w:rFonts w:ascii="Arial" w:eastAsia="Times New Roman" w:hAnsi="Arial" w:cs="Arial"/>
          <w:lang w:eastAsia="en-GB"/>
        </w:rPr>
        <w:t>.</w:t>
      </w:r>
      <w:r w:rsidR="004854EB">
        <w:rPr>
          <w:rFonts w:ascii="Arial" w:eastAsia="Times New Roman" w:hAnsi="Arial" w:cs="Arial"/>
          <w:lang w:eastAsia="en-GB"/>
        </w:rPr>
        <w:t xml:space="preserve"> JESIP is the governing body for how Police, Fire Service, Ambulance and other emergency response agencies can work together in a major or critical incident, and work together as one rather than stepping on each others toes. </w:t>
      </w:r>
    </w:p>
    <w:p w14:paraId="32E549DE" w14:textId="77777777" w:rsidR="00B234F7" w:rsidRDefault="00B234F7">
      <w:pPr>
        <w:spacing w:line="259" w:lineRule="auto"/>
        <w:rPr>
          <w:rFonts w:ascii="Arial" w:eastAsia="Times New Roman" w:hAnsi="Arial" w:cs="Arial"/>
          <w:lang w:eastAsia="en-GB"/>
        </w:rPr>
      </w:pPr>
    </w:p>
    <w:p w14:paraId="369F4950" w14:textId="7AE603E9" w:rsidR="00B234F7" w:rsidRDefault="00B234F7">
      <w:pPr>
        <w:spacing w:line="259" w:lineRule="auto"/>
        <w:rPr>
          <w:rFonts w:ascii="Arial" w:eastAsia="Times New Roman" w:hAnsi="Arial" w:cs="Arial"/>
          <w:lang w:eastAsia="en-GB"/>
        </w:rPr>
      </w:pPr>
      <w:r>
        <w:rPr>
          <w:rFonts w:ascii="Arial" w:eastAsia="Times New Roman" w:hAnsi="Arial" w:cs="Arial"/>
          <w:lang w:eastAsia="en-GB"/>
        </w:rPr>
        <w:t>Operational Policing is a difficult concept to get right; primarily because the law is the law, and it applies equally throughout society. The law applies in every situation that an operational Police Officer may end up involved in, and not just the law, but every law applies. There are exceptions to some laws, some laws that make use for an operational Police Officer to use certain powers, certain uses of force, that would otherwise be illegal in society. However, this is not without it’s challenges. One big challenge facing Operational Policing, would be the challenge to balance the Human Rights of citizens into the day to day job. “</w:t>
      </w:r>
      <w:r w:rsidRPr="00B234F7">
        <w:rPr>
          <w:rFonts w:ascii="Arial" w:eastAsia="Times New Roman" w:hAnsi="Arial" w:cs="Arial"/>
          <w:lang w:eastAsia="en-GB"/>
        </w:rPr>
        <w:t>The lack of widespread knowledge of and application of human rights case law meant there was little to assist those on the policing frontline to make tough decisions in often very tight timescales. This position did not last long. Soon there were a number of tragic incidents where police action or inaction brought section 6 of the HRA firmly into focus. Section 6 states: 'It is unlawful for a public authority to act in a way which is incompatible with a Convention right', where '"An act" includes a failure to act'</w:t>
      </w:r>
      <w:r>
        <w:rPr>
          <w:rFonts w:ascii="Arial" w:eastAsia="Times New Roman" w:hAnsi="Arial" w:cs="Arial"/>
          <w:lang w:eastAsia="en-GB"/>
        </w:rPr>
        <w:t xml:space="preserve">” </w:t>
      </w:r>
      <w:r w:rsidRPr="00B234F7">
        <w:rPr>
          <w:rFonts w:ascii="Arial" w:eastAsia="Times New Roman" w:hAnsi="Arial" w:cs="Arial"/>
          <w:lang w:eastAsia="en-GB"/>
        </w:rPr>
        <w:t>(Poolman, Wilshaw and Grace, 2019)</w:t>
      </w:r>
      <w:r>
        <w:rPr>
          <w:rFonts w:ascii="Arial" w:eastAsia="Times New Roman" w:hAnsi="Arial" w:cs="Arial"/>
          <w:lang w:eastAsia="en-GB"/>
        </w:rPr>
        <w:t xml:space="preserve">. This goes on to say that there is a duty to act where it’s appropriate to act, and by not acting, that in itself, is acting inappropriately. This is a big challenge to operational policing, and one that must be overcome if the confidence of the public is to be achieved. This presents a complex issue, where there are multiple ways to tackle the problem, but also multiple ways to tackle the problem incorrectly. Furthermore, we do not always know what the problem is, and it’s such an easy thing to get wrong. </w:t>
      </w:r>
      <w:r w:rsidR="00C26F85">
        <w:rPr>
          <w:rFonts w:ascii="Arial" w:eastAsia="Times New Roman" w:hAnsi="Arial" w:cs="Arial"/>
          <w:lang w:eastAsia="en-GB"/>
        </w:rPr>
        <w:t>Changes to the law and policies over the years have helped the Police service to adapt and overcome these issues; obviously not without their own issues themselves. “</w:t>
      </w:r>
      <w:r w:rsidR="00C26F85" w:rsidRPr="00C26F85">
        <w:rPr>
          <w:rFonts w:ascii="Arial" w:eastAsia="Times New Roman" w:hAnsi="Arial" w:cs="Arial"/>
          <w:lang w:eastAsia="en-GB"/>
        </w:rPr>
        <w:t>Various tragic cases have also prompted legislative and policy changes to assist the police in fulfilling their positive obligation under article 2 ECHR, and in protecting the lives of vulnerable victims. The introduction of the Child Sex Offender Disclosure Scheme (CSODS), known as 'Sarah's Law', in 2011, and the Domestic Violence Disclosure Scheme (DVDS), known as 'Clare's Law', in 2014, and Domestic Violence Protection Notices/Orders in 2015, have further strengthened the procedural focus on human rights and in particular on the right to life, with a greater emphasis than ever before on the need to be proactive in policing with the purpose of protecting vulnerable victims from harm</w:t>
      </w:r>
      <w:r w:rsidR="00C26F85">
        <w:rPr>
          <w:rFonts w:ascii="Arial" w:eastAsia="Times New Roman" w:hAnsi="Arial" w:cs="Arial"/>
          <w:lang w:eastAsia="en-GB"/>
        </w:rPr>
        <w:t xml:space="preserve">” </w:t>
      </w:r>
      <w:r w:rsidR="00C26F85" w:rsidRPr="00C26F85">
        <w:rPr>
          <w:rFonts w:ascii="Arial" w:eastAsia="Times New Roman" w:hAnsi="Arial" w:cs="Arial"/>
          <w:lang w:eastAsia="en-GB"/>
        </w:rPr>
        <w:t>(Poolman, Wilshaw and Grace, 2019)</w:t>
      </w:r>
      <w:r w:rsidR="00C26F85">
        <w:rPr>
          <w:rFonts w:ascii="Arial" w:eastAsia="Times New Roman" w:hAnsi="Arial" w:cs="Arial"/>
          <w:lang w:eastAsia="en-GB"/>
        </w:rPr>
        <w:t xml:space="preserve">. These schemes are important to keep in mind when analysing the challenges and complexities of </w:t>
      </w:r>
      <w:r w:rsidR="00C26F85">
        <w:rPr>
          <w:rFonts w:ascii="Arial" w:eastAsia="Times New Roman" w:hAnsi="Arial" w:cs="Arial"/>
          <w:lang w:eastAsia="en-GB"/>
        </w:rPr>
        <w:lastRenderedPageBreak/>
        <w:t xml:space="preserve">these challenges in operational policing. They also go a long way to helping the Police service avoid major and critical incidents. </w:t>
      </w:r>
    </w:p>
    <w:p w14:paraId="653100B9" w14:textId="23F59572" w:rsidR="00734140" w:rsidRDefault="00734140">
      <w:pPr>
        <w:spacing w:line="259" w:lineRule="auto"/>
        <w:rPr>
          <w:rFonts w:ascii="Arial" w:eastAsia="Times New Roman" w:hAnsi="Arial" w:cs="Arial"/>
          <w:lang w:eastAsia="en-GB"/>
        </w:rPr>
      </w:pPr>
    </w:p>
    <w:p w14:paraId="1F7300E5" w14:textId="15155171" w:rsidR="00734140" w:rsidRDefault="00734140">
      <w:pPr>
        <w:spacing w:line="259" w:lineRule="auto"/>
        <w:rPr>
          <w:rFonts w:ascii="Arial" w:eastAsia="Times New Roman" w:hAnsi="Arial" w:cs="Arial"/>
          <w:lang w:eastAsia="en-GB"/>
        </w:rPr>
      </w:pPr>
      <w:r>
        <w:rPr>
          <w:rFonts w:ascii="Arial" w:eastAsia="Times New Roman" w:hAnsi="Arial" w:cs="Arial"/>
          <w:lang w:eastAsia="en-GB"/>
        </w:rPr>
        <w:t xml:space="preserve">With regards to Major and Critical incidents, the Police service has a large role to play in dealing with such incidents. While the Police have a large role, it’s important to remember that they do not have the only role to play in such incidents. </w:t>
      </w:r>
      <w:r w:rsidR="00E058CD">
        <w:rPr>
          <w:rFonts w:ascii="Arial" w:eastAsia="Times New Roman" w:hAnsi="Arial" w:cs="Arial"/>
          <w:lang w:eastAsia="en-GB"/>
        </w:rPr>
        <w:t xml:space="preserve">In the UK, Police often apply a tiered approach to managing critical incidents, with a Gold Commander usually at the helm. </w:t>
      </w:r>
      <w:r w:rsidR="00923B70">
        <w:rPr>
          <w:rFonts w:ascii="Arial" w:eastAsia="Times New Roman" w:hAnsi="Arial" w:cs="Arial"/>
          <w:lang w:eastAsia="en-GB"/>
        </w:rPr>
        <w:t>With regards to a live critical incident, we can look at the Cumbria Spree Killings. “</w:t>
      </w:r>
      <w:r w:rsidR="00923B70" w:rsidRPr="00923B70">
        <w:rPr>
          <w:rFonts w:ascii="Arial" w:eastAsia="Times New Roman" w:hAnsi="Arial" w:cs="Arial"/>
          <w:lang w:eastAsia="en-GB"/>
        </w:rPr>
        <w:t>The police evaluation that followed showed the Gold, Silver, Bronze command and control approach was deployed, using appropriately skilled staff who were aware of their roles. This management process was invoked relatively quickly, with the Gold Commander co-ordinating the response from the operations room shortly after the initial call was received; albeit the full command structure took just under the hour to implement. Similarly although no armed officers were immediately available at the scene of the shooting, subsequent requests delivered over 30 armed police officers to the search area within the hour</w:t>
      </w:r>
      <w:r w:rsidR="00923B70">
        <w:rPr>
          <w:rFonts w:ascii="Arial" w:eastAsia="Times New Roman" w:hAnsi="Arial" w:cs="Arial"/>
          <w:lang w:eastAsia="en-GB"/>
        </w:rPr>
        <w:t xml:space="preserve">” </w:t>
      </w:r>
      <w:r w:rsidR="00923B70" w:rsidRPr="00923B70">
        <w:rPr>
          <w:rFonts w:ascii="Arial" w:eastAsia="Times New Roman" w:hAnsi="Arial" w:cs="Arial"/>
          <w:lang w:eastAsia="en-GB"/>
        </w:rPr>
        <w:t>(Kirby, Graham and Green, 2014)</w:t>
      </w:r>
      <w:r w:rsidR="00923B70">
        <w:rPr>
          <w:rFonts w:ascii="Arial" w:eastAsia="Times New Roman" w:hAnsi="Arial" w:cs="Arial"/>
          <w:lang w:eastAsia="en-GB"/>
        </w:rPr>
        <w:t>.</w:t>
      </w:r>
      <w:r w:rsidR="00F64768">
        <w:rPr>
          <w:rFonts w:ascii="Arial" w:eastAsia="Times New Roman" w:hAnsi="Arial" w:cs="Arial"/>
          <w:lang w:eastAsia="en-GB"/>
        </w:rPr>
        <w:t xml:space="preserve"> This shows that the tiered approach of Bronze, Silver and Gold helps to place into action resources that are required; and although these aren’t available immediately, as long as they are available in a timely manner, it will contribute to the end goal. With regards to establishing a ‘best practice’, following a structured model helps get closer to a best practice model. The tiered approach demonstrated above, helps us to understand how having the tiered approach helps achieve a more consistent response to major and critical incidents, especially when a critical incident is one where the victim or the victim’s family will have their opinions directly influenced by the response of the Police service to that specific event, the best practice model is even more important when it comes to confidence in Policing</w:t>
      </w:r>
      <w:r w:rsidR="00342A20">
        <w:rPr>
          <w:rFonts w:ascii="Arial" w:eastAsia="Times New Roman" w:hAnsi="Arial" w:cs="Arial"/>
          <w:lang w:eastAsia="en-GB"/>
        </w:rPr>
        <w:t>, and the way we Police. However, when we look at the response of a multi agency response with regards to the Cumbria incident, we can identify issues with the joint emergency services response, and highlight how critical and integral the role of the Police are. “</w:t>
      </w:r>
      <w:r w:rsidR="00342A20" w:rsidRPr="00342A20">
        <w:rPr>
          <w:rFonts w:ascii="Arial" w:eastAsia="Times New Roman" w:hAnsi="Arial" w:cs="Arial"/>
          <w:lang w:eastAsia="en-GB"/>
        </w:rPr>
        <w:t>For example, although the ambulance service was able to place a significant level of resources in the relevant area these were often not deployed, despite multiple requests. The simple reason for this was that the commanders of the North West Ambulance Service followed national policy in not deploying their staff, to an area that a shooting had occurred, unless the police could confirm it as safe</w:t>
      </w:r>
      <w:r w:rsidR="00342A20">
        <w:rPr>
          <w:rFonts w:ascii="Arial" w:eastAsia="Times New Roman" w:hAnsi="Arial" w:cs="Arial"/>
          <w:lang w:eastAsia="en-GB"/>
        </w:rPr>
        <w:t xml:space="preserve">” </w:t>
      </w:r>
      <w:r w:rsidR="00342A20" w:rsidRPr="00923B70">
        <w:rPr>
          <w:rFonts w:ascii="Arial" w:eastAsia="Times New Roman" w:hAnsi="Arial" w:cs="Arial"/>
          <w:lang w:eastAsia="en-GB"/>
        </w:rPr>
        <w:t>(Kirby, Graham and Green, 2014)</w:t>
      </w:r>
      <w:r w:rsidR="00342A20">
        <w:rPr>
          <w:rFonts w:ascii="Arial" w:eastAsia="Times New Roman" w:hAnsi="Arial" w:cs="Arial"/>
          <w:lang w:eastAsia="en-GB"/>
        </w:rPr>
        <w:t>.</w:t>
      </w:r>
      <w:r w:rsidR="00342A20">
        <w:rPr>
          <w:rFonts w:ascii="Arial" w:eastAsia="Times New Roman" w:hAnsi="Arial" w:cs="Arial"/>
          <w:lang w:eastAsia="en-GB"/>
        </w:rPr>
        <w:t xml:space="preserve"> This goes a long way to showing that the Police often directly influence the response of other services, regardless of if that is their intention or not. Best Practice would be to have a model that simply works, not a model where Police, Ambulance, Fire and anyone else are all operating off of a different rule book. </w:t>
      </w:r>
    </w:p>
    <w:p w14:paraId="17E92A97" w14:textId="41548ACF" w:rsidR="00B234F7" w:rsidRDefault="00342A20">
      <w:pPr>
        <w:spacing w:line="259" w:lineRule="auto"/>
        <w:rPr>
          <w:rFonts w:ascii="Arial" w:eastAsia="Times New Roman" w:hAnsi="Arial" w:cs="Arial"/>
          <w:lang w:eastAsia="en-GB"/>
        </w:rPr>
      </w:pPr>
      <w:r>
        <w:rPr>
          <w:rFonts w:ascii="Arial" w:eastAsia="Times New Roman" w:hAnsi="Arial" w:cs="Arial"/>
          <w:lang w:eastAsia="en-GB"/>
        </w:rPr>
        <w:t>(1060 words)</w:t>
      </w:r>
      <w:r w:rsidR="00B234F7">
        <w:rPr>
          <w:rFonts w:ascii="Arial" w:eastAsia="Times New Roman" w:hAnsi="Arial" w:cs="Arial"/>
          <w:lang w:eastAsia="en-GB"/>
        </w:rPr>
        <w:br w:type="page"/>
      </w:r>
    </w:p>
    <w:p w14:paraId="0F005394" w14:textId="77777777" w:rsidR="00E10D07" w:rsidRDefault="00E10D07">
      <w:pPr>
        <w:spacing w:line="259" w:lineRule="auto"/>
        <w:rPr>
          <w:rFonts w:ascii="Arial" w:eastAsia="Times New Roman" w:hAnsi="Arial" w:cs="Arial"/>
          <w:lang w:eastAsia="en-GB"/>
        </w:rPr>
      </w:pPr>
    </w:p>
    <w:p w14:paraId="0C0F1782" w14:textId="2C1EDA09" w:rsidR="00804EDA" w:rsidRDefault="00804EDA" w:rsidP="00804EDA">
      <w:pPr>
        <w:spacing w:after="0" w:line="240" w:lineRule="auto"/>
        <w:ind w:left="426"/>
        <w:rPr>
          <w:rFonts w:ascii="Arial" w:eastAsia="Times New Roman" w:hAnsi="Arial" w:cs="Arial"/>
          <w:b/>
          <w:sz w:val="24"/>
          <w:szCs w:val="24"/>
          <w:lang w:eastAsia="en-GB"/>
        </w:rPr>
      </w:pPr>
      <w:r>
        <w:rPr>
          <w:rFonts w:ascii="Arial" w:eastAsia="Times New Roman" w:hAnsi="Arial" w:cs="Arial"/>
          <w:lang w:eastAsia="en-GB"/>
        </w:rPr>
        <w:t>Students are required to complete a 1000-word essay under the following title:</w:t>
      </w:r>
    </w:p>
    <w:p w14:paraId="3A057E77" w14:textId="77777777" w:rsidR="00804EDA" w:rsidRDefault="00804EDA" w:rsidP="00804EDA">
      <w:pPr>
        <w:spacing w:after="0" w:line="240" w:lineRule="auto"/>
        <w:ind w:left="426"/>
        <w:rPr>
          <w:rFonts w:ascii="Arial" w:eastAsia="Times New Roman" w:hAnsi="Arial" w:cs="Arial"/>
          <w:b/>
          <w:sz w:val="24"/>
          <w:szCs w:val="24"/>
          <w:lang w:eastAsia="en-GB"/>
        </w:rPr>
      </w:pPr>
    </w:p>
    <w:p w14:paraId="7FD16375" w14:textId="0C1C3BE3" w:rsidR="00804EDA" w:rsidRDefault="00804EDA" w:rsidP="00804ED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Analyse the potential links between terrorism and other forms of criminality and discuss how policing the roads assist in counter terrorism investigation</w:t>
      </w:r>
    </w:p>
    <w:p w14:paraId="7615BBBA" w14:textId="31AA2CB2" w:rsidR="00CC7AC1" w:rsidRDefault="00973013" w:rsidP="00804ED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 xml:space="preserve">Terrorism, broken down in it’s simplest form is like any other crime, and can be committed by anyone, anywhere, any time. We only have to look at recent events, such as the Ariana Grande concert in 2017 in Manchester to understand that terrorism is a very real threat to our society, and can be handled using many of the same tactics as traditional policing. </w:t>
      </w:r>
      <w:r w:rsidR="003A6E9C">
        <w:rPr>
          <w:rFonts w:ascii="Arial" w:eastAsia="Times New Roman" w:hAnsi="Arial" w:cs="Arial"/>
          <w:lang w:eastAsia="en-GB"/>
        </w:rPr>
        <w:t>Specific incidents may well call for different tactics, but in general, good community policing helps to safeguard our communities against this threat.</w:t>
      </w:r>
    </w:p>
    <w:p w14:paraId="68817C95" w14:textId="4A954AC0" w:rsidR="00CC07D3" w:rsidRDefault="00CC07D3" w:rsidP="00804ED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79AB51D4" w14:textId="77777777" w:rsidR="00CC07D3" w:rsidRDefault="00CC07D3" w:rsidP="00CC07D3">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The Crown Prosecution Service outlines Terrorism as “</w:t>
      </w:r>
      <w:r w:rsidRPr="00CC07D3">
        <w:rPr>
          <w:rFonts w:ascii="Arial" w:eastAsia="Times New Roman" w:hAnsi="Arial" w:cs="Arial"/>
          <w:lang w:eastAsia="en-GB"/>
        </w:rPr>
        <w:t>Terrorism is the use or threat of action, both in and outside of the UK, designed to influence any international government organisation or to intimidate the public.  It must also be for the purpose of advancing a political, religious, racial or ideological cause.</w:t>
      </w:r>
    </w:p>
    <w:p w14:paraId="1ACAF60A" w14:textId="78DE0D26" w:rsidR="00CC07D3" w:rsidRDefault="00CC07D3" w:rsidP="00CC07D3">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CC07D3">
        <w:rPr>
          <w:rFonts w:ascii="Arial" w:eastAsia="Times New Roman" w:hAnsi="Arial" w:cs="Arial"/>
          <w:lang w:eastAsia="en-GB"/>
        </w:rPr>
        <w:t>Examples include:</w:t>
      </w:r>
    </w:p>
    <w:p w14:paraId="10A3382D" w14:textId="78F99B62" w:rsidR="00CC07D3" w:rsidRPr="00CC07D3" w:rsidRDefault="00CC07D3" w:rsidP="00CC07D3">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CC07D3">
        <w:rPr>
          <w:rFonts w:ascii="Arial" w:eastAsia="Times New Roman" w:hAnsi="Arial" w:cs="Arial"/>
          <w:lang w:eastAsia="en-GB"/>
        </w:rPr>
        <w:t>serious violence against a person or damage to property,</w:t>
      </w:r>
    </w:p>
    <w:p w14:paraId="60AECDCB" w14:textId="77777777" w:rsidR="00CC07D3" w:rsidRPr="00CC07D3" w:rsidRDefault="00CC07D3" w:rsidP="00CC07D3">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CC07D3">
        <w:rPr>
          <w:rFonts w:ascii="Arial" w:eastAsia="Times New Roman" w:hAnsi="Arial" w:cs="Arial"/>
          <w:lang w:eastAsia="en-GB"/>
        </w:rPr>
        <w:t>endangering a person's life (other than that of the person committing the action),</w:t>
      </w:r>
    </w:p>
    <w:p w14:paraId="2D19CE79" w14:textId="77777777" w:rsidR="00CC07D3" w:rsidRPr="00CC07D3" w:rsidRDefault="00CC07D3" w:rsidP="00CC07D3">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CC07D3">
        <w:rPr>
          <w:rFonts w:ascii="Arial" w:eastAsia="Times New Roman" w:hAnsi="Arial" w:cs="Arial"/>
          <w:lang w:eastAsia="en-GB"/>
        </w:rPr>
        <w:t>creating a serious risk to the health or safety of the public or a section of the public,</w:t>
      </w:r>
    </w:p>
    <w:p w14:paraId="5212B6BF" w14:textId="77777777" w:rsidR="00CC07D3" w:rsidRPr="00CC07D3" w:rsidRDefault="00CC07D3" w:rsidP="00CC07D3">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CC07D3">
        <w:rPr>
          <w:rFonts w:ascii="Arial" w:eastAsia="Times New Roman" w:hAnsi="Arial" w:cs="Arial"/>
          <w:lang w:eastAsia="en-GB"/>
        </w:rPr>
        <w:t>action designed to seriously interfere with or seriously to disrupt an electronic system.</w:t>
      </w:r>
    </w:p>
    <w:p w14:paraId="5C6193CC" w14:textId="177ADD77" w:rsidR="00CC07D3" w:rsidRDefault="00CC07D3" w:rsidP="00CC07D3">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CC07D3">
        <w:rPr>
          <w:rFonts w:ascii="Arial" w:eastAsia="Times New Roman" w:hAnsi="Arial" w:cs="Arial"/>
          <w:lang w:eastAsia="en-GB"/>
        </w:rPr>
        <w:t>It is important to note that in order to be convicted of a terrorism offence a person doesn't actually have to commit what could be considered a terrorist attack. Planning, assisting and even collecting information on how to commit terrorist acts are all crimes under British terrorism legislation</w:t>
      </w:r>
      <w:r>
        <w:rPr>
          <w:rFonts w:ascii="Arial" w:eastAsia="Times New Roman" w:hAnsi="Arial" w:cs="Arial"/>
          <w:lang w:eastAsia="en-GB"/>
        </w:rPr>
        <w:t xml:space="preserve">” </w:t>
      </w:r>
      <w:r w:rsidRPr="00CC07D3">
        <w:rPr>
          <w:rFonts w:ascii="Arial" w:eastAsia="Times New Roman" w:hAnsi="Arial" w:cs="Arial"/>
          <w:lang w:eastAsia="en-GB"/>
        </w:rPr>
        <w:t>(Terrorism | The Crown Prosecution Service, 2021)</w:t>
      </w:r>
      <w:r>
        <w:rPr>
          <w:rFonts w:ascii="Arial" w:eastAsia="Times New Roman" w:hAnsi="Arial" w:cs="Arial"/>
          <w:lang w:eastAsia="en-GB"/>
        </w:rPr>
        <w:t>.</w:t>
      </w:r>
    </w:p>
    <w:p w14:paraId="5AA8C400" w14:textId="1774127D" w:rsidR="00CB10C2" w:rsidRDefault="00CB10C2" w:rsidP="00804ED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5AF5FAC2" w14:textId="1D3A8A42" w:rsidR="00CB10C2" w:rsidRDefault="00CB10C2" w:rsidP="00081875">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 xml:space="preserve">A large threat of terrorism comes from the ‘Insider Threat’. </w:t>
      </w:r>
      <w:r w:rsidR="00081875">
        <w:rPr>
          <w:rFonts w:ascii="Arial" w:eastAsia="Times New Roman" w:hAnsi="Arial" w:cs="Arial"/>
          <w:lang w:eastAsia="en-GB"/>
        </w:rPr>
        <w:t>“</w:t>
      </w:r>
      <w:r w:rsidR="00081875" w:rsidRPr="00081875">
        <w:rPr>
          <w:rFonts w:ascii="Arial" w:eastAsia="Times New Roman" w:hAnsi="Arial" w:cs="Arial"/>
          <w:lang w:eastAsia="en-GB"/>
        </w:rPr>
        <w:t>CPNI defines an insider as a person who exploits, or has the intention to exploit, their legitimate access to an organisation’s assets for unauthorised purposes.</w:t>
      </w:r>
      <w:r w:rsidR="00081875">
        <w:rPr>
          <w:rFonts w:ascii="Arial" w:eastAsia="Times New Roman" w:hAnsi="Arial" w:cs="Arial"/>
          <w:lang w:eastAsia="en-GB"/>
        </w:rPr>
        <w:t xml:space="preserve"> </w:t>
      </w:r>
      <w:r w:rsidR="00081875" w:rsidRPr="00081875">
        <w:rPr>
          <w:rFonts w:ascii="Arial" w:eastAsia="Times New Roman" w:hAnsi="Arial" w:cs="Arial"/>
          <w:lang w:eastAsia="en-GB"/>
        </w:rPr>
        <w:t>An insider could be a full time or part-time employee, a contractor or even a business partner.</w:t>
      </w:r>
      <w:r w:rsidR="00081875">
        <w:rPr>
          <w:rFonts w:ascii="Arial" w:eastAsia="Times New Roman" w:hAnsi="Arial" w:cs="Arial"/>
          <w:lang w:eastAsia="en-GB"/>
        </w:rPr>
        <w:t xml:space="preserve"> </w:t>
      </w:r>
      <w:r w:rsidR="00081875" w:rsidRPr="00081875">
        <w:rPr>
          <w:rFonts w:ascii="Arial" w:eastAsia="Times New Roman" w:hAnsi="Arial" w:cs="Arial"/>
          <w:lang w:eastAsia="en-GB"/>
        </w:rPr>
        <w:t>An insider could deliberately seek to join your organisation to conduct an insider act, or may be triggered to act at some point during their employment.</w:t>
      </w:r>
      <w:r w:rsidR="00081875">
        <w:rPr>
          <w:rFonts w:ascii="Arial" w:eastAsia="Times New Roman" w:hAnsi="Arial" w:cs="Arial"/>
          <w:lang w:eastAsia="en-GB"/>
        </w:rPr>
        <w:t>” (CPNI, 2021)</w:t>
      </w:r>
      <w:r w:rsidR="0002172D">
        <w:rPr>
          <w:rFonts w:ascii="Arial" w:eastAsia="Times New Roman" w:hAnsi="Arial" w:cs="Arial"/>
          <w:lang w:eastAsia="en-GB"/>
        </w:rPr>
        <w:t xml:space="preserve"> </w:t>
      </w:r>
      <w:r>
        <w:rPr>
          <w:rFonts w:ascii="Arial" w:eastAsia="Times New Roman" w:hAnsi="Arial" w:cs="Arial"/>
          <w:lang w:eastAsia="en-GB"/>
        </w:rPr>
        <w:t>To look at th</w:t>
      </w:r>
      <w:r w:rsidR="0002172D">
        <w:rPr>
          <w:rFonts w:ascii="Arial" w:eastAsia="Times New Roman" w:hAnsi="Arial" w:cs="Arial"/>
          <w:lang w:eastAsia="en-GB"/>
        </w:rPr>
        <w:t>e risk of insider threat</w:t>
      </w:r>
      <w:r>
        <w:rPr>
          <w:rFonts w:ascii="Arial" w:eastAsia="Times New Roman" w:hAnsi="Arial" w:cs="Arial"/>
          <w:lang w:eastAsia="en-GB"/>
        </w:rPr>
        <w:t xml:space="preserve">, we can mostly look at a study surrounding airports; however it’s relevant in a wider security and policing perspective as-well. </w:t>
      </w:r>
      <w:r w:rsidR="00CC07D3">
        <w:rPr>
          <w:rFonts w:ascii="Arial" w:eastAsia="Times New Roman" w:hAnsi="Arial" w:cs="Arial"/>
          <w:lang w:eastAsia="en-GB"/>
        </w:rPr>
        <w:t xml:space="preserve">Most airports are well equipped to deal with active shooter situations, and these could happen for a </w:t>
      </w:r>
      <w:r w:rsidR="0002172D">
        <w:rPr>
          <w:rFonts w:ascii="Arial" w:eastAsia="Times New Roman" w:hAnsi="Arial" w:cs="Arial"/>
          <w:lang w:eastAsia="en-GB"/>
        </w:rPr>
        <w:t>multitude</w:t>
      </w:r>
      <w:r w:rsidR="00CC07D3">
        <w:rPr>
          <w:rFonts w:ascii="Arial" w:eastAsia="Times New Roman" w:hAnsi="Arial" w:cs="Arial"/>
          <w:lang w:eastAsia="en-GB"/>
        </w:rPr>
        <w:t xml:space="preserve"> of reasons. An active shooter </w:t>
      </w:r>
      <w:r w:rsidR="0002172D">
        <w:rPr>
          <w:rFonts w:ascii="Arial" w:eastAsia="Times New Roman" w:hAnsi="Arial" w:cs="Arial"/>
          <w:lang w:eastAsia="en-GB"/>
        </w:rPr>
        <w:t>does not</w:t>
      </w:r>
      <w:r w:rsidR="00CC07D3">
        <w:rPr>
          <w:rFonts w:ascii="Arial" w:eastAsia="Times New Roman" w:hAnsi="Arial" w:cs="Arial"/>
          <w:lang w:eastAsia="en-GB"/>
        </w:rPr>
        <w:t xml:space="preserve"> necessarily mean that this person is a terrorist. </w:t>
      </w:r>
      <w:r w:rsidR="00812B7B">
        <w:rPr>
          <w:rFonts w:ascii="Arial" w:eastAsia="Times New Roman" w:hAnsi="Arial" w:cs="Arial"/>
          <w:lang w:eastAsia="en-GB"/>
        </w:rPr>
        <w:t xml:space="preserve">As mentioned above, in the context of British law, and a largely global concept, terrorism is usually to advance a political motive. With this in mind, it’s possible for acts that appear terror like, to actually not be terrorism but instead, normal criminality. </w:t>
      </w:r>
      <w:r w:rsidR="0002172D">
        <w:rPr>
          <w:rFonts w:ascii="Arial" w:eastAsia="Times New Roman" w:hAnsi="Arial" w:cs="Arial"/>
          <w:lang w:eastAsia="en-GB"/>
        </w:rPr>
        <w:t>“</w:t>
      </w:r>
      <w:r w:rsidR="0002172D" w:rsidRPr="0002172D">
        <w:rPr>
          <w:rFonts w:ascii="Arial" w:eastAsia="Times New Roman" w:hAnsi="Arial" w:cs="Arial"/>
          <w:lang w:eastAsia="en-GB"/>
        </w:rPr>
        <w:t xml:space="preserve">The TSA does recurrent vetting of badge holders for terrorist activity and places them on a watch list when appro - priate, but until recently only checked criminal history records at the outset; that recently changed and now randomly runs a couple hundred or so through the cycle every month, he says. And the FBI has </w:t>
      </w:r>
      <w:r w:rsidR="0002172D" w:rsidRPr="0002172D">
        <w:rPr>
          <w:rFonts w:ascii="Arial" w:eastAsia="Times New Roman" w:hAnsi="Arial" w:cs="Arial"/>
          <w:lang w:eastAsia="en-GB"/>
        </w:rPr>
        <w:lastRenderedPageBreak/>
        <w:t>recently partnered with TSA to develop a soon-to-be-rolled-out system that will enable airport operators to regularly re-vet</w:t>
      </w:r>
      <w:r w:rsidR="0002172D">
        <w:rPr>
          <w:rFonts w:ascii="Arial" w:eastAsia="Times New Roman" w:hAnsi="Arial" w:cs="Arial"/>
          <w:lang w:eastAsia="en-GB"/>
        </w:rPr>
        <w:t xml:space="preserve">” </w:t>
      </w:r>
      <w:r w:rsidR="0087413B">
        <w:rPr>
          <w:rFonts w:ascii="Arial" w:eastAsia="Times New Roman" w:hAnsi="Arial" w:cs="Arial"/>
          <w:lang w:eastAsia="en-GB"/>
        </w:rPr>
        <w:t xml:space="preserve">(Finkel, 2017). Looking at this, it looks like airports recognise the importance of re vetting staff on a constant basis, and are working from a counter terrorism perspective almost constantly to mitigate risk. </w:t>
      </w:r>
      <w:r w:rsidR="003D6DAE">
        <w:rPr>
          <w:rFonts w:ascii="Arial" w:eastAsia="Times New Roman" w:hAnsi="Arial" w:cs="Arial"/>
          <w:lang w:eastAsia="en-GB"/>
        </w:rPr>
        <w:t>The tragedy of 9/11 changed the way we use airports forever, with all the extra and additional security measures. The airport industry has been target hardened with great success, however, it took a major incident to cause this success, which makes you wonder, what other industry will be weaponised in the name of extremism or terrorism</w:t>
      </w:r>
      <w:r w:rsidR="00C362AA">
        <w:rPr>
          <w:rFonts w:ascii="Arial" w:eastAsia="Times New Roman" w:hAnsi="Arial" w:cs="Arial"/>
          <w:lang w:eastAsia="en-GB"/>
        </w:rPr>
        <w:t xml:space="preserve">, and how will society, governments and the Police respond to such an event? </w:t>
      </w:r>
    </w:p>
    <w:p w14:paraId="5144F35D" w14:textId="77777777" w:rsidR="00CC7AC1" w:rsidRDefault="00CC7AC1" w:rsidP="00804ED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716AB9DB" w14:textId="77777777" w:rsidR="00CC7AC1" w:rsidRDefault="00CC7AC1" w:rsidP="00804ED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32323CD2" w14:textId="03F5E93B" w:rsidR="00973013" w:rsidRDefault="00CC7AC1" w:rsidP="00804ED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 xml:space="preserve">Policing the roads helps with policing terrorism, and assist with counter terrorism investigations for a multitude of reasons. Firstly, counter terrorism investigations are protracted, and often require a lot of manpower, time, effort, resources, and also intelligence gathering. Policing the roads, especially on terrorist cells, county lines gangs, and more, can help develop a picture on what members are using what vehicles, where they are headed, where they are going, and can potentially pinpoint their activities in certain areas. For example, ANPR technology can be used to trace a vehicles movements around the UK, as most major motorways, and some A and B roads utilise the technology, which means that the vehicle can be tracked throughout it’s journey. It’s rare that a vehicle can move from one city to another without pinging a camera. Furthermore, if a marker is placed on the vehicle, then this can be used to stop check the vehicle for any contraband if we suspect that the vehicle is carrying drugs, large quantities of cash, or even worse, weapons. </w:t>
      </w:r>
      <w:r w:rsidR="003A6E9C">
        <w:rPr>
          <w:rFonts w:ascii="Arial" w:eastAsia="Times New Roman" w:hAnsi="Arial" w:cs="Arial"/>
          <w:lang w:eastAsia="en-GB"/>
        </w:rPr>
        <w:t xml:space="preserve"> </w:t>
      </w:r>
      <w:r w:rsidR="006E7588">
        <w:rPr>
          <w:rFonts w:ascii="Arial" w:eastAsia="Times New Roman" w:hAnsi="Arial" w:cs="Arial"/>
          <w:lang w:eastAsia="en-GB"/>
        </w:rPr>
        <w:t>The roads are also another way to smuggle items into and out of countries. Lorries are a great vessel for human trafficking. We only have to look at the horrific impact of the Essex Lorry Deaths in 2020 to see how lorries are often used to smuggle people, as well as other items across borders. “</w:t>
      </w:r>
      <w:r w:rsidR="006E7588" w:rsidRPr="006E7588">
        <w:rPr>
          <w:rFonts w:ascii="Arial" w:eastAsia="Times New Roman" w:hAnsi="Arial" w:cs="Arial"/>
          <w:lang w:eastAsia="en-GB"/>
        </w:rPr>
        <w:t>Forensics experts told the court that after about nine hours, the atmosphere inside the trailer would have become toxic. Temperature gauges within the sealed unit showed the temperature reaching a peak of 38.5C at around 10pm on 22 October 2019, after which it began to fall again, suggesting that that was the moment when the passengers stopped breathing</w:t>
      </w:r>
      <w:r w:rsidR="006E7588">
        <w:rPr>
          <w:rFonts w:ascii="Arial" w:eastAsia="Times New Roman" w:hAnsi="Arial" w:cs="Arial"/>
          <w:lang w:eastAsia="en-GB"/>
        </w:rPr>
        <w:t xml:space="preserve">” (Guardian, 2021). While this incident wasn’t necessarily terror related, what if it had been? What if those 39 Vietnamese people were actually 39 terrorists, armed with guns, bombs. What if it was a planned terrorist attack? I know in this circumstance, this was discovered due to the deaths of the passengers, however, what if this had been picked up by policing the roads, or policing the borders? </w:t>
      </w:r>
      <w:r w:rsidR="009B2D44">
        <w:rPr>
          <w:rFonts w:ascii="Arial" w:eastAsia="Times New Roman" w:hAnsi="Arial" w:cs="Arial"/>
          <w:lang w:eastAsia="en-GB"/>
        </w:rPr>
        <w:t xml:space="preserve">That would make operations like this much more risky, and potentially deter terrorism from our country. </w:t>
      </w:r>
    </w:p>
    <w:p w14:paraId="0C0136F5" w14:textId="25A60329" w:rsidR="009B2D44" w:rsidRDefault="009B2D44" w:rsidP="00804ED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6CD41189" w14:textId="325AFAB5" w:rsidR="009B2D44" w:rsidRDefault="009B2D44" w:rsidP="00804ED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(974 words)</w:t>
      </w:r>
    </w:p>
    <w:p w14:paraId="1EE0368B" w14:textId="1A993E40" w:rsidR="009B2D44" w:rsidRDefault="008451A7">
      <w:pPr>
        <w:spacing w:line="259" w:lineRule="auto"/>
      </w:pPr>
      <w:r>
        <w:br w:type="page"/>
      </w:r>
    </w:p>
    <w:p w14:paraId="4CFE4E7B" w14:textId="46D25A3A" w:rsidR="001C64BB" w:rsidRDefault="001C64BB" w:rsidP="008451A7">
      <w:pPr>
        <w:rPr>
          <w:rFonts w:ascii="Open Sans" w:hAnsi="Open Sans" w:cs="Open Sans"/>
          <w:color w:val="000000"/>
          <w:sz w:val="20"/>
          <w:szCs w:val="20"/>
          <w:shd w:val="clear" w:color="auto" w:fill="FFFFFF"/>
        </w:rPr>
      </w:pPr>
      <w:r>
        <w:rPr>
          <w:rFonts w:ascii="Open Sans" w:hAnsi="Open Sans" w:cs="Open Sans"/>
          <w:b/>
          <w:bCs/>
          <w:color w:val="000000"/>
          <w:sz w:val="20"/>
          <w:szCs w:val="20"/>
          <w:shd w:val="clear" w:color="auto" w:fill="FFFFFF"/>
        </w:rPr>
        <w:lastRenderedPageBreak/>
        <w:t>Bibliography</w:t>
      </w:r>
    </w:p>
    <w:p w14:paraId="410CA246" w14:textId="5F8EDBAC" w:rsidR="0040300A" w:rsidRDefault="0040300A" w:rsidP="008451A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Blake, C., Sheldon, B. and Williams, P., 2010. </w:t>
      </w:r>
      <w:r>
        <w:rPr>
          <w:rFonts w:ascii="Open Sans" w:hAnsi="Open Sans" w:cs="Open Sans"/>
          <w:i/>
          <w:iCs/>
          <w:color w:val="000000"/>
          <w:sz w:val="20"/>
          <w:szCs w:val="20"/>
          <w:shd w:val="clear" w:color="auto" w:fill="FFFFFF"/>
        </w:rPr>
        <w:t>Policing and Criminal Justice</w:t>
      </w:r>
      <w:r>
        <w:rPr>
          <w:rFonts w:ascii="Open Sans" w:hAnsi="Open Sans" w:cs="Open Sans"/>
          <w:color w:val="000000"/>
          <w:sz w:val="20"/>
          <w:szCs w:val="20"/>
          <w:shd w:val="clear" w:color="auto" w:fill="FFFFFF"/>
        </w:rPr>
        <w:t>. Exeter: Learning Matters.</w:t>
      </w:r>
    </w:p>
    <w:p w14:paraId="068E2D3B" w14:textId="1769D873" w:rsidR="00CC07D3" w:rsidRDefault="00CC07D3" w:rsidP="008451A7">
      <w:pPr>
        <w:rPr>
          <w:rFonts w:ascii="Open Sans" w:hAnsi="Open Sans" w:cs="Open Sans"/>
          <w:color w:val="000000"/>
          <w:sz w:val="20"/>
          <w:szCs w:val="20"/>
          <w:shd w:val="clear" w:color="auto" w:fill="FFFFFF"/>
        </w:rPr>
      </w:pPr>
    </w:p>
    <w:p w14:paraId="52A1671A" w14:textId="15397AA3" w:rsidR="00CC07D3" w:rsidRDefault="00CC07D3" w:rsidP="008451A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Cps.gov.uk. 2021. </w:t>
      </w:r>
      <w:r>
        <w:rPr>
          <w:rFonts w:ascii="Open Sans" w:hAnsi="Open Sans" w:cs="Open Sans"/>
          <w:i/>
          <w:iCs/>
          <w:color w:val="000000"/>
          <w:sz w:val="20"/>
          <w:szCs w:val="20"/>
          <w:shd w:val="clear" w:color="auto" w:fill="FFFFFF"/>
        </w:rPr>
        <w:t>Terrorism | The Crown Prosecution Service</w:t>
      </w:r>
      <w:r>
        <w:rPr>
          <w:rFonts w:ascii="Open Sans" w:hAnsi="Open Sans" w:cs="Open Sans"/>
          <w:color w:val="000000"/>
          <w:sz w:val="20"/>
          <w:szCs w:val="20"/>
          <w:shd w:val="clear" w:color="auto" w:fill="FFFFFF"/>
        </w:rPr>
        <w:t>. [online] Available at: &lt;https://www.cps.gov.uk/crime-info/terrorism&gt; [Accessed 5 July 2021].</w:t>
      </w:r>
    </w:p>
    <w:p w14:paraId="59227B4E" w14:textId="1AE1531A" w:rsidR="00081875" w:rsidRDefault="00081875" w:rsidP="008451A7">
      <w:pPr>
        <w:rPr>
          <w:rFonts w:ascii="Open Sans" w:hAnsi="Open Sans" w:cs="Open Sans"/>
          <w:color w:val="000000"/>
          <w:sz w:val="20"/>
          <w:szCs w:val="20"/>
          <w:shd w:val="clear" w:color="auto" w:fill="FFFFFF"/>
        </w:rPr>
      </w:pPr>
    </w:p>
    <w:p w14:paraId="513DD846" w14:textId="5D924435" w:rsidR="00081875" w:rsidRDefault="00081875" w:rsidP="008451A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Cpni.gov.uk. 2021. </w:t>
      </w:r>
      <w:r>
        <w:rPr>
          <w:rFonts w:ascii="Open Sans" w:hAnsi="Open Sans" w:cs="Open Sans"/>
          <w:i/>
          <w:iCs/>
          <w:color w:val="000000"/>
          <w:sz w:val="20"/>
          <w:szCs w:val="20"/>
          <w:shd w:val="clear" w:color="auto" w:fill="FFFFFF"/>
        </w:rPr>
        <w:t>Reducing Insider Risk by good personnel security practices</w:t>
      </w:r>
      <w:r>
        <w:rPr>
          <w:rFonts w:ascii="Open Sans" w:hAnsi="Open Sans" w:cs="Open Sans"/>
          <w:color w:val="000000"/>
          <w:sz w:val="20"/>
          <w:szCs w:val="20"/>
          <w:shd w:val="clear" w:color="auto" w:fill="FFFFFF"/>
        </w:rPr>
        <w:t>. [online] Available at: &lt;https://www.cpni.gov.uk/reducing-insider-risk&gt; [Accessed 8 July 2021].</w:t>
      </w:r>
    </w:p>
    <w:p w14:paraId="2D9F3A23" w14:textId="77777777" w:rsidR="0040300A" w:rsidRDefault="0040300A" w:rsidP="008451A7">
      <w:pPr>
        <w:rPr>
          <w:rFonts w:ascii="Open Sans" w:hAnsi="Open Sans" w:cs="Open Sans"/>
          <w:color w:val="000000"/>
          <w:sz w:val="20"/>
          <w:szCs w:val="20"/>
          <w:shd w:val="clear" w:color="auto" w:fill="FFFFFF"/>
        </w:rPr>
      </w:pPr>
    </w:p>
    <w:p w14:paraId="108B4ED1" w14:textId="728B7579" w:rsidR="00787A70" w:rsidRDefault="008451A7" w:rsidP="008451A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Dixon, P. and Dundes, L., 2020. Exceptional Injustice: Facebook as a Reflection of Race- and Gender-Based Narratives Following the Death of George Floyd. </w:t>
      </w:r>
      <w:r>
        <w:rPr>
          <w:rFonts w:ascii="Open Sans" w:hAnsi="Open Sans" w:cs="Open Sans"/>
          <w:i/>
          <w:iCs/>
          <w:color w:val="000000"/>
          <w:sz w:val="20"/>
          <w:szCs w:val="20"/>
          <w:shd w:val="clear" w:color="auto" w:fill="FFFFFF"/>
        </w:rPr>
        <w:t>Social Sciences</w:t>
      </w:r>
      <w:r>
        <w:rPr>
          <w:rFonts w:ascii="Open Sans" w:hAnsi="Open Sans" w:cs="Open Sans"/>
          <w:color w:val="000000"/>
          <w:sz w:val="20"/>
          <w:szCs w:val="20"/>
          <w:shd w:val="clear" w:color="auto" w:fill="FFFFFF"/>
        </w:rPr>
        <w:t>, 9(12), p.231.</w:t>
      </w:r>
    </w:p>
    <w:p w14:paraId="6B269465" w14:textId="4217E732" w:rsidR="0002172D" w:rsidRDefault="0002172D" w:rsidP="008451A7">
      <w:pPr>
        <w:rPr>
          <w:rFonts w:ascii="Open Sans" w:hAnsi="Open Sans" w:cs="Open Sans"/>
          <w:color w:val="000000"/>
          <w:sz w:val="20"/>
          <w:szCs w:val="20"/>
          <w:shd w:val="clear" w:color="auto" w:fill="FFFFFF"/>
        </w:rPr>
      </w:pPr>
    </w:p>
    <w:p w14:paraId="2A0D306C" w14:textId="5704768F" w:rsidR="0002172D" w:rsidRDefault="0002172D" w:rsidP="008451A7">
      <w:pPr>
        <w:rPr>
          <w:rFonts w:ascii="Open Sans" w:hAnsi="Open Sans" w:cs="Open Sans"/>
          <w:color w:val="000000"/>
          <w:sz w:val="20"/>
          <w:szCs w:val="20"/>
          <w:shd w:val="clear" w:color="auto" w:fill="FFFFFF"/>
        </w:rPr>
      </w:pPr>
      <w:r>
        <w:rPr>
          <w:rFonts w:ascii="Verdana" w:hAnsi="Verdana"/>
          <w:color w:val="555555"/>
          <w:sz w:val="18"/>
          <w:szCs w:val="18"/>
          <w:shd w:val="clear" w:color="auto" w:fill="FFFFFF"/>
        </w:rPr>
        <w:t>FINKEL, E., 2017. Airport Security: Active Shooter, Insider Threat, Terrorism and Protests. </w:t>
      </w:r>
      <w:r>
        <w:rPr>
          <w:rFonts w:ascii="Verdana" w:hAnsi="Verdana"/>
          <w:i/>
          <w:iCs/>
          <w:color w:val="555555"/>
          <w:sz w:val="18"/>
          <w:szCs w:val="18"/>
          <w:shd w:val="clear" w:color="auto" w:fill="FFFFFF"/>
        </w:rPr>
        <w:t>Security, </w:t>
      </w:r>
      <w:r>
        <w:rPr>
          <w:rFonts w:ascii="Verdana" w:hAnsi="Verdana"/>
          <w:b/>
          <w:bCs/>
          <w:color w:val="555555"/>
          <w:sz w:val="18"/>
          <w:szCs w:val="18"/>
          <w:shd w:val="clear" w:color="auto" w:fill="FFFFFF"/>
        </w:rPr>
        <w:t>54</w:t>
      </w:r>
      <w:r>
        <w:rPr>
          <w:rFonts w:ascii="Verdana" w:hAnsi="Verdana"/>
          <w:color w:val="555555"/>
          <w:sz w:val="18"/>
          <w:szCs w:val="18"/>
          <w:shd w:val="clear" w:color="auto" w:fill="FFFFFF"/>
        </w:rPr>
        <w:t>(4), pp. 66-68,73.</w:t>
      </w:r>
    </w:p>
    <w:p w14:paraId="19BC5B18" w14:textId="69FF6F93" w:rsidR="00A615A7" w:rsidRDefault="00A615A7" w:rsidP="008451A7">
      <w:pPr>
        <w:rPr>
          <w:rFonts w:ascii="Open Sans" w:hAnsi="Open Sans" w:cs="Open Sans"/>
          <w:color w:val="000000"/>
          <w:sz w:val="20"/>
          <w:szCs w:val="20"/>
          <w:shd w:val="clear" w:color="auto" w:fill="FFFFFF"/>
        </w:rPr>
      </w:pPr>
    </w:p>
    <w:p w14:paraId="07683BAA" w14:textId="782E02A5" w:rsidR="00A615A7" w:rsidRDefault="00A615A7" w:rsidP="008451A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Foreman, J., 2021. </w:t>
      </w:r>
      <w:r>
        <w:rPr>
          <w:rFonts w:ascii="Open Sans" w:hAnsi="Open Sans" w:cs="Open Sans"/>
          <w:i/>
          <w:iCs/>
          <w:color w:val="000000"/>
          <w:sz w:val="20"/>
          <w:szCs w:val="20"/>
          <w:shd w:val="clear" w:color="auto" w:fill="FFFFFF"/>
        </w:rPr>
        <w:t>Race, Englishness and the media: depictions of urban rioting in England, 1980-81</w:t>
      </w:r>
      <w:r>
        <w:rPr>
          <w:rFonts w:ascii="Open Sans" w:hAnsi="Open Sans" w:cs="Open Sans"/>
          <w:color w:val="000000"/>
          <w:sz w:val="20"/>
          <w:szCs w:val="20"/>
          <w:shd w:val="clear" w:color="auto" w:fill="FFFFFF"/>
        </w:rPr>
        <w:t xml:space="preserve">. [online] Knowledgecommons.lakeheadu.ca. Available at: &lt;http://knowledgecommons.lakeheadu.ca/handle/2453/1676&gt; [Accessed </w:t>
      </w:r>
      <w:r>
        <w:rPr>
          <w:rFonts w:ascii="Open Sans" w:hAnsi="Open Sans" w:cs="Open Sans"/>
          <w:color w:val="000000"/>
          <w:sz w:val="20"/>
          <w:szCs w:val="20"/>
          <w:shd w:val="clear" w:color="auto" w:fill="FFFFFF"/>
        </w:rPr>
        <w:t>25 June</w:t>
      </w:r>
      <w:r>
        <w:rPr>
          <w:rFonts w:ascii="Open Sans" w:hAnsi="Open Sans" w:cs="Open Sans"/>
          <w:color w:val="000000"/>
          <w:sz w:val="20"/>
          <w:szCs w:val="20"/>
          <w:shd w:val="clear" w:color="auto" w:fill="FFFFFF"/>
        </w:rPr>
        <w:t xml:space="preserve"> 2021].</w:t>
      </w:r>
    </w:p>
    <w:p w14:paraId="182871C0" w14:textId="62A08553" w:rsidR="00CB4F82" w:rsidRDefault="00CB4F82" w:rsidP="008451A7">
      <w:pPr>
        <w:rPr>
          <w:rFonts w:ascii="Open Sans" w:hAnsi="Open Sans" w:cs="Open Sans"/>
          <w:color w:val="000000"/>
          <w:sz w:val="20"/>
          <w:szCs w:val="20"/>
          <w:shd w:val="clear" w:color="auto" w:fill="FFFFFF"/>
        </w:rPr>
      </w:pPr>
    </w:p>
    <w:p w14:paraId="29F9ABF1" w14:textId="066FB134" w:rsidR="00375158" w:rsidRDefault="00CB4F82" w:rsidP="008451A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Fountain, J., Roy, A., Crompton, N., Anitha, S. and Patel, K., 2007. Stop and search or stop and engage?: Factors influencing community—police engagement around drug supply issues. </w:t>
      </w:r>
      <w:r>
        <w:rPr>
          <w:rFonts w:ascii="Open Sans" w:hAnsi="Open Sans" w:cs="Open Sans"/>
          <w:i/>
          <w:iCs/>
          <w:color w:val="000000"/>
          <w:sz w:val="20"/>
          <w:szCs w:val="20"/>
          <w:shd w:val="clear" w:color="auto" w:fill="FFFFFF"/>
        </w:rPr>
        <w:t>Drugs and Alcohol Today</w:t>
      </w:r>
      <w:r>
        <w:rPr>
          <w:rFonts w:ascii="Open Sans" w:hAnsi="Open Sans" w:cs="Open Sans"/>
          <w:color w:val="000000"/>
          <w:sz w:val="20"/>
          <w:szCs w:val="20"/>
          <w:shd w:val="clear" w:color="auto" w:fill="FFFFFF"/>
        </w:rPr>
        <w:t>, 7(3), pp.37-46.</w:t>
      </w:r>
    </w:p>
    <w:p w14:paraId="05EDDAF5" w14:textId="77777777" w:rsidR="009818A0" w:rsidRDefault="009818A0" w:rsidP="008451A7">
      <w:pPr>
        <w:rPr>
          <w:rFonts w:ascii="Open Sans" w:hAnsi="Open Sans" w:cs="Open Sans"/>
          <w:color w:val="000000"/>
          <w:sz w:val="20"/>
          <w:szCs w:val="20"/>
          <w:shd w:val="clear" w:color="auto" w:fill="FFFFFF"/>
        </w:rPr>
      </w:pPr>
    </w:p>
    <w:p w14:paraId="1D5751B1" w14:textId="0DF48EDA" w:rsidR="00375158" w:rsidRDefault="00375158" w:rsidP="008451A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Jesip.org.uk. 2021. </w:t>
      </w:r>
      <w:r>
        <w:rPr>
          <w:rFonts w:ascii="Open Sans" w:hAnsi="Open Sans" w:cs="Open Sans"/>
          <w:i/>
          <w:iCs/>
          <w:color w:val="000000"/>
          <w:sz w:val="20"/>
          <w:szCs w:val="20"/>
          <w:shd w:val="clear" w:color="auto" w:fill="FFFFFF"/>
        </w:rPr>
        <w:t>JESIP - Working together, Saving Lives</w:t>
      </w:r>
      <w:r>
        <w:rPr>
          <w:rFonts w:ascii="Open Sans" w:hAnsi="Open Sans" w:cs="Open Sans"/>
          <w:color w:val="000000"/>
          <w:sz w:val="20"/>
          <w:szCs w:val="20"/>
          <w:shd w:val="clear" w:color="auto" w:fill="FFFFFF"/>
        </w:rPr>
        <w:t>. [online] Available at: &lt;https://www.jesip.org.uk/definitions&gt; [Accessed 20 June 2021].</w:t>
      </w:r>
    </w:p>
    <w:p w14:paraId="7A18FB09" w14:textId="2B63912A" w:rsidR="0090618C" w:rsidRDefault="0090618C" w:rsidP="008451A7">
      <w:pPr>
        <w:rPr>
          <w:rFonts w:ascii="Open Sans" w:hAnsi="Open Sans" w:cs="Open Sans"/>
          <w:color w:val="000000"/>
          <w:sz w:val="20"/>
          <w:szCs w:val="20"/>
          <w:shd w:val="clear" w:color="auto" w:fill="FFFFFF"/>
        </w:rPr>
      </w:pPr>
    </w:p>
    <w:p w14:paraId="25C4CCB4" w14:textId="21083DBD" w:rsidR="0090618C" w:rsidRDefault="0090618C" w:rsidP="008451A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Kirby, S., Graham, J. and Green, M., 2014. The Cumbria spree killing – how mobility affects the policing of critical incidents. </w:t>
      </w:r>
      <w:r>
        <w:rPr>
          <w:rFonts w:ascii="Open Sans" w:hAnsi="Open Sans" w:cs="Open Sans"/>
          <w:i/>
          <w:iCs/>
          <w:color w:val="000000"/>
          <w:sz w:val="20"/>
          <w:szCs w:val="20"/>
          <w:shd w:val="clear" w:color="auto" w:fill="FFFFFF"/>
        </w:rPr>
        <w:t>International Journal of Emergency Services</w:t>
      </w:r>
      <w:r>
        <w:rPr>
          <w:rFonts w:ascii="Open Sans" w:hAnsi="Open Sans" w:cs="Open Sans"/>
          <w:color w:val="000000"/>
          <w:sz w:val="20"/>
          <w:szCs w:val="20"/>
          <w:shd w:val="clear" w:color="auto" w:fill="FFFFFF"/>
        </w:rPr>
        <w:t>, 3(1), pp.34-48.</w:t>
      </w:r>
    </w:p>
    <w:p w14:paraId="15135178" w14:textId="21292CDB" w:rsidR="00B234F7" w:rsidRDefault="00B234F7" w:rsidP="008451A7">
      <w:pPr>
        <w:rPr>
          <w:rFonts w:ascii="Open Sans" w:hAnsi="Open Sans" w:cs="Open Sans"/>
          <w:color w:val="000000"/>
          <w:sz w:val="20"/>
          <w:szCs w:val="20"/>
          <w:shd w:val="clear" w:color="auto" w:fill="FFFFFF"/>
        </w:rPr>
      </w:pPr>
    </w:p>
    <w:p w14:paraId="43AA933E" w14:textId="63C9B216" w:rsidR="00B234F7" w:rsidRDefault="00B234F7" w:rsidP="008451A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Poolman, S., Wilshaw, R. and Grace, J., 2019. Human Rights in Policing: The Past, Present and Future. </w:t>
      </w:r>
      <w:r>
        <w:rPr>
          <w:rFonts w:ascii="Open Sans" w:hAnsi="Open Sans" w:cs="Open Sans"/>
          <w:i/>
          <w:iCs/>
          <w:color w:val="000000"/>
          <w:sz w:val="20"/>
          <w:szCs w:val="20"/>
          <w:shd w:val="clear" w:color="auto" w:fill="FFFFFF"/>
        </w:rPr>
        <w:t>The Political Quarterly</w:t>
      </w:r>
      <w:r>
        <w:rPr>
          <w:rFonts w:ascii="Open Sans" w:hAnsi="Open Sans" w:cs="Open Sans"/>
          <w:color w:val="000000"/>
          <w:sz w:val="20"/>
          <w:szCs w:val="20"/>
          <w:shd w:val="clear" w:color="auto" w:fill="FFFFFF"/>
        </w:rPr>
        <w:t>, 90(3), pp.449-456.</w:t>
      </w:r>
    </w:p>
    <w:p w14:paraId="4BC1D18E" w14:textId="65910D13" w:rsidR="006E7588" w:rsidRDefault="006E7588" w:rsidP="008451A7">
      <w:pPr>
        <w:rPr>
          <w:rFonts w:ascii="Open Sans" w:hAnsi="Open Sans" w:cs="Open Sans"/>
          <w:color w:val="000000"/>
          <w:sz w:val="20"/>
          <w:szCs w:val="20"/>
          <w:shd w:val="clear" w:color="auto" w:fill="FFFFFF"/>
        </w:rPr>
      </w:pPr>
    </w:p>
    <w:p w14:paraId="08AF7F9A" w14:textId="32CDA69E" w:rsidR="006E7588" w:rsidRDefault="006E7588" w:rsidP="008451A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 Guardian. 2021. </w:t>
      </w:r>
      <w:r>
        <w:rPr>
          <w:rFonts w:ascii="Open Sans" w:hAnsi="Open Sans" w:cs="Open Sans"/>
          <w:i/>
          <w:iCs/>
          <w:color w:val="000000"/>
          <w:sz w:val="20"/>
          <w:szCs w:val="20"/>
          <w:shd w:val="clear" w:color="auto" w:fill="FFFFFF"/>
        </w:rPr>
        <w:t>After 39 Vietnamese trafficking victims died in UK, has anything changed?</w:t>
      </w:r>
      <w:r>
        <w:rPr>
          <w:rFonts w:ascii="Open Sans" w:hAnsi="Open Sans" w:cs="Open Sans"/>
          <w:color w:val="000000"/>
          <w:sz w:val="20"/>
          <w:szCs w:val="20"/>
          <w:shd w:val="clear" w:color="auto" w:fill="FFFFFF"/>
        </w:rPr>
        <w:t>. [online] Available at: &lt;https://www.theguardian.com/law/2020/dec/21/essex-lorry-deaths-vietnamese-trafficking-victims-died-uk-has-anything-changed&gt; [Accessed 8 July 2021].</w:t>
      </w:r>
    </w:p>
    <w:p w14:paraId="3705A8F0" w14:textId="6F2ECE9C" w:rsidR="009818A0" w:rsidRDefault="009818A0" w:rsidP="008451A7">
      <w:pPr>
        <w:rPr>
          <w:rFonts w:ascii="Open Sans" w:hAnsi="Open Sans" w:cs="Open Sans"/>
          <w:color w:val="000000"/>
          <w:sz w:val="20"/>
          <w:szCs w:val="20"/>
          <w:shd w:val="clear" w:color="auto" w:fill="FFFFFF"/>
        </w:rPr>
      </w:pPr>
    </w:p>
    <w:p w14:paraId="71B92530" w14:textId="371866FD" w:rsidR="009818A0" w:rsidRDefault="009818A0" w:rsidP="008451A7">
      <w:r>
        <w:rPr>
          <w:rFonts w:ascii="Open Sans" w:hAnsi="Open Sans" w:cs="Open Sans"/>
          <w:color w:val="000000"/>
          <w:sz w:val="20"/>
          <w:szCs w:val="20"/>
          <w:shd w:val="clear" w:color="auto" w:fill="FFFFFF"/>
        </w:rPr>
        <w:t>Wilson, J. and Kelling, G., 2021. </w:t>
      </w:r>
      <w:r>
        <w:rPr>
          <w:rFonts w:ascii="Open Sans" w:hAnsi="Open Sans" w:cs="Open Sans"/>
          <w:i/>
          <w:iCs/>
          <w:color w:val="000000"/>
          <w:sz w:val="20"/>
          <w:szCs w:val="20"/>
          <w:shd w:val="clear" w:color="auto" w:fill="FFFFFF"/>
        </w:rPr>
        <w:t>Broken Windows</w:t>
      </w:r>
      <w:r>
        <w:rPr>
          <w:rFonts w:ascii="Open Sans" w:hAnsi="Open Sans" w:cs="Open Sans"/>
          <w:color w:val="000000"/>
          <w:sz w:val="20"/>
          <w:szCs w:val="20"/>
          <w:shd w:val="clear" w:color="auto" w:fill="FFFFFF"/>
        </w:rPr>
        <w:t>. [online] The Atlantic. Available at: &lt;https://www.theatlantic.com/magazine/archive/1982/03/broken-windows/304465/#,%20MLA%208th%20Edition%20(Modern%20Language%20Assoc.)%20Christopher%20Blake,%20et%20al.%20Policing%20and%20Criminal%20Justice.%20Learning%20Matters,%202010.%20APA%207th%20Edition%20(American%20Psychological%20Assoc.)%20Christopher%20Blake,%20Barrie%20Sheldon,%20&amp;%20Peter%20Williams.%20(2010).%20Policing%20and%20Criminal%20Justice.%20Learning%20Matters.&gt; [Accessed 28 June 2021].</w:t>
      </w:r>
    </w:p>
    <w:sectPr w:rsidR="009818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EDA"/>
    <w:rsid w:val="0002172D"/>
    <w:rsid w:val="00072DDC"/>
    <w:rsid w:val="00080D9D"/>
    <w:rsid w:val="00081875"/>
    <w:rsid w:val="0013312D"/>
    <w:rsid w:val="00142DFC"/>
    <w:rsid w:val="00166FEA"/>
    <w:rsid w:val="001C64BB"/>
    <w:rsid w:val="002203D0"/>
    <w:rsid w:val="0032708E"/>
    <w:rsid w:val="00342A20"/>
    <w:rsid w:val="00375158"/>
    <w:rsid w:val="003A6E9C"/>
    <w:rsid w:val="003D6DAE"/>
    <w:rsid w:val="003E2367"/>
    <w:rsid w:val="0040300A"/>
    <w:rsid w:val="004854EB"/>
    <w:rsid w:val="005072E5"/>
    <w:rsid w:val="00543E35"/>
    <w:rsid w:val="005C49B0"/>
    <w:rsid w:val="006D745C"/>
    <w:rsid w:val="006E7588"/>
    <w:rsid w:val="006F66DF"/>
    <w:rsid w:val="00701B46"/>
    <w:rsid w:val="007044CD"/>
    <w:rsid w:val="0071776C"/>
    <w:rsid w:val="00734140"/>
    <w:rsid w:val="00785688"/>
    <w:rsid w:val="007C11E2"/>
    <w:rsid w:val="00804EDA"/>
    <w:rsid w:val="00812B7B"/>
    <w:rsid w:val="008451A7"/>
    <w:rsid w:val="0087413B"/>
    <w:rsid w:val="0090618C"/>
    <w:rsid w:val="00923B70"/>
    <w:rsid w:val="00973013"/>
    <w:rsid w:val="009818A0"/>
    <w:rsid w:val="009B2D44"/>
    <w:rsid w:val="009C7340"/>
    <w:rsid w:val="00A615A7"/>
    <w:rsid w:val="00B234F7"/>
    <w:rsid w:val="00BF42C0"/>
    <w:rsid w:val="00C26F85"/>
    <w:rsid w:val="00C3108B"/>
    <w:rsid w:val="00C362AA"/>
    <w:rsid w:val="00C42A25"/>
    <w:rsid w:val="00C43479"/>
    <w:rsid w:val="00C4572B"/>
    <w:rsid w:val="00CB10C2"/>
    <w:rsid w:val="00CB4F82"/>
    <w:rsid w:val="00CC07D3"/>
    <w:rsid w:val="00CC29A5"/>
    <w:rsid w:val="00CC7AC1"/>
    <w:rsid w:val="00CE1CFE"/>
    <w:rsid w:val="00D14C8F"/>
    <w:rsid w:val="00DD37CE"/>
    <w:rsid w:val="00E058CD"/>
    <w:rsid w:val="00E10D07"/>
    <w:rsid w:val="00E76C1D"/>
    <w:rsid w:val="00E903B5"/>
    <w:rsid w:val="00EA1F58"/>
    <w:rsid w:val="00EF4CB2"/>
    <w:rsid w:val="00F0681B"/>
    <w:rsid w:val="00F64768"/>
    <w:rsid w:val="00F7745B"/>
    <w:rsid w:val="00F94039"/>
    <w:rsid w:val="00FF6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31855"/>
  <w15:chartTrackingRefBased/>
  <w15:docId w15:val="{0EEC34AE-3000-4878-9569-19B918886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4EDA"/>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6951376">
      <w:bodyDiv w:val="1"/>
      <w:marLeft w:val="0"/>
      <w:marRight w:val="0"/>
      <w:marTop w:val="0"/>
      <w:marBottom w:val="0"/>
      <w:divBdr>
        <w:top w:val="none" w:sz="0" w:space="0" w:color="auto"/>
        <w:left w:val="none" w:sz="0" w:space="0" w:color="auto"/>
        <w:bottom w:val="none" w:sz="0" w:space="0" w:color="auto"/>
        <w:right w:val="none" w:sz="0" w:space="0" w:color="auto"/>
      </w:divBdr>
    </w:div>
    <w:div w:id="636646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421</TotalTime>
  <Pages>11</Pages>
  <Words>4451</Words>
  <Characters>25374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Reid</dc:creator>
  <cp:keywords/>
  <dc:description/>
  <cp:lastModifiedBy>Michael Reid</cp:lastModifiedBy>
  <cp:revision>66</cp:revision>
  <dcterms:created xsi:type="dcterms:W3CDTF">2021-07-11T21:05:00Z</dcterms:created>
  <dcterms:modified xsi:type="dcterms:W3CDTF">2021-07-12T22:48:00Z</dcterms:modified>
</cp:coreProperties>
</file>