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54C78" w14:textId="77777777" w:rsidR="007B0572" w:rsidRDefault="00D366B2">
      <w:pPr>
        <w:jc w:val="center"/>
        <w:rPr>
          <w:sz w:val="24"/>
          <w:szCs w:val="24"/>
        </w:rPr>
      </w:pPr>
      <w:r>
        <w:rPr>
          <w:sz w:val="24"/>
          <w:szCs w:val="24"/>
        </w:rPr>
        <w:t>Forensic Recovery and Examination</w:t>
      </w:r>
    </w:p>
    <w:p w14:paraId="424372EE" w14:textId="77777777" w:rsidR="007B0572" w:rsidRDefault="00D366B2">
      <w:pPr>
        <w:jc w:val="center"/>
        <w:rPr>
          <w:sz w:val="24"/>
          <w:szCs w:val="24"/>
        </w:rPr>
      </w:pPr>
      <w:r>
        <w:rPr>
          <w:sz w:val="24"/>
          <w:szCs w:val="24"/>
        </w:rPr>
        <w:t>Wynne Jones</w:t>
      </w:r>
    </w:p>
    <w:p w14:paraId="309CFE69" w14:textId="77777777" w:rsidR="007B0572" w:rsidRDefault="007B0572">
      <w:pPr>
        <w:jc w:val="center"/>
        <w:rPr>
          <w:sz w:val="24"/>
          <w:szCs w:val="24"/>
        </w:rPr>
      </w:pPr>
    </w:p>
    <w:p w14:paraId="11D8D5D8" w14:textId="77777777" w:rsidR="007B0572" w:rsidRDefault="00D366B2">
      <w:pPr>
        <w:jc w:val="center"/>
        <w:rPr>
          <w:sz w:val="24"/>
          <w:szCs w:val="24"/>
        </w:rPr>
      </w:pPr>
      <w:r>
        <w:rPr>
          <w:noProof/>
        </w:rPr>
        <w:drawing>
          <wp:anchor distT="114300" distB="114300" distL="114300" distR="114300" simplePos="0" relativeHeight="251658240" behindDoc="0" locked="0" layoutInCell="1" hidden="0" allowOverlap="1" wp14:anchorId="06C7C088" wp14:editId="3831C9F1">
            <wp:simplePos x="0" y="0"/>
            <wp:positionH relativeFrom="column">
              <wp:posOffset>1543050</wp:posOffset>
            </wp:positionH>
            <wp:positionV relativeFrom="paragraph">
              <wp:posOffset>1609725</wp:posOffset>
            </wp:positionV>
            <wp:extent cx="2857500" cy="94297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57500" cy="942975"/>
                    </a:xfrm>
                    <a:prstGeom prst="rect">
                      <a:avLst/>
                    </a:prstGeom>
                    <a:ln/>
                  </pic:spPr>
                </pic:pic>
              </a:graphicData>
            </a:graphic>
          </wp:anchor>
        </w:drawing>
      </w:r>
    </w:p>
    <w:p w14:paraId="46906ED3" w14:textId="77777777" w:rsidR="007B0572" w:rsidRDefault="007B0572">
      <w:pPr>
        <w:jc w:val="center"/>
        <w:rPr>
          <w:sz w:val="24"/>
          <w:szCs w:val="24"/>
        </w:rPr>
      </w:pPr>
    </w:p>
    <w:p w14:paraId="2DF866B3" w14:textId="77777777" w:rsidR="007B0572" w:rsidRDefault="007B0572">
      <w:pPr>
        <w:jc w:val="center"/>
        <w:rPr>
          <w:sz w:val="24"/>
          <w:szCs w:val="24"/>
        </w:rPr>
      </w:pPr>
    </w:p>
    <w:p w14:paraId="2D88B6E6" w14:textId="77777777" w:rsidR="007B0572" w:rsidRDefault="007B0572">
      <w:pPr>
        <w:jc w:val="center"/>
        <w:rPr>
          <w:sz w:val="24"/>
          <w:szCs w:val="24"/>
        </w:rPr>
      </w:pPr>
    </w:p>
    <w:p w14:paraId="70DD4F2C" w14:textId="77777777" w:rsidR="007B0572" w:rsidRDefault="007B0572">
      <w:pPr>
        <w:jc w:val="center"/>
        <w:rPr>
          <w:sz w:val="24"/>
          <w:szCs w:val="24"/>
        </w:rPr>
      </w:pPr>
    </w:p>
    <w:p w14:paraId="75333EF8" w14:textId="77777777" w:rsidR="007B0572" w:rsidRDefault="007B0572">
      <w:pPr>
        <w:jc w:val="center"/>
        <w:rPr>
          <w:sz w:val="24"/>
          <w:szCs w:val="24"/>
        </w:rPr>
      </w:pPr>
    </w:p>
    <w:p w14:paraId="4A03B730" w14:textId="77777777" w:rsidR="007B0572" w:rsidRDefault="007B0572">
      <w:pPr>
        <w:jc w:val="center"/>
        <w:rPr>
          <w:sz w:val="24"/>
          <w:szCs w:val="24"/>
        </w:rPr>
      </w:pPr>
    </w:p>
    <w:p w14:paraId="0B979976" w14:textId="77777777" w:rsidR="007B0572" w:rsidRDefault="007B0572">
      <w:pPr>
        <w:jc w:val="center"/>
        <w:rPr>
          <w:sz w:val="24"/>
          <w:szCs w:val="24"/>
        </w:rPr>
      </w:pPr>
    </w:p>
    <w:p w14:paraId="51E7025B" w14:textId="77777777" w:rsidR="007B0572" w:rsidRDefault="007B0572">
      <w:pPr>
        <w:jc w:val="center"/>
        <w:rPr>
          <w:sz w:val="24"/>
          <w:szCs w:val="24"/>
        </w:rPr>
      </w:pPr>
    </w:p>
    <w:p w14:paraId="265249A2" w14:textId="77777777" w:rsidR="007B0572" w:rsidRDefault="007B0572">
      <w:pPr>
        <w:jc w:val="center"/>
        <w:rPr>
          <w:sz w:val="24"/>
          <w:szCs w:val="24"/>
        </w:rPr>
      </w:pPr>
    </w:p>
    <w:p w14:paraId="3DDF86E5" w14:textId="77777777" w:rsidR="007B0572" w:rsidRDefault="007B0572">
      <w:pPr>
        <w:jc w:val="center"/>
        <w:rPr>
          <w:sz w:val="24"/>
          <w:szCs w:val="24"/>
        </w:rPr>
      </w:pPr>
    </w:p>
    <w:p w14:paraId="4346DE20" w14:textId="77777777" w:rsidR="007B0572" w:rsidRDefault="007B0572">
      <w:pPr>
        <w:jc w:val="center"/>
        <w:rPr>
          <w:sz w:val="24"/>
          <w:szCs w:val="24"/>
        </w:rPr>
      </w:pPr>
    </w:p>
    <w:p w14:paraId="10C450CA" w14:textId="77777777" w:rsidR="007B0572" w:rsidRDefault="007B0572">
      <w:pPr>
        <w:jc w:val="center"/>
        <w:rPr>
          <w:sz w:val="24"/>
          <w:szCs w:val="24"/>
        </w:rPr>
      </w:pPr>
    </w:p>
    <w:p w14:paraId="565BFCB8" w14:textId="77777777" w:rsidR="007B0572" w:rsidRDefault="007B0572">
      <w:pPr>
        <w:jc w:val="center"/>
        <w:rPr>
          <w:sz w:val="24"/>
          <w:szCs w:val="24"/>
        </w:rPr>
      </w:pPr>
    </w:p>
    <w:p w14:paraId="21FB068C" w14:textId="77777777" w:rsidR="007B0572" w:rsidRDefault="007B0572">
      <w:pPr>
        <w:jc w:val="center"/>
        <w:rPr>
          <w:sz w:val="24"/>
          <w:szCs w:val="24"/>
        </w:rPr>
      </w:pPr>
    </w:p>
    <w:p w14:paraId="3636EB52" w14:textId="77777777" w:rsidR="007B0572" w:rsidRDefault="007B0572">
      <w:pPr>
        <w:jc w:val="center"/>
        <w:rPr>
          <w:sz w:val="24"/>
          <w:szCs w:val="24"/>
        </w:rPr>
      </w:pPr>
    </w:p>
    <w:p w14:paraId="73EE870C" w14:textId="77777777" w:rsidR="007B0572" w:rsidRDefault="007B0572">
      <w:pPr>
        <w:jc w:val="center"/>
        <w:rPr>
          <w:sz w:val="24"/>
          <w:szCs w:val="24"/>
        </w:rPr>
      </w:pPr>
    </w:p>
    <w:p w14:paraId="20BFC488" w14:textId="77777777" w:rsidR="007B0572" w:rsidRDefault="007B0572">
      <w:pPr>
        <w:jc w:val="center"/>
        <w:rPr>
          <w:sz w:val="24"/>
          <w:szCs w:val="24"/>
        </w:rPr>
      </w:pPr>
    </w:p>
    <w:p w14:paraId="77E361E8" w14:textId="77777777" w:rsidR="007B0572" w:rsidRDefault="007B0572">
      <w:pPr>
        <w:jc w:val="center"/>
        <w:rPr>
          <w:sz w:val="24"/>
          <w:szCs w:val="24"/>
        </w:rPr>
      </w:pPr>
    </w:p>
    <w:p w14:paraId="692FEC94" w14:textId="77777777" w:rsidR="007B0572" w:rsidRDefault="007B0572">
      <w:pPr>
        <w:jc w:val="center"/>
        <w:rPr>
          <w:sz w:val="24"/>
          <w:szCs w:val="24"/>
        </w:rPr>
      </w:pPr>
    </w:p>
    <w:p w14:paraId="6E93C7CC" w14:textId="77777777" w:rsidR="007B0572" w:rsidRDefault="007B0572">
      <w:pPr>
        <w:jc w:val="center"/>
        <w:rPr>
          <w:sz w:val="24"/>
          <w:szCs w:val="24"/>
        </w:rPr>
      </w:pPr>
    </w:p>
    <w:p w14:paraId="3664DBBD" w14:textId="77777777" w:rsidR="007B0572" w:rsidRDefault="007B0572">
      <w:pPr>
        <w:jc w:val="center"/>
        <w:rPr>
          <w:sz w:val="24"/>
          <w:szCs w:val="24"/>
        </w:rPr>
      </w:pPr>
    </w:p>
    <w:p w14:paraId="564EBA99" w14:textId="77777777" w:rsidR="007B0572" w:rsidRDefault="007B0572">
      <w:pPr>
        <w:jc w:val="center"/>
        <w:rPr>
          <w:sz w:val="24"/>
          <w:szCs w:val="24"/>
        </w:rPr>
      </w:pPr>
    </w:p>
    <w:p w14:paraId="255970BA" w14:textId="77777777" w:rsidR="007B0572" w:rsidRDefault="007B0572">
      <w:pPr>
        <w:jc w:val="center"/>
        <w:rPr>
          <w:sz w:val="24"/>
          <w:szCs w:val="24"/>
        </w:rPr>
      </w:pPr>
    </w:p>
    <w:p w14:paraId="73464DAF" w14:textId="77777777" w:rsidR="007B0572" w:rsidRDefault="007B0572">
      <w:pPr>
        <w:jc w:val="center"/>
        <w:rPr>
          <w:sz w:val="24"/>
          <w:szCs w:val="24"/>
        </w:rPr>
      </w:pPr>
    </w:p>
    <w:p w14:paraId="6B1F22AA" w14:textId="77777777" w:rsidR="007B0572" w:rsidRDefault="007B0572">
      <w:pPr>
        <w:jc w:val="center"/>
        <w:rPr>
          <w:sz w:val="24"/>
          <w:szCs w:val="24"/>
        </w:rPr>
      </w:pPr>
    </w:p>
    <w:p w14:paraId="2481C9C6" w14:textId="77777777" w:rsidR="007B0572" w:rsidRDefault="007B0572">
      <w:pPr>
        <w:jc w:val="center"/>
        <w:rPr>
          <w:sz w:val="24"/>
          <w:szCs w:val="24"/>
        </w:rPr>
      </w:pPr>
    </w:p>
    <w:p w14:paraId="222667B4" w14:textId="77777777" w:rsidR="007B0572" w:rsidRDefault="007B0572">
      <w:pPr>
        <w:jc w:val="center"/>
        <w:rPr>
          <w:sz w:val="24"/>
          <w:szCs w:val="24"/>
        </w:rPr>
      </w:pPr>
    </w:p>
    <w:p w14:paraId="366535C3" w14:textId="77777777" w:rsidR="007B0572" w:rsidRDefault="007B0572">
      <w:pPr>
        <w:jc w:val="center"/>
        <w:rPr>
          <w:sz w:val="24"/>
          <w:szCs w:val="24"/>
        </w:rPr>
      </w:pPr>
    </w:p>
    <w:p w14:paraId="63CC5DB8" w14:textId="77777777" w:rsidR="007B0572" w:rsidRDefault="007B0572">
      <w:pPr>
        <w:jc w:val="center"/>
        <w:rPr>
          <w:sz w:val="24"/>
          <w:szCs w:val="24"/>
        </w:rPr>
      </w:pPr>
    </w:p>
    <w:p w14:paraId="32343A8E" w14:textId="77777777" w:rsidR="007B0572" w:rsidRDefault="007B0572">
      <w:pPr>
        <w:jc w:val="center"/>
        <w:rPr>
          <w:sz w:val="24"/>
          <w:szCs w:val="24"/>
        </w:rPr>
      </w:pPr>
    </w:p>
    <w:p w14:paraId="18B723D8" w14:textId="77777777" w:rsidR="007B0572" w:rsidRDefault="007B0572">
      <w:pPr>
        <w:jc w:val="center"/>
        <w:rPr>
          <w:sz w:val="24"/>
          <w:szCs w:val="24"/>
        </w:rPr>
      </w:pPr>
    </w:p>
    <w:p w14:paraId="44E6C92B" w14:textId="77777777" w:rsidR="007B0572" w:rsidRDefault="007B0572">
      <w:pPr>
        <w:rPr>
          <w:sz w:val="24"/>
          <w:szCs w:val="24"/>
        </w:rPr>
      </w:pPr>
    </w:p>
    <w:p w14:paraId="64C05D32" w14:textId="77777777" w:rsidR="007B0572" w:rsidRDefault="00D366B2">
      <w:pPr>
        <w:jc w:val="center"/>
        <w:rPr>
          <w:sz w:val="24"/>
          <w:szCs w:val="24"/>
        </w:rPr>
      </w:pPr>
      <w:r>
        <w:rPr>
          <w:sz w:val="24"/>
          <w:szCs w:val="24"/>
        </w:rPr>
        <w:t xml:space="preserve">Andrew James </w:t>
      </w:r>
    </w:p>
    <w:p w14:paraId="42C43A8E" w14:textId="77777777" w:rsidR="007B0572" w:rsidRDefault="00D366B2">
      <w:pPr>
        <w:jc w:val="center"/>
        <w:rPr>
          <w:sz w:val="24"/>
          <w:szCs w:val="24"/>
        </w:rPr>
      </w:pPr>
      <w:r>
        <w:rPr>
          <w:sz w:val="24"/>
          <w:szCs w:val="24"/>
        </w:rPr>
        <w:t>1700591</w:t>
      </w:r>
    </w:p>
    <w:p w14:paraId="7D0728EE" w14:textId="37BBD0F8" w:rsidR="007B0572" w:rsidRDefault="00D366B2">
      <w:pPr>
        <w:jc w:val="center"/>
        <w:rPr>
          <w:sz w:val="24"/>
          <w:szCs w:val="24"/>
        </w:rPr>
      </w:pPr>
      <w:r>
        <w:rPr>
          <w:sz w:val="24"/>
          <w:szCs w:val="24"/>
        </w:rPr>
        <w:t>Date – 05/11/2020</w:t>
      </w:r>
    </w:p>
    <w:p w14:paraId="16BA4061" w14:textId="4CEEEB73" w:rsidR="007B0572" w:rsidRDefault="00D366B2">
      <w:pPr>
        <w:jc w:val="center"/>
        <w:rPr>
          <w:sz w:val="24"/>
          <w:szCs w:val="24"/>
        </w:rPr>
      </w:pPr>
      <w:r>
        <w:rPr>
          <w:sz w:val="24"/>
          <w:szCs w:val="24"/>
        </w:rPr>
        <w:t xml:space="preserve">Word Count - </w:t>
      </w:r>
      <w:r w:rsidR="001D2977">
        <w:rPr>
          <w:sz w:val="24"/>
          <w:szCs w:val="24"/>
        </w:rPr>
        <w:t>3192</w:t>
      </w:r>
    </w:p>
    <w:p w14:paraId="02447DEB" w14:textId="77777777" w:rsidR="007B0572" w:rsidRDefault="00D366B2">
      <w:pPr>
        <w:jc w:val="center"/>
        <w:rPr>
          <w:sz w:val="24"/>
          <w:szCs w:val="24"/>
          <w:u w:val="single"/>
        </w:rPr>
      </w:pPr>
      <w:r>
        <w:rPr>
          <w:sz w:val="24"/>
          <w:szCs w:val="24"/>
          <w:u w:val="single"/>
        </w:rPr>
        <w:lastRenderedPageBreak/>
        <w:t>Evaluation of procedures of a First Attending Officer at a crime scene and Analyse of the methods of practice in regards of Forensic recovery and</w:t>
      </w:r>
    </w:p>
    <w:p w14:paraId="189F4816" w14:textId="77777777" w:rsidR="007B0572" w:rsidRDefault="00D366B2">
      <w:pPr>
        <w:spacing w:line="480" w:lineRule="auto"/>
        <w:jc w:val="center"/>
        <w:rPr>
          <w:sz w:val="24"/>
          <w:szCs w:val="24"/>
          <w:u w:val="single"/>
        </w:rPr>
      </w:pPr>
      <w:r>
        <w:rPr>
          <w:sz w:val="24"/>
          <w:szCs w:val="24"/>
          <w:u w:val="single"/>
        </w:rPr>
        <w:t>Examination</w:t>
      </w:r>
    </w:p>
    <w:p w14:paraId="319D31D0" w14:textId="77777777" w:rsidR="007B0572" w:rsidRDefault="00D366B2" w:rsidP="00AD05F1">
      <w:pPr>
        <w:spacing w:line="480" w:lineRule="auto"/>
        <w:rPr>
          <w:sz w:val="24"/>
          <w:szCs w:val="24"/>
        </w:rPr>
      </w:pPr>
      <w:r>
        <w:rPr>
          <w:sz w:val="24"/>
          <w:szCs w:val="24"/>
        </w:rPr>
        <w:t>The first part of this essay is to critically evaluate the process and procedures at a crime scene that the First Attending Officer or more commonly known as the FAO has to undertake when they arrive at the crime scene to reduce the chance of cross contamination happening. The second part will critically analyse the methods in practice when doing the recovery of the forensic evidence at the crime scene, this part will look at has there been mistakes during this recovery in famous cases.</w:t>
      </w:r>
    </w:p>
    <w:p w14:paraId="768CBD6B" w14:textId="77777777" w:rsidR="007B0572" w:rsidRDefault="00D366B2" w:rsidP="00AD05F1">
      <w:pPr>
        <w:spacing w:line="480" w:lineRule="auto"/>
        <w:rPr>
          <w:sz w:val="24"/>
          <w:szCs w:val="24"/>
          <w:u w:val="single"/>
        </w:rPr>
      </w:pPr>
      <w:r>
        <w:rPr>
          <w:sz w:val="24"/>
          <w:szCs w:val="24"/>
          <w:u w:val="single"/>
        </w:rPr>
        <w:t>Part A</w:t>
      </w:r>
    </w:p>
    <w:p w14:paraId="104BAF4E" w14:textId="1705E197" w:rsidR="007B0572" w:rsidRDefault="00D366B2" w:rsidP="00AD05F1">
      <w:pPr>
        <w:spacing w:line="480" w:lineRule="auto"/>
        <w:rPr>
          <w:sz w:val="24"/>
          <w:szCs w:val="24"/>
        </w:rPr>
      </w:pPr>
      <w:r>
        <w:rPr>
          <w:sz w:val="24"/>
          <w:szCs w:val="24"/>
        </w:rPr>
        <w:t xml:space="preserve">One of the roles of a FAO when they arrive at a crime scene is to ensure the safety of the public and for their colleagues as well as the safety of themselves according to Bryant and Bryant (2020), the preserving evidence as mentioned by Bertino (2012) is the second priority. The way of going about this according to White (2004) is to set up cordons around the crime scene, the implementation of cordons is important because it prevents people from entering the crime scene and contaminating the scene by leaving </w:t>
      </w:r>
      <w:r w:rsidR="00037DA1">
        <w:rPr>
          <w:sz w:val="24"/>
          <w:szCs w:val="24"/>
        </w:rPr>
        <w:t>DNA</w:t>
      </w:r>
      <w:r>
        <w:rPr>
          <w:sz w:val="24"/>
          <w:szCs w:val="24"/>
        </w:rPr>
        <w:t xml:space="preserve">, </w:t>
      </w:r>
      <w:r w:rsidR="004819DA">
        <w:rPr>
          <w:sz w:val="24"/>
          <w:szCs w:val="24"/>
        </w:rPr>
        <w:t>fibers</w:t>
      </w:r>
      <w:r>
        <w:rPr>
          <w:sz w:val="24"/>
          <w:szCs w:val="24"/>
        </w:rPr>
        <w:t xml:space="preserve"> being dropped or leaving impressions such as fingerprints at the scene which could lead to the wrong person from being wrongly involved in a criminal investigation as the suspect and possible lead to a wrongful conviction and this could reduce the chance of the real culprit from being caught. White (2004) also adds that the FAO would also have to keep a written record of everyone who enters the scene. This is done so that if someone who has accidentally left evidence behind then the investigators could </w:t>
      </w:r>
      <w:proofErr w:type="gramStart"/>
      <w:r>
        <w:rPr>
          <w:sz w:val="24"/>
          <w:szCs w:val="24"/>
        </w:rPr>
        <w:t>refer back</w:t>
      </w:r>
      <w:proofErr w:type="gramEnd"/>
      <w:r>
        <w:rPr>
          <w:sz w:val="24"/>
          <w:szCs w:val="24"/>
        </w:rPr>
        <w:t xml:space="preserve"> to the FAO’s record to note when they entered the scene, </w:t>
      </w:r>
      <w:r>
        <w:rPr>
          <w:sz w:val="24"/>
          <w:szCs w:val="24"/>
        </w:rPr>
        <w:lastRenderedPageBreak/>
        <w:t>it could also be used as evidence if a person has tried to tamper with the crime scene so that crucial evidence is not found.</w:t>
      </w:r>
    </w:p>
    <w:p w14:paraId="4290F982" w14:textId="77777777" w:rsidR="007B0572" w:rsidRDefault="00D366B2" w:rsidP="00AD05F1">
      <w:pPr>
        <w:spacing w:line="480" w:lineRule="auto"/>
        <w:rPr>
          <w:sz w:val="24"/>
          <w:szCs w:val="24"/>
        </w:rPr>
      </w:pPr>
      <w:r>
        <w:rPr>
          <w:sz w:val="24"/>
          <w:szCs w:val="24"/>
        </w:rPr>
        <w:t xml:space="preserve">In a checklist for actions that officers who are first responding at the scene should undertake are outlined by the College of Policing (2016) it provides a checklist of actions for the First Attending Officer, they say that the FAO should make an assessment of the evidence that they saw when they arrived, this could be damage, any injuries to people at the scene and the locations of blood spatter. This is important according to Bryant and Bryant (2020) because as mentioned earlier the first thing a FAO should do is preserve life and this may require them to move furniture for easy access for when paramedics arrive, the moving of furniture should be done carefully and should not be moved again. This should also be noted to the crime scene investigators as soon as they arrive or early in the investigation so that they know what the actual crime scene was like and discount the fact that something was moved. </w:t>
      </w:r>
    </w:p>
    <w:p w14:paraId="4EC0D694" w14:textId="43B508A5" w:rsidR="007B0572" w:rsidRDefault="00D366B2" w:rsidP="00AD05F1">
      <w:pPr>
        <w:spacing w:line="480" w:lineRule="auto"/>
        <w:rPr>
          <w:sz w:val="24"/>
          <w:szCs w:val="24"/>
          <w:u w:val="single"/>
        </w:rPr>
      </w:pPr>
      <w:r>
        <w:rPr>
          <w:sz w:val="24"/>
          <w:szCs w:val="24"/>
        </w:rPr>
        <w:t>The FAO would have to make known how the decision was made and rationale behind their action, this is done as Bryant and Bryant (2020) point out that the FAO would be required to write a statement and appear in court. An example they give is the moving of furniture to give access to an injured person for a paramedic crew. The FAO should</w:t>
      </w:r>
      <w:r>
        <w:rPr>
          <w:sz w:val="24"/>
          <w:szCs w:val="24"/>
          <w:highlight w:val="yellow"/>
        </w:rPr>
        <w:t xml:space="preserve"> </w:t>
      </w:r>
      <w:r>
        <w:rPr>
          <w:sz w:val="24"/>
          <w:szCs w:val="24"/>
        </w:rPr>
        <w:t xml:space="preserve">make a note </w:t>
      </w:r>
      <w:r w:rsidR="0047175E">
        <w:rPr>
          <w:sz w:val="24"/>
          <w:szCs w:val="24"/>
        </w:rPr>
        <w:t>of the</w:t>
      </w:r>
      <w:r>
        <w:rPr>
          <w:sz w:val="24"/>
          <w:szCs w:val="24"/>
        </w:rPr>
        <w:t xml:space="preserve"> original location of the furniture, the date and the time of when the furniture was moved and finally the reason why they made the move. A way to make this process easier is given by the College of Policing (2016) who have the viewpoint of police officers wearing body worn cameras, as they would be able to record exactly what the crime exactly looked like when the officers arrived at the scene. This viewpoint </w:t>
      </w:r>
      <w:r>
        <w:rPr>
          <w:sz w:val="24"/>
          <w:szCs w:val="24"/>
        </w:rPr>
        <w:lastRenderedPageBreak/>
        <w:t>is agreed by the Metropolitan Police (2020) who add that cameras would help officers when they would have to submit a report of either an encounter or of an incident.</w:t>
      </w:r>
    </w:p>
    <w:p w14:paraId="56F4CA40" w14:textId="6877983E" w:rsidR="007B0572" w:rsidRDefault="00D366B2" w:rsidP="00AD05F1">
      <w:pPr>
        <w:spacing w:line="480" w:lineRule="auto"/>
        <w:rPr>
          <w:sz w:val="24"/>
          <w:szCs w:val="24"/>
        </w:rPr>
      </w:pPr>
      <w:r>
        <w:rPr>
          <w:sz w:val="24"/>
          <w:szCs w:val="24"/>
        </w:rPr>
        <w:t xml:space="preserve">When at the crime scene to prevent contamination from people investigating at the scene everyone </w:t>
      </w:r>
      <w:r w:rsidR="0033493D">
        <w:rPr>
          <w:sz w:val="24"/>
          <w:szCs w:val="24"/>
        </w:rPr>
        <w:t>must</w:t>
      </w:r>
      <w:r>
        <w:rPr>
          <w:sz w:val="24"/>
          <w:szCs w:val="24"/>
        </w:rPr>
        <w:t xml:space="preserve"> wear Personal Protective Equipment (PPE). What has to be worn is outlined by Langford et al (2018), these are a scene suit with the hood worn when involved with serious offences, mob cap to retain hair so that it does not mix with hair at the scene, face masks to avoid talking which could leave saliva, overshoes so that shoe prints are not mixed with the suspects and powder free gloves to prevent the leaving of fingerprints. </w:t>
      </w:r>
      <w:r w:rsidR="0033493D">
        <w:rPr>
          <w:sz w:val="24"/>
          <w:szCs w:val="24"/>
        </w:rPr>
        <w:t>Regarding</w:t>
      </w:r>
      <w:r>
        <w:rPr>
          <w:sz w:val="24"/>
          <w:szCs w:val="24"/>
        </w:rPr>
        <w:t xml:space="preserve"> the gloves should be double worn, this is done for two reasons. The first is that the top layer can be changed after coming into contact with a particular exhibit and the second is that if the person handles something sharp and it cuts the gloves then it will limit the chance of cutting the person and leaving blood at the scene.  </w:t>
      </w:r>
    </w:p>
    <w:p w14:paraId="07FFD4F7" w14:textId="77777777" w:rsidR="007B0572" w:rsidRDefault="00D366B2" w:rsidP="00AD05F1">
      <w:pPr>
        <w:spacing w:line="480" w:lineRule="auto"/>
        <w:rPr>
          <w:sz w:val="24"/>
          <w:szCs w:val="24"/>
        </w:rPr>
      </w:pPr>
      <w:r>
        <w:rPr>
          <w:sz w:val="24"/>
          <w:szCs w:val="24"/>
        </w:rPr>
        <w:t xml:space="preserve">At some crime scenes there is a need to wear specialist PPE, such as when dealing with hazardous materials as implicated by Fish et al (2010). An example would be what Fish et al (2010) label as level A, which is the highest used respiratory and skin protection from solid, liquid and gas type chemicals. This level is used when the chemicals have been identified and are at a high level of hazard to the respiratory system, skin and eyes. Some of the equipment that level A comprises are a chemical protective suit that covers the full body, two layers of chemical resistant gloves and boots that are also chemical resistant. Another example is level B has a high level of respiratory protection but less skin protection, it can provide protection against liquid splash protection but offers no protection against chemical gases. This level is used </w:t>
      </w:r>
      <w:r>
        <w:rPr>
          <w:sz w:val="24"/>
          <w:szCs w:val="24"/>
        </w:rPr>
        <w:lastRenderedPageBreak/>
        <w:t>when the chemical has been identified but the hazard does not require a high level of skin protection.</w:t>
      </w:r>
    </w:p>
    <w:p w14:paraId="7C99C7CA" w14:textId="77777777" w:rsidR="007B0572" w:rsidRDefault="00D366B2" w:rsidP="00AD05F1">
      <w:pPr>
        <w:spacing w:line="480" w:lineRule="auto"/>
        <w:rPr>
          <w:sz w:val="24"/>
          <w:szCs w:val="24"/>
        </w:rPr>
      </w:pPr>
      <w:r>
        <w:rPr>
          <w:sz w:val="24"/>
          <w:szCs w:val="24"/>
        </w:rPr>
        <w:t>There are issues when working with PPE according to Fish et al (2010). The main one will be heat stress, this could lead to heat exhaustion, a heat rash or heat cramps. The others are reduced vision depending on which level of PPE is being used and this could lead to trips or falls and harder to identify potential evidence. A reduction in the range of movement, this can affect a person because of the ability to manipulate due to having multiple layers of gloves on. Difficulties in communication as both speaking and hearing will be muffled and this would require the use of hand signals, radios can also be used if it is specially designed to be used in a contaminated area.</w:t>
      </w:r>
    </w:p>
    <w:p w14:paraId="32929C33" w14:textId="0ACB651D" w:rsidR="007B0572" w:rsidRDefault="00D366B2" w:rsidP="00AD05F1">
      <w:pPr>
        <w:spacing w:line="480" w:lineRule="auto"/>
        <w:rPr>
          <w:sz w:val="24"/>
          <w:szCs w:val="24"/>
        </w:rPr>
      </w:pPr>
      <w:r>
        <w:rPr>
          <w:sz w:val="24"/>
          <w:szCs w:val="24"/>
        </w:rPr>
        <w:t xml:space="preserve">When packaging evidence there are many different types of ways as suggested by Pepper (2010), the most common are polythene bags and have an adhesive seal that can show if the bag has been tampered with. Polythene bags are used for packaging </w:t>
      </w:r>
      <w:r w:rsidR="00037DA1">
        <w:rPr>
          <w:sz w:val="24"/>
          <w:szCs w:val="24"/>
        </w:rPr>
        <w:t>fibers</w:t>
      </w:r>
      <w:r>
        <w:rPr>
          <w:sz w:val="24"/>
          <w:szCs w:val="24"/>
        </w:rPr>
        <w:t>. For when packaging clothing for evidence they use a brown paper sack says Pepper (2010) because if they use a polythene bag the sample would decay. Circular plastic tubes are used with regards to packaging sharp objects like knives or screwdrivers, a box can also be used for sharp objects but mainly objects like glass or firearms, these are packaged differently with sharp objects being sellotaped to the bottom of the box and a firearm being secured with a string.</w:t>
      </w:r>
    </w:p>
    <w:p w14:paraId="3D7F2845" w14:textId="763A1AD5" w:rsidR="007B0572" w:rsidRDefault="00D366B2" w:rsidP="00AD05F1">
      <w:pPr>
        <w:spacing w:line="480" w:lineRule="auto"/>
        <w:rPr>
          <w:sz w:val="24"/>
          <w:szCs w:val="24"/>
        </w:rPr>
      </w:pPr>
      <w:r>
        <w:rPr>
          <w:sz w:val="24"/>
          <w:szCs w:val="24"/>
        </w:rPr>
        <w:t xml:space="preserve">The packaging of evidence should always be properly sealed as stated by Pepper (2010) this </w:t>
      </w:r>
      <w:r w:rsidR="0033493D">
        <w:rPr>
          <w:sz w:val="24"/>
          <w:szCs w:val="24"/>
        </w:rPr>
        <w:t>must</w:t>
      </w:r>
      <w:r>
        <w:rPr>
          <w:sz w:val="24"/>
          <w:szCs w:val="24"/>
        </w:rPr>
        <w:t xml:space="preserve"> be done </w:t>
      </w:r>
      <w:r w:rsidR="00037DA1">
        <w:rPr>
          <w:sz w:val="24"/>
          <w:szCs w:val="24"/>
        </w:rPr>
        <w:t>never mind</w:t>
      </w:r>
      <w:r>
        <w:rPr>
          <w:sz w:val="24"/>
          <w:szCs w:val="24"/>
        </w:rPr>
        <w:t xml:space="preserve"> what type of packaging is being used. This is done so that no minute trace of evidence can drop out of the packaging or enter the packaging. To overcome this situation Pepper (2010) proposes that the polythene and </w:t>
      </w:r>
      <w:r>
        <w:rPr>
          <w:sz w:val="24"/>
          <w:szCs w:val="24"/>
        </w:rPr>
        <w:lastRenderedPageBreak/>
        <w:t>paper sacks should be folded over twice at the before being sealed, this view is supported by Jackson et al (2016) who adds that in most instances it could also be suitable to double wrap items of evidence by placing the item within a second sealed container. To also avoid contamination between samples it is necessary that all the items are packaged separately in previously unused containers.</w:t>
      </w:r>
    </w:p>
    <w:p w14:paraId="5238AD71" w14:textId="77777777" w:rsidR="007B0572" w:rsidRDefault="00D366B2" w:rsidP="00AD05F1">
      <w:pPr>
        <w:spacing w:line="480" w:lineRule="auto"/>
        <w:rPr>
          <w:sz w:val="24"/>
          <w:szCs w:val="24"/>
        </w:rPr>
      </w:pPr>
      <w:r>
        <w:rPr>
          <w:sz w:val="24"/>
          <w:szCs w:val="24"/>
        </w:rPr>
        <w:t>When packaging evidence, Pepper (2010) says that they should be properly labeled with the name of the person who found the sample, the date it was recovered, the location when it was discovered and an identifying mark which is the person who discovered the samples initials and the number of the sample in its sequence of recovery and it can sometimes be prefixed with a number. An example is given by Pepper (2010) 12345 IKP 5, the IKP would be the initials and the 5 signifies that it was the fifth sample that was recovered. The label should also have the signature of everyone who has handled the sample of evidence since its recovery.</w:t>
      </w:r>
    </w:p>
    <w:p w14:paraId="6362A1BD" w14:textId="4163CEB1" w:rsidR="007B0572" w:rsidRDefault="00D366B2" w:rsidP="00AD05F1">
      <w:pPr>
        <w:spacing w:line="480" w:lineRule="auto"/>
        <w:rPr>
          <w:sz w:val="24"/>
          <w:szCs w:val="24"/>
        </w:rPr>
      </w:pPr>
      <w:r>
        <w:rPr>
          <w:sz w:val="24"/>
          <w:szCs w:val="24"/>
        </w:rPr>
        <w:t xml:space="preserve">The </w:t>
      </w:r>
      <w:r w:rsidR="0033493D">
        <w:rPr>
          <w:sz w:val="24"/>
          <w:szCs w:val="24"/>
        </w:rPr>
        <w:t>most sought</w:t>
      </w:r>
      <w:r>
        <w:rPr>
          <w:sz w:val="24"/>
          <w:szCs w:val="24"/>
        </w:rPr>
        <w:t xml:space="preserve"> of physical evidence at a crime scene that is of high quality is fingermarks as mentioned by Jackson et al (2016), fingermarks are favoured because the technology is well developed and easy to apply. The writers add that fingermarks can be compared to fingerprints that have been previously collected from known individuals. Fingerprint evidence is willingly accepted in courts. Jackson et al (2016) notes that when the body of the victim of a murder has been moved then the search for evidence would continue in a systematic fashion and it is also common to search the area of a crime scene at least twice, with the second search happening before the processing of the scene is deemed to be clear. </w:t>
      </w:r>
    </w:p>
    <w:p w14:paraId="59E3B9C2" w14:textId="77777777" w:rsidR="007B0572" w:rsidRDefault="007B0572" w:rsidP="00AD05F1">
      <w:pPr>
        <w:spacing w:line="480" w:lineRule="auto"/>
        <w:rPr>
          <w:sz w:val="24"/>
          <w:szCs w:val="24"/>
          <w:u w:val="single"/>
        </w:rPr>
      </w:pPr>
    </w:p>
    <w:p w14:paraId="105A291D" w14:textId="77777777" w:rsidR="007B0572" w:rsidRDefault="00D366B2" w:rsidP="00AD05F1">
      <w:pPr>
        <w:spacing w:line="480" w:lineRule="auto"/>
        <w:rPr>
          <w:sz w:val="24"/>
          <w:szCs w:val="24"/>
          <w:u w:val="single"/>
        </w:rPr>
      </w:pPr>
      <w:r>
        <w:rPr>
          <w:sz w:val="24"/>
          <w:szCs w:val="24"/>
          <w:u w:val="single"/>
        </w:rPr>
        <w:lastRenderedPageBreak/>
        <w:t>Part B</w:t>
      </w:r>
    </w:p>
    <w:p w14:paraId="6DE7E4A5" w14:textId="77777777" w:rsidR="007B0572" w:rsidRDefault="00D366B2" w:rsidP="00AD05F1">
      <w:pPr>
        <w:spacing w:line="480" w:lineRule="auto"/>
        <w:rPr>
          <w:sz w:val="24"/>
          <w:szCs w:val="24"/>
        </w:rPr>
      </w:pPr>
      <w:r>
        <w:rPr>
          <w:sz w:val="24"/>
          <w:szCs w:val="24"/>
        </w:rPr>
        <w:t>Within the United Kingdom (UK), there are numerous legislation as pointed out by the UK Government (2020) who give examples such as the Police and Criminal Evidence Act of 1984 or more commonly known as PACE and the Criminal Procedure and Investigations Act of 1996 that give guidance on investigations. Forensic institutions would also have adhere to health and safety legislations according to Langford et al (2019), the main one he mentions being the Health and Safety at Work Act of 1974 and they would also have to adhere to the Control of Substances Hazardous to Health or more commonly known as COSHH regulations of 2002, these regulations demand specific requirements for risk assessment that involve hazardous chemicals or biological agents.</w:t>
      </w:r>
    </w:p>
    <w:p w14:paraId="743B8719" w14:textId="77777777" w:rsidR="007B0572" w:rsidRDefault="00D366B2" w:rsidP="00AD05F1">
      <w:pPr>
        <w:spacing w:line="480" w:lineRule="auto"/>
        <w:rPr>
          <w:sz w:val="24"/>
          <w:szCs w:val="24"/>
        </w:rPr>
      </w:pPr>
      <w:r>
        <w:rPr>
          <w:sz w:val="24"/>
          <w:szCs w:val="24"/>
        </w:rPr>
        <w:t xml:space="preserve">Before 1987 there was no single standardized method of training of crime scene investigators as presented by Pepper (2010), he mentions that a report recommended that there should be a standardized training for crime scene investigators centered on the core elements of forensic evidence recovery. A standardized training could have an impact on keeping a high standard with Page et al (2019) mentioning that standards were falling below what should be expected or have already fallen and they direct to the media, parliamentary and academic reporting of miscarriages of justice as a result of poor forensic practices. Majority of police forces in the UK use the National Training Centre for Scientific Support to Crime Investigation (NTCSSCI) as given by Pepper (2010). He also alludes that the Metropolitan Police Force have their own Scientific Support College that is based at Hendon, these courses duration range from 8 to 12 weeks. </w:t>
      </w:r>
    </w:p>
    <w:p w14:paraId="2ABABF59" w14:textId="77777777" w:rsidR="007B0572" w:rsidRDefault="00D366B2" w:rsidP="00AD05F1">
      <w:pPr>
        <w:spacing w:line="480" w:lineRule="auto"/>
        <w:rPr>
          <w:sz w:val="24"/>
          <w:szCs w:val="24"/>
        </w:rPr>
      </w:pPr>
      <w:r>
        <w:rPr>
          <w:sz w:val="24"/>
          <w:szCs w:val="24"/>
        </w:rPr>
        <w:lastRenderedPageBreak/>
        <w:t xml:space="preserve">This standardized training for crime scene investigators could be important because everyone would have the same methods in how they would collect evidence and there would also be a standardized model in how new technological developments in forensics can also be taught in the same manner. Having multiple different places teaching forensics, would mean that one crime scene investigator would have different methods compared to another. This would cause problems if two crime scene investigators from different police forces with different training were to work together because they would be confused on what method of collecting evidence they are using and this may cause evidence to be missed or contaminated by accident. </w:t>
      </w:r>
    </w:p>
    <w:p w14:paraId="594B7726" w14:textId="2D7152F2" w:rsidR="007B0572" w:rsidRDefault="00D366B2" w:rsidP="00AD05F1">
      <w:pPr>
        <w:spacing w:line="480" w:lineRule="auto"/>
        <w:rPr>
          <w:sz w:val="24"/>
          <w:szCs w:val="24"/>
        </w:rPr>
      </w:pPr>
      <w:r>
        <w:rPr>
          <w:sz w:val="24"/>
          <w:szCs w:val="24"/>
        </w:rPr>
        <w:t xml:space="preserve">A current case that has been solved </w:t>
      </w:r>
      <w:r w:rsidR="001D2977">
        <w:rPr>
          <w:sz w:val="24"/>
          <w:szCs w:val="24"/>
        </w:rPr>
        <w:t>using</w:t>
      </w:r>
      <w:r>
        <w:rPr>
          <w:sz w:val="24"/>
          <w:szCs w:val="24"/>
        </w:rPr>
        <w:t xml:space="preserve"> forensic science is the murder of </w:t>
      </w:r>
      <w:r w:rsidR="004819DA">
        <w:rPr>
          <w:sz w:val="24"/>
          <w:szCs w:val="24"/>
        </w:rPr>
        <w:t>Michael</w:t>
      </w:r>
      <w:r>
        <w:rPr>
          <w:sz w:val="24"/>
          <w:szCs w:val="24"/>
        </w:rPr>
        <w:t xml:space="preserve"> O’Leary. Williams (2020) explains that O’Leary was murdered by his friend Andrew Jones because O’Leary was having an affair with Jones’s wife. Jones killed O’Leary with a gun and then disposed of the body by using a forklift and he went to burn the body. When the police were searching Andrew Jones’s property they found a gun and bullet castings, they also found bloodstains on the forklift and on a pushbike, this blood was a match to O’Leary. The police found some of </w:t>
      </w:r>
      <w:r w:rsidR="004819DA">
        <w:rPr>
          <w:sz w:val="24"/>
          <w:szCs w:val="24"/>
        </w:rPr>
        <w:t>O’Leary’s</w:t>
      </w:r>
      <w:r>
        <w:rPr>
          <w:sz w:val="24"/>
          <w:szCs w:val="24"/>
        </w:rPr>
        <w:t xml:space="preserve"> small intestine, this is the only part of his body that has been discovered to date. Forensic science helped the police to prove their theory that this murder was committed by Andrew Jones.</w:t>
      </w:r>
    </w:p>
    <w:p w14:paraId="3F26C106" w14:textId="77777777" w:rsidR="007B0572" w:rsidRDefault="00D366B2" w:rsidP="00AD05F1">
      <w:pPr>
        <w:spacing w:line="480" w:lineRule="auto"/>
        <w:rPr>
          <w:sz w:val="24"/>
          <w:szCs w:val="24"/>
        </w:rPr>
      </w:pPr>
      <w:r>
        <w:rPr>
          <w:sz w:val="24"/>
          <w:szCs w:val="24"/>
        </w:rPr>
        <w:t xml:space="preserve">In recent years forensic science has helped to solve cases that are decades old an example of this would be the Melanie Road Murder that happened in 1984 as implied by Parker (2020), he says this case had been unsolved for 32 years and was only solved because of a successful DNA profile. Hayhurst (2016) explains that Melanie Road was 17 years old at the time and was stabbed 26 times after she had been raped in Bath. </w:t>
      </w:r>
      <w:r>
        <w:rPr>
          <w:sz w:val="24"/>
          <w:szCs w:val="24"/>
        </w:rPr>
        <w:lastRenderedPageBreak/>
        <w:t>The police had first collected DNA samples at the location her body was found but in 1984 DNA analysis was not available, however the police force kept all the samples and evidence collected from the scene. In the years following the murder there were theories from the press as suggested by Curran and Seaton (2018), one of these theories was that there was a connection with another murder of a women that happened in 1974.</w:t>
      </w:r>
    </w:p>
    <w:p w14:paraId="4CC7E350" w14:textId="51CDB047" w:rsidR="007B0572" w:rsidRDefault="00D366B2" w:rsidP="00AD05F1">
      <w:pPr>
        <w:spacing w:line="480" w:lineRule="auto"/>
        <w:rPr>
          <w:sz w:val="24"/>
          <w:szCs w:val="24"/>
          <w:u w:val="single"/>
        </w:rPr>
      </w:pPr>
      <w:r>
        <w:rPr>
          <w:sz w:val="24"/>
          <w:szCs w:val="24"/>
        </w:rPr>
        <w:t xml:space="preserve">In the 1990’s a DNA profile of the suspect says Hayhurst (2016) that was extracted from samples and was loaded onto the DNA database, at the time there was not a match because the culprit had not been arrested for any criminal offences. A breakthrough happened when in 2014 the </w:t>
      </w:r>
      <w:r w:rsidR="0033493D">
        <w:rPr>
          <w:sz w:val="24"/>
          <w:szCs w:val="24"/>
        </w:rPr>
        <w:t>culprit’s</w:t>
      </w:r>
      <w:r>
        <w:rPr>
          <w:sz w:val="24"/>
          <w:szCs w:val="24"/>
        </w:rPr>
        <w:t xml:space="preserve"> daughter was arrested after a domestic incident, police protocol with domestic violence means that she was </w:t>
      </w:r>
      <w:r w:rsidR="0033493D">
        <w:rPr>
          <w:sz w:val="24"/>
          <w:szCs w:val="24"/>
        </w:rPr>
        <w:t>cautioned,</w:t>
      </w:r>
      <w:r>
        <w:rPr>
          <w:sz w:val="24"/>
          <w:szCs w:val="24"/>
        </w:rPr>
        <w:t xml:space="preserve"> and her DNA was then uploaded to the national database. A year later Morris (2016) says that cold case detectives again ran the samples from Melanie Road murder and found a match with the </w:t>
      </w:r>
      <w:r w:rsidR="0033493D">
        <w:rPr>
          <w:sz w:val="24"/>
          <w:szCs w:val="24"/>
        </w:rPr>
        <w:t>culprit’s</w:t>
      </w:r>
      <w:r>
        <w:rPr>
          <w:sz w:val="24"/>
          <w:szCs w:val="24"/>
        </w:rPr>
        <w:t xml:space="preserve"> daughter. The killer was identified as Christopher Hampton who provided a sample of his DNA that matched the samples from the scene. The catching of the killer was only possible because the police first were able to identify the DNA sample </w:t>
      </w:r>
      <w:r w:rsidR="0033493D">
        <w:rPr>
          <w:sz w:val="24"/>
          <w:szCs w:val="24"/>
        </w:rPr>
        <w:t>and</w:t>
      </w:r>
      <w:r>
        <w:rPr>
          <w:sz w:val="24"/>
          <w:szCs w:val="24"/>
        </w:rPr>
        <w:t xml:space="preserve"> keeping a hold of them. If those samples were destroyed or not collected then the killer may have never been caught.</w:t>
      </w:r>
    </w:p>
    <w:p w14:paraId="2B684FA0" w14:textId="4E04A50E" w:rsidR="007B0572" w:rsidRDefault="00D366B2" w:rsidP="00AD05F1">
      <w:pPr>
        <w:spacing w:line="480" w:lineRule="auto"/>
        <w:rPr>
          <w:sz w:val="24"/>
          <w:szCs w:val="24"/>
        </w:rPr>
      </w:pPr>
      <w:r>
        <w:rPr>
          <w:sz w:val="24"/>
          <w:szCs w:val="24"/>
        </w:rPr>
        <w:t xml:space="preserve">However, forensic science is not full proof and there have been mistakes that could result in either miscarriages of justice happening or a case against a suspect being possibly harder. An example of a mistake happening in a case is during the Stephen Lawrence murder. The BBC (2018) explains what happened to Stephen Lawrence, in 1993 the </w:t>
      </w:r>
      <w:r w:rsidR="0033493D">
        <w:rPr>
          <w:sz w:val="24"/>
          <w:szCs w:val="24"/>
        </w:rPr>
        <w:t>18-year-old</w:t>
      </w:r>
      <w:r>
        <w:rPr>
          <w:sz w:val="24"/>
          <w:szCs w:val="24"/>
        </w:rPr>
        <w:t xml:space="preserve"> was stabbed to death in an unprovoked attack by a group of white </w:t>
      </w:r>
      <w:r>
        <w:rPr>
          <w:sz w:val="24"/>
          <w:szCs w:val="24"/>
        </w:rPr>
        <w:lastRenderedPageBreak/>
        <w:t xml:space="preserve">youths in London. After the initial </w:t>
      </w:r>
      <w:r w:rsidR="001D2977">
        <w:rPr>
          <w:sz w:val="24"/>
          <w:szCs w:val="24"/>
        </w:rPr>
        <w:t>investigation,</w:t>
      </w:r>
      <w:r>
        <w:rPr>
          <w:sz w:val="24"/>
          <w:szCs w:val="24"/>
        </w:rPr>
        <w:t xml:space="preserve"> the crown prosecution service (CPS) dropped the charges against two attackers, in 2012 the two suspects were eventually found guilty of murdering Stephen Lawrence.</w:t>
      </w:r>
    </w:p>
    <w:p w14:paraId="5BC3859D" w14:textId="7DD72A6B" w:rsidR="007B0572" w:rsidRDefault="00D366B2" w:rsidP="00AD05F1">
      <w:pPr>
        <w:spacing w:line="480" w:lineRule="auto"/>
        <w:rPr>
          <w:sz w:val="24"/>
          <w:szCs w:val="24"/>
        </w:rPr>
      </w:pPr>
      <w:r>
        <w:rPr>
          <w:sz w:val="24"/>
          <w:szCs w:val="24"/>
        </w:rPr>
        <w:t xml:space="preserve">During the initial investigation of the murder there were issues with forensics as Laville (2011) reports that one of the mistakes was putting the wrong case number on a piece of evidence. Because of this mistake the forensic examiner reported there were no </w:t>
      </w:r>
      <w:r w:rsidR="004819DA">
        <w:rPr>
          <w:sz w:val="24"/>
          <w:szCs w:val="24"/>
        </w:rPr>
        <w:t>fibers</w:t>
      </w:r>
      <w:r>
        <w:rPr>
          <w:sz w:val="24"/>
          <w:szCs w:val="24"/>
        </w:rPr>
        <w:t xml:space="preserve"> that connected the suspects to the murder, even though there were </w:t>
      </w:r>
      <w:r w:rsidR="004819DA">
        <w:rPr>
          <w:sz w:val="24"/>
          <w:szCs w:val="24"/>
        </w:rPr>
        <w:t>fibers</w:t>
      </w:r>
      <w:r>
        <w:rPr>
          <w:sz w:val="24"/>
          <w:szCs w:val="24"/>
        </w:rPr>
        <w:t>. The forensic examiner put this mistake down to doing a different case at the same time as the Stephen Lawrence case. However, it was the use of forensics that was key in the Stephen Lawrence case according to Davis (2012), a reexamination of forensic evidence was able to disprove the defense of the suspects. This case shows that human error in documenting evidence can be crucial and could result in a miscarriage of justice.</w:t>
      </w:r>
    </w:p>
    <w:p w14:paraId="76E9C5BA" w14:textId="41ACA866" w:rsidR="007B0572" w:rsidRDefault="00D366B2" w:rsidP="00AD05F1">
      <w:pPr>
        <w:spacing w:line="480" w:lineRule="auto"/>
        <w:rPr>
          <w:sz w:val="24"/>
          <w:szCs w:val="24"/>
        </w:rPr>
      </w:pPr>
      <w:r>
        <w:rPr>
          <w:sz w:val="24"/>
          <w:szCs w:val="24"/>
        </w:rPr>
        <w:t xml:space="preserve">A second example would be the Gilfoyle case. The background of the case is described by Smith and Bond (2014), this case is about the suicide of Paula Gilfoyle by hanging but Paula’s friends and family have the belief that Eddie Gilfoyle murdered Paula. Both Smith and Bond (2014) and Robins (2018) note that there was a suicide note written by Paula however again Paula’s family believe that this suicide note was written by Paula after Eddie had asked her to write a mock letter after he </w:t>
      </w:r>
      <w:r w:rsidR="004819DA">
        <w:rPr>
          <w:sz w:val="24"/>
          <w:szCs w:val="24"/>
        </w:rPr>
        <w:t>suicide</w:t>
      </w:r>
      <w:r>
        <w:rPr>
          <w:sz w:val="24"/>
          <w:szCs w:val="24"/>
        </w:rPr>
        <w:t xml:space="preserve"> prevention training at the hospital he worked at. Eddie Gilfoyle would be found guilty of murdering Paula in 1992 as written by the BBC (2010) and was released in 2010 by being given parole, he always pleaded his innocence.</w:t>
      </w:r>
    </w:p>
    <w:p w14:paraId="01536DC8" w14:textId="4F8ADB2B" w:rsidR="007B0572" w:rsidRDefault="00D366B2" w:rsidP="00AD05F1">
      <w:pPr>
        <w:spacing w:line="480" w:lineRule="auto"/>
        <w:rPr>
          <w:sz w:val="24"/>
          <w:szCs w:val="24"/>
        </w:rPr>
      </w:pPr>
      <w:r>
        <w:rPr>
          <w:sz w:val="24"/>
          <w:szCs w:val="24"/>
        </w:rPr>
        <w:lastRenderedPageBreak/>
        <w:t xml:space="preserve">When the police arrived at home of </w:t>
      </w:r>
      <w:r w:rsidR="0047175E">
        <w:rPr>
          <w:sz w:val="24"/>
          <w:szCs w:val="24"/>
        </w:rPr>
        <w:t>Gilfoyle’s</w:t>
      </w:r>
      <w:r>
        <w:rPr>
          <w:sz w:val="24"/>
          <w:szCs w:val="24"/>
        </w:rPr>
        <w:t xml:space="preserve">, they found Paula hanging in the garage and they made the decision to cut her down as noted by Robins (2018) because they wanted to give her dignity. At this initial point there was no indication by the officers that it was a murder and that it was suicide. No photographs were taken of the scene and the police also removed the rope from the beam, this bit of rope would be kept in the pocket of a police officer and then a member of the mortuary threw away the piece of rope into a waste bin. At this point the police still had the view that it was suicide. When the prosecution </w:t>
      </w:r>
      <w:r w:rsidR="0033493D">
        <w:rPr>
          <w:sz w:val="24"/>
          <w:szCs w:val="24"/>
        </w:rPr>
        <w:t>was</w:t>
      </w:r>
      <w:r>
        <w:rPr>
          <w:sz w:val="24"/>
          <w:szCs w:val="24"/>
        </w:rPr>
        <w:t xml:space="preserve"> preparing the evidence for court, Alison (2013) who was involved in the case says that wanted to have the suicide note tested to see if Paula really wrote the note or if Eddie did. Alison (2013) says that they look at letters from both </w:t>
      </w:r>
      <w:r w:rsidR="0047175E">
        <w:rPr>
          <w:sz w:val="24"/>
          <w:szCs w:val="24"/>
        </w:rPr>
        <w:t>Gilfoyle’s</w:t>
      </w:r>
      <w:r>
        <w:rPr>
          <w:sz w:val="24"/>
          <w:szCs w:val="24"/>
        </w:rPr>
        <w:t xml:space="preserve"> to see how they </w:t>
      </w:r>
      <w:r w:rsidR="0033493D">
        <w:rPr>
          <w:sz w:val="24"/>
          <w:szCs w:val="24"/>
        </w:rPr>
        <w:t>write,</w:t>
      </w:r>
      <w:r>
        <w:rPr>
          <w:sz w:val="24"/>
          <w:szCs w:val="24"/>
        </w:rPr>
        <w:t xml:space="preserve"> and Alison (2013) </w:t>
      </w:r>
      <w:r w:rsidR="0033493D">
        <w:rPr>
          <w:sz w:val="24"/>
          <w:szCs w:val="24"/>
        </w:rPr>
        <w:t>cannot</w:t>
      </w:r>
      <w:r>
        <w:rPr>
          <w:sz w:val="24"/>
          <w:szCs w:val="24"/>
        </w:rPr>
        <w:t xml:space="preserve"> totally believe that Eddie forced Paula to write the note. </w:t>
      </w:r>
      <w:r w:rsidR="0033493D">
        <w:rPr>
          <w:sz w:val="24"/>
          <w:szCs w:val="24"/>
        </w:rPr>
        <w:t>Also,</w:t>
      </w:r>
      <w:r>
        <w:rPr>
          <w:sz w:val="24"/>
          <w:szCs w:val="24"/>
        </w:rPr>
        <w:t xml:space="preserve"> in court, Robins (2018) says that they also did experiments to prove that a woman who was 8 months pregnant could not hang themselves, this theory has since been disproven.</w:t>
      </w:r>
    </w:p>
    <w:p w14:paraId="78A732D9" w14:textId="77777777" w:rsidR="007B0572" w:rsidRDefault="00D366B2" w:rsidP="00AD05F1">
      <w:pPr>
        <w:spacing w:line="480" w:lineRule="auto"/>
        <w:rPr>
          <w:sz w:val="24"/>
          <w:szCs w:val="24"/>
        </w:rPr>
      </w:pPr>
      <w:r>
        <w:rPr>
          <w:sz w:val="24"/>
          <w:szCs w:val="24"/>
        </w:rPr>
        <w:t>This case shows a lot of failings from a forensic and a packaging point of view. This is clearly seen when a police officer put the rope that was used in his pocket and not packaged it properly, this means that the rope was now cross contaminated and this was before it was thrown away. This rope as well as no notes about what the scene was like when the police found the body could have led to a man being possibly wrongly convicted for a murder that one he did not commit and two maybe was not a murder in the first place.</w:t>
      </w:r>
    </w:p>
    <w:p w14:paraId="41569A95" w14:textId="77777777" w:rsidR="007B0572" w:rsidRDefault="00D366B2" w:rsidP="00AD05F1">
      <w:pPr>
        <w:spacing w:line="480" w:lineRule="auto"/>
        <w:rPr>
          <w:sz w:val="24"/>
          <w:szCs w:val="24"/>
        </w:rPr>
      </w:pPr>
      <w:r>
        <w:rPr>
          <w:sz w:val="24"/>
          <w:szCs w:val="24"/>
        </w:rPr>
        <w:t xml:space="preserve">The conclusion of this essay is that forensics is very important in an investigation because it helps the police to find the correct suspect and this starts with the role of the </w:t>
      </w:r>
      <w:r>
        <w:rPr>
          <w:sz w:val="24"/>
          <w:szCs w:val="24"/>
        </w:rPr>
        <w:lastRenderedPageBreak/>
        <w:t>FAO, this role's aim is to prevent cross contamination which could lead to a case not being solved or someone being wrongly convicted of a crime. When a miscarriage of justice happens involving forensics is due to human error either by not having documents properly marked and not following the correct protocols.</w:t>
      </w:r>
    </w:p>
    <w:p w14:paraId="32750CCA" w14:textId="77777777" w:rsidR="007B0572" w:rsidRDefault="007B0572">
      <w:pPr>
        <w:spacing w:line="480" w:lineRule="auto"/>
        <w:rPr>
          <w:sz w:val="24"/>
          <w:szCs w:val="24"/>
        </w:rPr>
      </w:pPr>
    </w:p>
    <w:p w14:paraId="4F785FDF" w14:textId="77777777" w:rsidR="007B0572" w:rsidRDefault="007B0572">
      <w:pPr>
        <w:spacing w:line="480" w:lineRule="auto"/>
        <w:rPr>
          <w:sz w:val="24"/>
          <w:szCs w:val="24"/>
        </w:rPr>
      </w:pPr>
    </w:p>
    <w:p w14:paraId="5802DA95" w14:textId="77777777" w:rsidR="007B0572" w:rsidRDefault="007B0572">
      <w:pPr>
        <w:spacing w:line="480" w:lineRule="auto"/>
        <w:rPr>
          <w:sz w:val="24"/>
          <w:szCs w:val="24"/>
        </w:rPr>
      </w:pPr>
    </w:p>
    <w:p w14:paraId="0088678A" w14:textId="77777777" w:rsidR="007B0572" w:rsidRDefault="007B0572">
      <w:pPr>
        <w:spacing w:line="480" w:lineRule="auto"/>
        <w:rPr>
          <w:sz w:val="24"/>
          <w:szCs w:val="24"/>
        </w:rPr>
      </w:pPr>
    </w:p>
    <w:p w14:paraId="0BF8D1B5" w14:textId="77777777" w:rsidR="007B0572" w:rsidRDefault="007B0572">
      <w:pPr>
        <w:spacing w:line="480" w:lineRule="auto"/>
        <w:rPr>
          <w:sz w:val="24"/>
          <w:szCs w:val="24"/>
        </w:rPr>
      </w:pPr>
    </w:p>
    <w:p w14:paraId="6391C58D" w14:textId="77777777" w:rsidR="007B0572" w:rsidRDefault="007B0572">
      <w:pPr>
        <w:spacing w:line="480" w:lineRule="auto"/>
        <w:rPr>
          <w:sz w:val="24"/>
          <w:szCs w:val="24"/>
        </w:rPr>
      </w:pPr>
    </w:p>
    <w:p w14:paraId="6A548B6C" w14:textId="77777777" w:rsidR="007B0572" w:rsidRDefault="007B0572">
      <w:pPr>
        <w:spacing w:line="480" w:lineRule="auto"/>
        <w:rPr>
          <w:sz w:val="24"/>
          <w:szCs w:val="24"/>
        </w:rPr>
      </w:pPr>
    </w:p>
    <w:p w14:paraId="4875A49F" w14:textId="77777777" w:rsidR="007B0572" w:rsidRDefault="007B0572">
      <w:pPr>
        <w:spacing w:line="480" w:lineRule="auto"/>
        <w:rPr>
          <w:sz w:val="24"/>
          <w:szCs w:val="24"/>
        </w:rPr>
      </w:pPr>
    </w:p>
    <w:p w14:paraId="6439414D" w14:textId="77777777" w:rsidR="007B0572" w:rsidRDefault="007B0572">
      <w:pPr>
        <w:spacing w:line="480" w:lineRule="auto"/>
        <w:rPr>
          <w:sz w:val="24"/>
          <w:szCs w:val="24"/>
        </w:rPr>
      </w:pPr>
    </w:p>
    <w:p w14:paraId="038B0323" w14:textId="77777777" w:rsidR="007B0572" w:rsidRDefault="007B0572">
      <w:pPr>
        <w:spacing w:line="480" w:lineRule="auto"/>
        <w:rPr>
          <w:sz w:val="24"/>
          <w:szCs w:val="24"/>
        </w:rPr>
      </w:pPr>
    </w:p>
    <w:p w14:paraId="0704193B" w14:textId="77777777" w:rsidR="007B0572" w:rsidRDefault="007B0572">
      <w:pPr>
        <w:spacing w:line="480" w:lineRule="auto"/>
        <w:rPr>
          <w:sz w:val="24"/>
          <w:szCs w:val="24"/>
        </w:rPr>
      </w:pPr>
    </w:p>
    <w:p w14:paraId="434892CC" w14:textId="77777777" w:rsidR="007B0572" w:rsidRDefault="007B0572">
      <w:pPr>
        <w:spacing w:line="480" w:lineRule="auto"/>
        <w:rPr>
          <w:sz w:val="24"/>
          <w:szCs w:val="24"/>
        </w:rPr>
      </w:pPr>
    </w:p>
    <w:p w14:paraId="523475F3" w14:textId="77777777" w:rsidR="007B0572" w:rsidRDefault="007B0572">
      <w:pPr>
        <w:spacing w:line="480" w:lineRule="auto"/>
        <w:rPr>
          <w:sz w:val="24"/>
          <w:szCs w:val="24"/>
        </w:rPr>
      </w:pPr>
    </w:p>
    <w:p w14:paraId="419DBCF3" w14:textId="77777777" w:rsidR="007B0572" w:rsidRDefault="007B0572">
      <w:pPr>
        <w:spacing w:line="480" w:lineRule="auto"/>
        <w:rPr>
          <w:sz w:val="24"/>
          <w:szCs w:val="24"/>
        </w:rPr>
      </w:pPr>
    </w:p>
    <w:p w14:paraId="5B668FAA" w14:textId="77777777" w:rsidR="007B0572" w:rsidRDefault="007B0572">
      <w:pPr>
        <w:spacing w:line="480" w:lineRule="auto"/>
        <w:rPr>
          <w:sz w:val="24"/>
          <w:szCs w:val="24"/>
        </w:rPr>
      </w:pPr>
    </w:p>
    <w:p w14:paraId="08A2615A" w14:textId="77777777" w:rsidR="007B0572" w:rsidRDefault="007B0572">
      <w:pPr>
        <w:spacing w:line="480" w:lineRule="auto"/>
        <w:rPr>
          <w:sz w:val="24"/>
          <w:szCs w:val="24"/>
        </w:rPr>
      </w:pPr>
    </w:p>
    <w:p w14:paraId="587D5F15" w14:textId="77777777" w:rsidR="007B0572" w:rsidRDefault="007B0572">
      <w:pPr>
        <w:spacing w:line="480" w:lineRule="auto"/>
        <w:rPr>
          <w:sz w:val="24"/>
          <w:szCs w:val="24"/>
        </w:rPr>
      </w:pPr>
    </w:p>
    <w:p w14:paraId="5CB59AF8" w14:textId="77777777" w:rsidR="007B0572" w:rsidRDefault="007B0572">
      <w:pPr>
        <w:spacing w:line="480" w:lineRule="auto"/>
        <w:rPr>
          <w:sz w:val="24"/>
          <w:szCs w:val="24"/>
        </w:rPr>
      </w:pPr>
    </w:p>
    <w:p w14:paraId="3E06FCFA" w14:textId="77777777" w:rsidR="007B0572" w:rsidRDefault="007B0572">
      <w:pPr>
        <w:spacing w:line="480" w:lineRule="auto"/>
        <w:rPr>
          <w:sz w:val="24"/>
          <w:szCs w:val="24"/>
        </w:rPr>
      </w:pPr>
    </w:p>
    <w:p w14:paraId="2D23D757" w14:textId="77777777" w:rsidR="007B0572" w:rsidRDefault="00D366B2">
      <w:pPr>
        <w:spacing w:line="480" w:lineRule="auto"/>
        <w:jc w:val="center"/>
        <w:rPr>
          <w:sz w:val="24"/>
          <w:szCs w:val="24"/>
          <w:u w:val="single"/>
        </w:rPr>
      </w:pPr>
      <w:r>
        <w:rPr>
          <w:sz w:val="24"/>
          <w:szCs w:val="24"/>
          <w:u w:val="single"/>
        </w:rPr>
        <w:lastRenderedPageBreak/>
        <w:t>Reference list</w:t>
      </w:r>
    </w:p>
    <w:p w14:paraId="5308FA3F" w14:textId="77777777" w:rsidR="007B0572" w:rsidRDefault="00D366B2" w:rsidP="00AD05F1">
      <w:pPr>
        <w:spacing w:line="360" w:lineRule="auto"/>
        <w:rPr>
          <w:sz w:val="24"/>
          <w:szCs w:val="24"/>
        </w:rPr>
      </w:pPr>
      <w:r>
        <w:rPr>
          <w:sz w:val="24"/>
          <w:szCs w:val="24"/>
        </w:rPr>
        <w:t>Alison, L. (2013) Forensic Psychologists Casebook: Psychological profiling and criminal investigation. Routledge. 2013.</w:t>
      </w:r>
    </w:p>
    <w:p w14:paraId="1A753455" w14:textId="77777777" w:rsidR="007B0572" w:rsidRDefault="007B0572" w:rsidP="00AD05F1">
      <w:pPr>
        <w:spacing w:line="360" w:lineRule="auto"/>
        <w:rPr>
          <w:sz w:val="24"/>
          <w:szCs w:val="24"/>
        </w:rPr>
      </w:pPr>
    </w:p>
    <w:p w14:paraId="1D655482" w14:textId="77777777" w:rsidR="007B0572" w:rsidRDefault="00D366B2" w:rsidP="00AD05F1">
      <w:pPr>
        <w:spacing w:line="360" w:lineRule="auto"/>
        <w:rPr>
          <w:sz w:val="24"/>
          <w:szCs w:val="24"/>
        </w:rPr>
      </w:pPr>
      <w:r>
        <w:rPr>
          <w:sz w:val="24"/>
          <w:szCs w:val="24"/>
        </w:rPr>
        <w:t xml:space="preserve">BBC. (2010) Convicted wife killer Eddie Gilfoyle freed from prison. BBC News. Available at </w:t>
      </w:r>
      <w:hyperlink r:id="rId7">
        <w:r>
          <w:rPr>
            <w:color w:val="1155CC"/>
            <w:sz w:val="24"/>
            <w:szCs w:val="24"/>
            <w:u w:val="single"/>
          </w:rPr>
          <w:t>https://www.bbc.co.uk/news/uk-england-merseyside-12065854</w:t>
        </w:r>
      </w:hyperlink>
      <w:r>
        <w:rPr>
          <w:sz w:val="24"/>
          <w:szCs w:val="24"/>
        </w:rPr>
        <w:t>. Accessed on Thursday November 5. 2020.</w:t>
      </w:r>
    </w:p>
    <w:p w14:paraId="5367B879" w14:textId="77777777" w:rsidR="007B0572" w:rsidRDefault="007B0572" w:rsidP="00AD05F1">
      <w:pPr>
        <w:spacing w:line="360" w:lineRule="auto"/>
        <w:rPr>
          <w:sz w:val="24"/>
          <w:szCs w:val="24"/>
        </w:rPr>
      </w:pPr>
    </w:p>
    <w:p w14:paraId="4D1CCB1B" w14:textId="77777777" w:rsidR="007B0572" w:rsidRDefault="00D366B2" w:rsidP="00AD05F1">
      <w:pPr>
        <w:spacing w:line="360" w:lineRule="auto"/>
        <w:rPr>
          <w:sz w:val="24"/>
          <w:szCs w:val="24"/>
        </w:rPr>
      </w:pPr>
      <w:r>
        <w:rPr>
          <w:sz w:val="24"/>
          <w:szCs w:val="24"/>
        </w:rPr>
        <w:t xml:space="preserve">BBC. (2018) Stephen Lawrence murder: A timeline of how the story unfolded. BBC News. Available at </w:t>
      </w:r>
      <w:hyperlink r:id="rId8">
        <w:r>
          <w:rPr>
            <w:color w:val="1155CC"/>
            <w:sz w:val="24"/>
            <w:szCs w:val="24"/>
            <w:u w:val="single"/>
          </w:rPr>
          <w:t>https://www.bbc.co.uk/news/uk-26465916</w:t>
        </w:r>
      </w:hyperlink>
      <w:r>
        <w:rPr>
          <w:sz w:val="24"/>
          <w:szCs w:val="24"/>
        </w:rPr>
        <w:t>. Accessed on Thursday November 5. 2020.</w:t>
      </w:r>
    </w:p>
    <w:p w14:paraId="64A899C8" w14:textId="77777777" w:rsidR="007B0572" w:rsidRDefault="007B0572" w:rsidP="00AD05F1">
      <w:pPr>
        <w:spacing w:line="360" w:lineRule="auto"/>
        <w:rPr>
          <w:sz w:val="24"/>
          <w:szCs w:val="24"/>
        </w:rPr>
      </w:pPr>
    </w:p>
    <w:p w14:paraId="332078BB" w14:textId="77777777" w:rsidR="007B0572" w:rsidRDefault="00D366B2" w:rsidP="00AD05F1">
      <w:pPr>
        <w:spacing w:line="360" w:lineRule="auto"/>
        <w:rPr>
          <w:sz w:val="24"/>
          <w:szCs w:val="24"/>
        </w:rPr>
      </w:pPr>
      <w:r>
        <w:rPr>
          <w:sz w:val="24"/>
          <w:szCs w:val="24"/>
        </w:rPr>
        <w:t>Bertino, A. (2012) Forensic Science: Fundamentals and Investigations 2012 Update. Cengage Learning. 2012.</w:t>
      </w:r>
    </w:p>
    <w:p w14:paraId="7FC4670F" w14:textId="77777777" w:rsidR="007B0572" w:rsidRDefault="007B0572" w:rsidP="00AD05F1">
      <w:pPr>
        <w:spacing w:line="360" w:lineRule="auto"/>
        <w:rPr>
          <w:sz w:val="24"/>
          <w:szCs w:val="24"/>
        </w:rPr>
      </w:pPr>
    </w:p>
    <w:p w14:paraId="2CB2B571" w14:textId="77777777" w:rsidR="007B0572" w:rsidRDefault="00D366B2" w:rsidP="00AD05F1">
      <w:pPr>
        <w:spacing w:line="360" w:lineRule="auto"/>
        <w:rPr>
          <w:sz w:val="24"/>
          <w:szCs w:val="24"/>
        </w:rPr>
      </w:pPr>
      <w:r>
        <w:rPr>
          <w:sz w:val="24"/>
          <w:szCs w:val="24"/>
        </w:rPr>
        <w:t>Bryant, R. and Bryant, S. (2020, 14th edition) Blackstone’s Handbook for Policing Students. Oxford University Press. 2020.</w:t>
      </w:r>
    </w:p>
    <w:p w14:paraId="5EE787CA" w14:textId="77777777" w:rsidR="007B0572" w:rsidRDefault="007B0572" w:rsidP="00AD05F1">
      <w:pPr>
        <w:spacing w:line="360" w:lineRule="auto"/>
        <w:rPr>
          <w:sz w:val="24"/>
          <w:szCs w:val="24"/>
        </w:rPr>
      </w:pPr>
    </w:p>
    <w:p w14:paraId="7351451E" w14:textId="77777777" w:rsidR="007B0572" w:rsidRDefault="00D366B2" w:rsidP="00AD05F1">
      <w:pPr>
        <w:spacing w:line="360" w:lineRule="auto"/>
        <w:rPr>
          <w:sz w:val="24"/>
          <w:szCs w:val="24"/>
        </w:rPr>
      </w:pPr>
      <w:r>
        <w:rPr>
          <w:sz w:val="24"/>
          <w:szCs w:val="24"/>
        </w:rPr>
        <w:t xml:space="preserve">College of Policing. (2016) Major investigation and Public protection: First response. College of Policing. Available at </w:t>
      </w:r>
      <w:hyperlink r:id="rId9" w:anchor="actions-on-arrival-at-the-scene">
        <w:r>
          <w:rPr>
            <w:color w:val="1155CC"/>
            <w:sz w:val="24"/>
            <w:szCs w:val="24"/>
            <w:u w:val="single"/>
          </w:rPr>
          <w:t>https://www.app.college.police.uk/app-content/major-investigation-and-public-protection/domestic-abuse/first-response/#actions-on-arrival-at-the-scene</w:t>
        </w:r>
      </w:hyperlink>
      <w:r>
        <w:rPr>
          <w:sz w:val="24"/>
          <w:szCs w:val="24"/>
        </w:rPr>
        <w:t>. Accessed on Sunday October 11. 2020.</w:t>
      </w:r>
    </w:p>
    <w:p w14:paraId="0FD58FF4" w14:textId="77777777" w:rsidR="007B0572" w:rsidRDefault="007B0572" w:rsidP="00AD05F1">
      <w:pPr>
        <w:spacing w:line="360" w:lineRule="auto"/>
        <w:rPr>
          <w:sz w:val="24"/>
          <w:szCs w:val="24"/>
        </w:rPr>
      </w:pPr>
    </w:p>
    <w:p w14:paraId="0F004774" w14:textId="77777777" w:rsidR="007B0572" w:rsidRDefault="00D366B2" w:rsidP="00AD05F1">
      <w:pPr>
        <w:spacing w:line="360" w:lineRule="auto"/>
        <w:rPr>
          <w:sz w:val="24"/>
          <w:szCs w:val="24"/>
        </w:rPr>
      </w:pPr>
      <w:r>
        <w:rPr>
          <w:sz w:val="24"/>
          <w:szCs w:val="24"/>
        </w:rPr>
        <w:t>Curran, J. and Seaton, J. (2018) Power Without Responsibility: Press, Broadcasting and the Internet in Britain. Taylor and Francis. 2018.</w:t>
      </w:r>
    </w:p>
    <w:p w14:paraId="18C1EF61" w14:textId="77777777" w:rsidR="007B0572" w:rsidRDefault="007B0572" w:rsidP="00AD05F1">
      <w:pPr>
        <w:spacing w:line="360" w:lineRule="auto"/>
        <w:rPr>
          <w:sz w:val="24"/>
          <w:szCs w:val="24"/>
        </w:rPr>
      </w:pPr>
    </w:p>
    <w:p w14:paraId="63092597" w14:textId="77777777" w:rsidR="007B0572" w:rsidRDefault="00D366B2" w:rsidP="00AD05F1">
      <w:pPr>
        <w:spacing w:line="360" w:lineRule="auto"/>
        <w:rPr>
          <w:sz w:val="24"/>
          <w:szCs w:val="24"/>
        </w:rPr>
      </w:pPr>
      <w:r>
        <w:rPr>
          <w:sz w:val="24"/>
          <w:szCs w:val="24"/>
        </w:rPr>
        <w:t xml:space="preserve">Davis, M. (2012) Tiny forensic details prove key in Stephen Lawrence case. Independent. Available at </w:t>
      </w:r>
      <w:hyperlink r:id="rId10">
        <w:r>
          <w:rPr>
            <w:color w:val="1155CC"/>
            <w:sz w:val="24"/>
            <w:szCs w:val="24"/>
            <w:u w:val="single"/>
          </w:rPr>
          <w:t>https://www.independent.co.uk/news/uk/crime/tiny-forensic-details-prove-key-stephen-lawrence-case-6284417.html</w:t>
        </w:r>
      </w:hyperlink>
      <w:r>
        <w:rPr>
          <w:sz w:val="24"/>
          <w:szCs w:val="24"/>
        </w:rPr>
        <w:t>. Accessed on Thursday November 5. 2020.</w:t>
      </w:r>
    </w:p>
    <w:p w14:paraId="70F40B63" w14:textId="77777777" w:rsidR="007B0572" w:rsidRDefault="007B0572" w:rsidP="00AD05F1">
      <w:pPr>
        <w:spacing w:line="360" w:lineRule="auto"/>
        <w:rPr>
          <w:sz w:val="24"/>
          <w:szCs w:val="24"/>
        </w:rPr>
      </w:pPr>
    </w:p>
    <w:p w14:paraId="5D65C6A1" w14:textId="77777777" w:rsidR="007B0572" w:rsidRDefault="00D366B2" w:rsidP="00AD05F1">
      <w:pPr>
        <w:spacing w:line="360" w:lineRule="auto"/>
        <w:rPr>
          <w:sz w:val="24"/>
          <w:szCs w:val="24"/>
        </w:rPr>
      </w:pPr>
      <w:r>
        <w:rPr>
          <w:sz w:val="24"/>
          <w:szCs w:val="24"/>
        </w:rPr>
        <w:lastRenderedPageBreak/>
        <w:t>Fish, J. Stout, R. and Wallace, E. (2010) Practical Crime Scene Investigations for Hot Zones. CRC Press. 2010.</w:t>
      </w:r>
    </w:p>
    <w:p w14:paraId="2481FD76" w14:textId="77777777" w:rsidR="007B0572" w:rsidRDefault="007B0572" w:rsidP="00AD05F1">
      <w:pPr>
        <w:spacing w:line="360" w:lineRule="auto"/>
        <w:rPr>
          <w:sz w:val="24"/>
          <w:szCs w:val="24"/>
        </w:rPr>
      </w:pPr>
    </w:p>
    <w:p w14:paraId="29E54BB8" w14:textId="77777777" w:rsidR="007B0572" w:rsidRDefault="00D366B2" w:rsidP="00AD05F1">
      <w:pPr>
        <w:spacing w:line="360" w:lineRule="auto"/>
        <w:rPr>
          <w:sz w:val="24"/>
          <w:szCs w:val="24"/>
        </w:rPr>
      </w:pPr>
      <w:r>
        <w:rPr>
          <w:sz w:val="24"/>
          <w:szCs w:val="24"/>
        </w:rPr>
        <w:t xml:space="preserve">Hayhurst, C. (2016) Melanie Road murder: How DNA collected in 1984 solved the 32year old case. Independent. Available at </w:t>
      </w:r>
      <w:hyperlink r:id="rId11">
        <w:r>
          <w:rPr>
            <w:color w:val="1155CC"/>
            <w:sz w:val="24"/>
            <w:szCs w:val="24"/>
            <w:u w:val="single"/>
          </w:rPr>
          <w:t>https://www.independent.co.uk/news/uk/crime/melanie-road-murder-how-dna-collected-1984-solved-32-year-old-case-christopher-hampton-a7022056.html</w:t>
        </w:r>
      </w:hyperlink>
      <w:r>
        <w:rPr>
          <w:sz w:val="24"/>
          <w:szCs w:val="24"/>
        </w:rPr>
        <w:t>. Accessed on Wednesday November. 2020.</w:t>
      </w:r>
    </w:p>
    <w:p w14:paraId="5C969FFE" w14:textId="77777777" w:rsidR="007B0572" w:rsidRDefault="007B0572" w:rsidP="00AD05F1">
      <w:pPr>
        <w:spacing w:line="360" w:lineRule="auto"/>
        <w:rPr>
          <w:sz w:val="24"/>
          <w:szCs w:val="24"/>
        </w:rPr>
      </w:pPr>
    </w:p>
    <w:p w14:paraId="1984BE6C" w14:textId="77777777" w:rsidR="007B0572" w:rsidRDefault="00D366B2" w:rsidP="00AD05F1">
      <w:pPr>
        <w:spacing w:line="360" w:lineRule="auto"/>
        <w:rPr>
          <w:sz w:val="24"/>
          <w:szCs w:val="24"/>
        </w:rPr>
      </w:pPr>
      <w:r>
        <w:rPr>
          <w:sz w:val="24"/>
          <w:szCs w:val="24"/>
        </w:rPr>
        <w:t>Jackson, A. and Jackson, J. (2016, 4th edition) Forensic Science. Pearson Education Limited. 2016.</w:t>
      </w:r>
    </w:p>
    <w:p w14:paraId="148A0556" w14:textId="77777777" w:rsidR="007B0572" w:rsidRDefault="007B0572" w:rsidP="00AD05F1">
      <w:pPr>
        <w:spacing w:line="360" w:lineRule="auto"/>
        <w:rPr>
          <w:sz w:val="24"/>
          <w:szCs w:val="24"/>
        </w:rPr>
      </w:pPr>
    </w:p>
    <w:p w14:paraId="0DFB6E64" w14:textId="77777777" w:rsidR="007B0572" w:rsidRDefault="00D366B2" w:rsidP="00AD05F1">
      <w:pPr>
        <w:spacing w:line="360" w:lineRule="auto"/>
        <w:rPr>
          <w:sz w:val="24"/>
          <w:szCs w:val="24"/>
        </w:rPr>
      </w:pPr>
      <w:r>
        <w:rPr>
          <w:sz w:val="24"/>
          <w:szCs w:val="24"/>
        </w:rPr>
        <w:t>Langford, A. Dean, J. Holmes, D. Reed, R. Weyers, J. and Jones, A. (2018, 3rd edition) Practical Skills in Forensic Science. Pearson Education Limited. 2018.</w:t>
      </w:r>
    </w:p>
    <w:p w14:paraId="01C6A402" w14:textId="77777777" w:rsidR="007B0572" w:rsidRDefault="007B0572" w:rsidP="00AD05F1">
      <w:pPr>
        <w:spacing w:line="360" w:lineRule="auto"/>
        <w:rPr>
          <w:sz w:val="24"/>
          <w:szCs w:val="24"/>
        </w:rPr>
      </w:pPr>
    </w:p>
    <w:p w14:paraId="3C8EA49D" w14:textId="2A366429" w:rsidR="007B0572" w:rsidRDefault="00D366B2" w:rsidP="00AD05F1">
      <w:pPr>
        <w:spacing w:line="360" w:lineRule="auto"/>
        <w:rPr>
          <w:sz w:val="24"/>
          <w:szCs w:val="24"/>
        </w:rPr>
      </w:pPr>
      <w:r>
        <w:rPr>
          <w:sz w:val="24"/>
          <w:szCs w:val="24"/>
        </w:rPr>
        <w:t xml:space="preserve">Laville, S. (2011) Stephen </w:t>
      </w:r>
      <w:r w:rsidR="0047175E">
        <w:rPr>
          <w:sz w:val="24"/>
          <w:szCs w:val="24"/>
        </w:rPr>
        <w:t>Lawrence</w:t>
      </w:r>
      <w:r>
        <w:rPr>
          <w:sz w:val="24"/>
          <w:szCs w:val="24"/>
        </w:rPr>
        <w:t xml:space="preserve"> evidence was </w:t>
      </w:r>
      <w:r w:rsidR="0047175E">
        <w:rPr>
          <w:sz w:val="24"/>
          <w:szCs w:val="24"/>
        </w:rPr>
        <w:t>mislabeled</w:t>
      </w:r>
      <w:r>
        <w:rPr>
          <w:sz w:val="24"/>
          <w:szCs w:val="24"/>
        </w:rPr>
        <w:t xml:space="preserve">, trial told. The Guardian. Available at </w:t>
      </w:r>
      <w:hyperlink r:id="rId12">
        <w:r>
          <w:rPr>
            <w:color w:val="1155CC"/>
            <w:sz w:val="24"/>
            <w:szCs w:val="24"/>
            <w:u w:val="single"/>
          </w:rPr>
          <w:t>https://www.theguardian.com/uk/2011/nov/23/stephen-lawrence-trial-evidence-mislabelled</w:t>
        </w:r>
      </w:hyperlink>
      <w:r>
        <w:rPr>
          <w:sz w:val="24"/>
          <w:szCs w:val="24"/>
        </w:rPr>
        <w:t>. Accessed on Thursday November 5. 2020.</w:t>
      </w:r>
    </w:p>
    <w:p w14:paraId="474DE43E" w14:textId="77777777" w:rsidR="007B0572" w:rsidRDefault="007B0572" w:rsidP="00AD05F1">
      <w:pPr>
        <w:spacing w:line="360" w:lineRule="auto"/>
        <w:rPr>
          <w:sz w:val="24"/>
          <w:szCs w:val="24"/>
        </w:rPr>
      </w:pPr>
    </w:p>
    <w:p w14:paraId="1239FAC3" w14:textId="77777777" w:rsidR="007B0572" w:rsidRDefault="00D366B2" w:rsidP="00AD05F1">
      <w:pPr>
        <w:spacing w:line="360" w:lineRule="auto"/>
        <w:rPr>
          <w:sz w:val="24"/>
          <w:szCs w:val="24"/>
        </w:rPr>
      </w:pPr>
      <w:r>
        <w:rPr>
          <w:sz w:val="24"/>
          <w:szCs w:val="24"/>
        </w:rPr>
        <w:t xml:space="preserve">Metropolitan Police (2020) How and When BWV cameras are used. Metropolitan Police. Available at </w:t>
      </w:r>
      <w:hyperlink r:id="rId13">
        <w:r>
          <w:rPr>
            <w:color w:val="1155CC"/>
            <w:sz w:val="24"/>
            <w:szCs w:val="24"/>
            <w:u w:val="single"/>
          </w:rPr>
          <w:t>https://www.met.police.uk/advice/advice-and-information/bwv/body-worn-video-bwv/how-and-when-bwv-cameras-are-used/</w:t>
        </w:r>
      </w:hyperlink>
      <w:r>
        <w:rPr>
          <w:sz w:val="24"/>
          <w:szCs w:val="24"/>
        </w:rPr>
        <w:t xml:space="preserve">. Accessed on Sunday October 18. 2020. </w:t>
      </w:r>
    </w:p>
    <w:p w14:paraId="5555D551" w14:textId="77777777" w:rsidR="007B0572" w:rsidRDefault="007B0572" w:rsidP="00AD05F1">
      <w:pPr>
        <w:spacing w:line="360" w:lineRule="auto"/>
        <w:rPr>
          <w:sz w:val="24"/>
          <w:szCs w:val="24"/>
        </w:rPr>
      </w:pPr>
    </w:p>
    <w:p w14:paraId="58E57365" w14:textId="77777777" w:rsidR="007B0572" w:rsidRDefault="00D366B2" w:rsidP="00AD05F1">
      <w:pPr>
        <w:spacing w:line="360" w:lineRule="auto"/>
        <w:rPr>
          <w:sz w:val="24"/>
          <w:szCs w:val="24"/>
        </w:rPr>
      </w:pPr>
      <w:r>
        <w:rPr>
          <w:sz w:val="24"/>
          <w:szCs w:val="24"/>
        </w:rPr>
        <w:t xml:space="preserve">Morris, S. (2016) Man pleads guilty to 1984 murder of Melanie Road. The Guardian. Available at </w:t>
      </w:r>
      <w:hyperlink r:id="rId14">
        <w:r>
          <w:rPr>
            <w:color w:val="1155CC"/>
            <w:sz w:val="24"/>
            <w:szCs w:val="24"/>
            <w:u w:val="single"/>
          </w:rPr>
          <w:t>https://www.theguardian.com/uk-news/2016/may/09/bristol-man-pleads-guilty-to-1984-of-melanie-road</w:t>
        </w:r>
      </w:hyperlink>
      <w:r>
        <w:rPr>
          <w:sz w:val="24"/>
          <w:szCs w:val="24"/>
        </w:rPr>
        <w:t>. Accessed on Wednesday November 4. 2020.</w:t>
      </w:r>
    </w:p>
    <w:p w14:paraId="7588C3E7" w14:textId="77777777" w:rsidR="007B0572" w:rsidRDefault="007B0572" w:rsidP="00AD05F1">
      <w:pPr>
        <w:spacing w:line="360" w:lineRule="auto"/>
        <w:rPr>
          <w:sz w:val="24"/>
          <w:szCs w:val="24"/>
        </w:rPr>
      </w:pPr>
    </w:p>
    <w:p w14:paraId="1AD0696F" w14:textId="77777777" w:rsidR="007B0572" w:rsidRDefault="00D366B2" w:rsidP="00AD05F1">
      <w:pPr>
        <w:spacing w:line="360" w:lineRule="auto"/>
        <w:rPr>
          <w:sz w:val="24"/>
          <w:szCs w:val="24"/>
        </w:rPr>
      </w:pPr>
      <w:r>
        <w:rPr>
          <w:sz w:val="24"/>
          <w:szCs w:val="24"/>
        </w:rPr>
        <w:t>Page, H. Horsman, G. Sarna, A. and Foster, J. (2019) A review of quality procedures in the UK forensic sciences: what can the field of digital forensics learn?. Elsevier. 2019.</w:t>
      </w:r>
    </w:p>
    <w:p w14:paraId="48698C2F" w14:textId="77777777" w:rsidR="007B0572" w:rsidRDefault="007B0572" w:rsidP="00AD05F1">
      <w:pPr>
        <w:spacing w:line="360" w:lineRule="auto"/>
        <w:rPr>
          <w:sz w:val="24"/>
          <w:szCs w:val="24"/>
        </w:rPr>
      </w:pPr>
    </w:p>
    <w:p w14:paraId="1433BE25" w14:textId="2EA3A840" w:rsidR="007B0572" w:rsidRDefault="00D366B2" w:rsidP="00AD05F1">
      <w:pPr>
        <w:spacing w:line="360" w:lineRule="auto"/>
        <w:rPr>
          <w:sz w:val="24"/>
          <w:szCs w:val="24"/>
        </w:rPr>
      </w:pPr>
      <w:r>
        <w:rPr>
          <w:sz w:val="24"/>
          <w:szCs w:val="24"/>
        </w:rPr>
        <w:lastRenderedPageBreak/>
        <w:t xml:space="preserve">Parker, A. (2020) Jack </w:t>
      </w:r>
      <w:r w:rsidR="0033493D">
        <w:rPr>
          <w:sz w:val="24"/>
          <w:szCs w:val="24"/>
        </w:rPr>
        <w:t>the</w:t>
      </w:r>
      <w:r>
        <w:rPr>
          <w:sz w:val="24"/>
          <w:szCs w:val="24"/>
        </w:rPr>
        <w:t xml:space="preserve"> Ripper: The Final Suspect. Lulu Press. 2020.</w:t>
      </w:r>
    </w:p>
    <w:p w14:paraId="20124778" w14:textId="77777777" w:rsidR="007B0572" w:rsidRDefault="007B0572" w:rsidP="00AD05F1">
      <w:pPr>
        <w:spacing w:line="360" w:lineRule="auto"/>
        <w:rPr>
          <w:sz w:val="24"/>
          <w:szCs w:val="24"/>
        </w:rPr>
      </w:pPr>
    </w:p>
    <w:p w14:paraId="784C78A5" w14:textId="77777777" w:rsidR="007B0572" w:rsidRDefault="00D366B2" w:rsidP="00AD05F1">
      <w:pPr>
        <w:spacing w:line="360" w:lineRule="auto"/>
        <w:rPr>
          <w:sz w:val="24"/>
          <w:szCs w:val="24"/>
        </w:rPr>
      </w:pPr>
      <w:r>
        <w:rPr>
          <w:sz w:val="24"/>
          <w:szCs w:val="24"/>
        </w:rPr>
        <w:t>Pepper, I. (2010, 2nd edition) Crime Scene Investigations: Methods and Procedures. Open University Press. 2010.</w:t>
      </w:r>
    </w:p>
    <w:p w14:paraId="28BD38AB" w14:textId="77777777" w:rsidR="007B0572" w:rsidRDefault="007B0572" w:rsidP="00AD05F1">
      <w:pPr>
        <w:spacing w:line="360" w:lineRule="auto"/>
        <w:rPr>
          <w:sz w:val="24"/>
          <w:szCs w:val="24"/>
        </w:rPr>
      </w:pPr>
    </w:p>
    <w:p w14:paraId="7E33D328" w14:textId="77777777" w:rsidR="007B0572" w:rsidRDefault="00D366B2" w:rsidP="00AD05F1">
      <w:pPr>
        <w:spacing w:line="360" w:lineRule="auto"/>
        <w:rPr>
          <w:sz w:val="24"/>
          <w:szCs w:val="24"/>
        </w:rPr>
      </w:pPr>
      <w:r>
        <w:rPr>
          <w:sz w:val="24"/>
          <w:szCs w:val="24"/>
        </w:rPr>
        <w:t xml:space="preserve">Robins, J. (2018) Guilty Until Proven Innocent: The Crisis in Our Justice System. Biteback Publishing. 2018. </w:t>
      </w:r>
    </w:p>
    <w:p w14:paraId="253899F9" w14:textId="77777777" w:rsidR="007B0572" w:rsidRDefault="007B0572" w:rsidP="00AD05F1">
      <w:pPr>
        <w:spacing w:line="360" w:lineRule="auto"/>
        <w:rPr>
          <w:sz w:val="24"/>
          <w:szCs w:val="24"/>
        </w:rPr>
      </w:pPr>
    </w:p>
    <w:p w14:paraId="0777A36D" w14:textId="77777777" w:rsidR="007B0572" w:rsidRDefault="00D366B2" w:rsidP="00AD05F1">
      <w:pPr>
        <w:spacing w:line="360" w:lineRule="auto"/>
        <w:rPr>
          <w:sz w:val="24"/>
          <w:szCs w:val="24"/>
        </w:rPr>
      </w:pPr>
      <w:r>
        <w:rPr>
          <w:sz w:val="24"/>
          <w:szCs w:val="24"/>
        </w:rPr>
        <w:t>Smith, L. and Bond, J. (2014) Criminal Justice and Forensic Science: A Multidisciplinary Introduction. Macmillan. 2014.</w:t>
      </w:r>
    </w:p>
    <w:p w14:paraId="13C54865" w14:textId="77777777" w:rsidR="007B0572" w:rsidRDefault="007B0572" w:rsidP="00AD05F1">
      <w:pPr>
        <w:spacing w:line="360" w:lineRule="auto"/>
        <w:rPr>
          <w:sz w:val="24"/>
          <w:szCs w:val="24"/>
        </w:rPr>
      </w:pPr>
    </w:p>
    <w:p w14:paraId="1276FC39" w14:textId="77777777" w:rsidR="007B0572" w:rsidRDefault="00D366B2" w:rsidP="00AD05F1">
      <w:pPr>
        <w:spacing w:line="360" w:lineRule="auto"/>
        <w:rPr>
          <w:sz w:val="24"/>
          <w:szCs w:val="24"/>
        </w:rPr>
      </w:pPr>
      <w:r>
        <w:rPr>
          <w:sz w:val="24"/>
          <w:szCs w:val="24"/>
        </w:rPr>
        <w:t xml:space="preserve">UK Government. (2020) Forensic Science Regulator legal guidance. Gov.UK. Available at </w:t>
      </w:r>
      <w:hyperlink r:id="rId15">
        <w:r>
          <w:rPr>
            <w:color w:val="1155CC"/>
            <w:sz w:val="24"/>
            <w:szCs w:val="24"/>
            <w:u w:val="single"/>
          </w:rPr>
          <w:t>https://www.gov.uk/government/collections/fsr-legal-guidance</w:t>
        </w:r>
      </w:hyperlink>
      <w:r>
        <w:rPr>
          <w:sz w:val="24"/>
          <w:szCs w:val="24"/>
        </w:rPr>
        <w:t xml:space="preserve">. Accessed on Monday October 19. 2020.  </w:t>
      </w:r>
    </w:p>
    <w:p w14:paraId="79B6CCA7" w14:textId="77777777" w:rsidR="007B0572" w:rsidRDefault="007B0572" w:rsidP="00AD05F1">
      <w:pPr>
        <w:spacing w:line="360" w:lineRule="auto"/>
        <w:rPr>
          <w:sz w:val="24"/>
          <w:szCs w:val="24"/>
        </w:rPr>
      </w:pPr>
    </w:p>
    <w:p w14:paraId="74D61A7A" w14:textId="77777777" w:rsidR="007B0572" w:rsidRDefault="00D366B2" w:rsidP="00AD05F1">
      <w:pPr>
        <w:spacing w:line="360" w:lineRule="auto"/>
        <w:rPr>
          <w:sz w:val="24"/>
          <w:szCs w:val="24"/>
        </w:rPr>
      </w:pPr>
      <w:r>
        <w:rPr>
          <w:sz w:val="24"/>
          <w:szCs w:val="24"/>
        </w:rPr>
        <w:t>White, P. (2004, 2nd edition) Crime Scene to Court: The Essentials of Forensic Science. Royal Society of Chemistry. 2004.</w:t>
      </w:r>
    </w:p>
    <w:p w14:paraId="54C2A53E" w14:textId="77777777" w:rsidR="007B0572" w:rsidRDefault="007B0572" w:rsidP="00AD05F1">
      <w:pPr>
        <w:spacing w:line="360" w:lineRule="auto"/>
        <w:rPr>
          <w:sz w:val="24"/>
          <w:szCs w:val="24"/>
        </w:rPr>
      </w:pPr>
    </w:p>
    <w:p w14:paraId="4A4A1D28" w14:textId="2A601293" w:rsidR="007B0572" w:rsidRDefault="00D366B2" w:rsidP="00AD05F1">
      <w:pPr>
        <w:spacing w:line="360" w:lineRule="auto"/>
        <w:rPr>
          <w:sz w:val="24"/>
          <w:szCs w:val="24"/>
        </w:rPr>
      </w:pPr>
      <w:r>
        <w:rPr>
          <w:sz w:val="24"/>
          <w:szCs w:val="24"/>
        </w:rPr>
        <w:t xml:space="preserve">Williams, R. (2020) </w:t>
      </w:r>
      <w:r w:rsidR="0047175E">
        <w:rPr>
          <w:sz w:val="24"/>
          <w:szCs w:val="24"/>
        </w:rPr>
        <w:t>Michael</w:t>
      </w:r>
      <w:r>
        <w:rPr>
          <w:sz w:val="24"/>
          <w:szCs w:val="24"/>
        </w:rPr>
        <w:t xml:space="preserve"> O’Leary murder: How texts sent by man’s killer raised suspicions. BBC News. Available at </w:t>
      </w:r>
      <w:hyperlink r:id="rId16">
        <w:r>
          <w:rPr>
            <w:color w:val="1155CC"/>
            <w:sz w:val="24"/>
            <w:szCs w:val="24"/>
            <w:u w:val="single"/>
          </w:rPr>
          <w:t>https://www.bbc.co.uk/news/uk-wales-54355081</w:t>
        </w:r>
      </w:hyperlink>
      <w:r>
        <w:rPr>
          <w:sz w:val="24"/>
          <w:szCs w:val="24"/>
        </w:rPr>
        <w:t>. Accessed on Wednesday November 4. 2020.</w:t>
      </w:r>
    </w:p>
    <w:p w14:paraId="184D5503" w14:textId="77777777" w:rsidR="007B0572" w:rsidRDefault="007B0572">
      <w:pPr>
        <w:spacing w:line="480" w:lineRule="auto"/>
        <w:rPr>
          <w:sz w:val="24"/>
          <w:szCs w:val="24"/>
        </w:rPr>
      </w:pPr>
    </w:p>
    <w:p w14:paraId="69C30085" w14:textId="77777777" w:rsidR="007B0572" w:rsidRDefault="007B0572">
      <w:pPr>
        <w:spacing w:line="480" w:lineRule="auto"/>
        <w:rPr>
          <w:sz w:val="24"/>
          <w:szCs w:val="24"/>
        </w:rPr>
      </w:pPr>
    </w:p>
    <w:p w14:paraId="78F7E380" w14:textId="77777777" w:rsidR="007B0572" w:rsidRDefault="007B0572">
      <w:pPr>
        <w:spacing w:line="480" w:lineRule="auto"/>
        <w:rPr>
          <w:sz w:val="24"/>
          <w:szCs w:val="24"/>
        </w:rPr>
      </w:pPr>
    </w:p>
    <w:p w14:paraId="58DFA8FF" w14:textId="77777777" w:rsidR="007B0572" w:rsidRDefault="007B0572">
      <w:pPr>
        <w:spacing w:line="480" w:lineRule="auto"/>
        <w:rPr>
          <w:sz w:val="24"/>
          <w:szCs w:val="24"/>
        </w:rPr>
      </w:pPr>
    </w:p>
    <w:p w14:paraId="17633673" w14:textId="77777777" w:rsidR="007B0572" w:rsidRDefault="007B0572">
      <w:pPr>
        <w:spacing w:line="480" w:lineRule="auto"/>
        <w:rPr>
          <w:sz w:val="24"/>
          <w:szCs w:val="24"/>
        </w:rPr>
      </w:pPr>
    </w:p>
    <w:p w14:paraId="542C9E43" w14:textId="77777777" w:rsidR="007B0572" w:rsidRDefault="007B0572">
      <w:pPr>
        <w:spacing w:line="480" w:lineRule="auto"/>
        <w:rPr>
          <w:sz w:val="24"/>
          <w:szCs w:val="24"/>
          <w:u w:val="single"/>
        </w:rPr>
      </w:pPr>
    </w:p>
    <w:p w14:paraId="4EC04AED" w14:textId="77777777" w:rsidR="007B0572" w:rsidRDefault="007B0572">
      <w:pPr>
        <w:spacing w:line="480" w:lineRule="auto"/>
        <w:rPr>
          <w:sz w:val="24"/>
          <w:szCs w:val="24"/>
        </w:rPr>
      </w:pPr>
    </w:p>
    <w:p w14:paraId="42075717" w14:textId="77777777" w:rsidR="007B0572" w:rsidRDefault="007B0572">
      <w:pPr>
        <w:spacing w:line="480" w:lineRule="auto"/>
        <w:rPr>
          <w:sz w:val="24"/>
          <w:szCs w:val="24"/>
        </w:rPr>
      </w:pPr>
    </w:p>
    <w:p w14:paraId="2EA4E3E6" w14:textId="77777777" w:rsidR="007B0572" w:rsidRDefault="007B0572">
      <w:pPr>
        <w:spacing w:line="480" w:lineRule="auto"/>
        <w:rPr>
          <w:sz w:val="24"/>
          <w:szCs w:val="24"/>
        </w:rPr>
      </w:pPr>
    </w:p>
    <w:sectPr w:rsidR="007B0572">
      <w:headerReference w:type="default" r:id="rId17"/>
      <w:headerReference w:type="first" r:id="rId18"/>
      <w:footerReference w:type="firs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1DD9E4" w14:textId="77777777" w:rsidR="00792073" w:rsidRDefault="00D366B2">
      <w:pPr>
        <w:spacing w:line="240" w:lineRule="auto"/>
      </w:pPr>
      <w:r>
        <w:separator/>
      </w:r>
    </w:p>
  </w:endnote>
  <w:endnote w:type="continuationSeparator" w:id="0">
    <w:p w14:paraId="2AC7DA2D" w14:textId="77777777" w:rsidR="00792073" w:rsidRDefault="00D366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326B3" w14:textId="77777777" w:rsidR="007B0572" w:rsidRDefault="007B05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D06A7" w14:textId="77777777" w:rsidR="00792073" w:rsidRDefault="00D366B2">
      <w:pPr>
        <w:spacing w:line="240" w:lineRule="auto"/>
      </w:pPr>
      <w:r>
        <w:separator/>
      </w:r>
    </w:p>
  </w:footnote>
  <w:footnote w:type="continuationSeparator" w:id="0">
    <w:p w14:paraId="0A37366A" w14:textId="77777777" w:rsidR="00792073" w:rsidRDefault="00D366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5D60E" w14:textId="77777777" w:rsidR="007B0572" w:rsidRDefault="00D366B2">
    <w:r>
      <w:t>Andrew James</w:t>
    </w:r>
    <w:r>
      <w:tab/>
    </w:r>
    <w:r>
      <w:tab/>
      <w:t>Forensic Recovery and Examination</w:t>
    </w:r>
    <w:r>
      <w:tab/>
    </w:r>
    <w:r>
      <w:tab/>
    </w:r>
    <w:r>
      <w:tab/>
      <w:t>Wynne Jones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6A3FA" w14:textId="77777777" w:rsidR="007B0572" w:rsidRDefault="007B057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572"/>
    <w:rsid w:val="00037DA1"/>
    <w:rsid w:val="001D2977"/>
    <w:rsid w:val="0033493D"/>
    <w:rsid w:val="00453C2D"/>
    <w:rsid w:val="0047175E"/>
    <w:rsid w:val="004819DA"/>
    <w:rsid w:val="00792073"/>
    <w:rsid w:val="007B0572"/>
    <w:rsid w:val="00AD05F1"/>
    <w:rsid w:val="00D36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8EBD6"/>
  <w15:docId w15:val="{A45120C6-0AD4-4F36-8312-B69244C4A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bbc.co.uk/news/uk-26465916" TargetMode="External"/><Relationship Id="rId13" Type="http://schemas.openxmlformats.org/officeDocument/2006/relationships/hyperlink" Target="https://www.met.police.uk/advice/advice-and-information/bwv/body-worn-video-bwv/how-and-when-bwv-cameras-are-used/"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bc.co.uk/news/uk-england-merseyside-12065854" TargetMode="External"/><Relationship Id="rId12" Type="http://schemas.openxmlformats.org/officeDocument/2006/relationships/hyperlink" Target="https://www.theguardian.com/uk/2011/nov/23/stephen-lawrence-trial-evidence-mislabelled"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bbc.co.uk/news/uk-wales-5435508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independent.co.uk/news/uk/crime/melanie-road-murder-how-dna-collected-1984-solved-32-year-old-case-christopher-hampton-a7022056.html" TargetMode="External"/><Relationship Id="rId5" Type="http://schemas.openxmlformats.org/officeDocument/2006/relationships/endnotes" Target="endnotes.xml"/><Relationship Id="rId15" Type="http://schemas.openxmlformats.org/officeDocument/2006/relationships/hyperlink" Target="https://www.gov.uk/government/collections/fsr-legal-guidance" TargetMode="External"/><Relationship Id="rId10" Type="http://schemas.openxmlformats.org/officeDocument/2006/relationships/hyperlink" Target="https://www.independent.co.uk/news/uk/crime/tiny-forensic-details-prove-key-stephen-lawrence-case-6284417.html"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app.college.police.uk/app-content/major-investigation-and-public-protection/domestic-abuse/first-response/" TargetMode="External"/><Relationship Id="rId14" Type="http://schemas.openxmlformats.org/officeDocument/2006/relationships/hyperlink" Target="https://www.theguardian.com/uk-news/2016/may/09/bristol-man-pleads-guilty-to-1984-of-melanie-r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3515</Words>
  <Characters>20041</Characters>
  <Application>Microsoft Office Word</Application>
  <DocSecurity>0</DocSecurity>
  <Lines>167</Lines>
  <Paragraphs>47</Paragraphs>
  <ScaleCrop>false</ScaleCrop>
  <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Andrew James</cp:lastModifiedBy>
  <cp:revision>9</cp:revision>
  <dcterms:created xsi:type="dcterms:W3CDTF">2020-11-05T17:06:00Z</dcterms:created>
  <dcterms:modified xsi:type="dcterms:W3CDTF">2020-11-05T17:18:00Z</dcterms:modified>
</cp:coreProperties>
</file>