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F1325" w:rsidRDefault="002F1325">
      <w:pPr>
        <w:widowControl w:val="0"/>
        <w:pBdr>
          <w:top w:val="nil"/>
          <w:left w:val="nil"/>
          <w:bottom w:val="nil"/>
          <w:right w:val="nil"/>
          <w:between w:val="nil"/>
        </w:pBdr>
        <w:spacing w:after="0"/>
        <w:rPr>
          <w:rFonts w:ascii="Times New Roman" w:eastAsia="Times New Roman" w:hAnsi="Times New Roman" w:cs="Times New Roman"/>
          <w:color w:val="000000"/>
        </w:rPr>
      </w:pPr>
    </w:p>
    <w:tbl>
      <w:tblPr>
        <w:tblStyle w:val="a"/>
        <w:tblW w:w="9461" w:type="dxa"/>
        <w:jc w:val="center"/>
        <w:tblInd w:w="0" w:type="dxa"/>
        <w:tblBorders>
          <w:top w:val="nil"/>
          <w:left w:val="nil"/>
          <w:bottom w:val="nil"/>
          <w:right w:val="nil"/>
          <w:insideH w:val="nil"/>
          <w:insideV w:val="nil"/>
        </w:tblBorders>
        <w:tblLayout w:type="fixed"/>
        <w:tblLook w:val="0400" w:firstRow="0" w:lastRow="0" w:firstColumn="0" w:lastColumn="0" w:noHBand="0" w:noVBand="1"/>
      </w:tblPr>
      <w:tblGrid>
        <w:gridCol w:w="9461"/>
      </w:tblGrid>
      <w:tr w:rsidR="002F1325" w14:paraId="26AAE882" w14:textId="77777777">
        <w:trPr>
          <w:jc w:val="center"/>
        </w:trPr>
        <w:tc>
          <w:tcPr>
            <w:tcW w:w="9461" w:type="dxa"/>
            <w:shd w:val="clear" w:color="auto" w:fill="1F4E79"/>
            <w:tcMar>
              <w:top w:w="260" w:type="dxa"/>
              <w:bottom w:w="260" w:type="dxa"/>
            </w:tcMar>
          </w:tcPr>
          <w:p w14:paraId="00000002"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b/>
                <w:bCs/>
                <w:color w:val="FFFFFF"/>
                <w:sz w:val="44"/>
                <w:szCs w:val="44"/>
              </w:rPr>
            </w:pPr>
            <w:r>
              <w:rPr>
                <w:rFonts w:ascii="Times New Roman" w:eastAsia="Times New Roman" w:hAnsi="Times New Roman" w:cs="Times New Roman"/>
                <w:b/>
                <w:bCs/>
                <w:color w:val="FFFFFF"/>
                <w:sz w:val="44"/>
                <w:szCs w:val="44"/>
              </w:rPr>
              <w:t>Cloud Engineering Principles and Practice</w:t>
            </w:r>
            <w:r>
              <w:rPr>
                <w:rFonts w:ascii="Times New Roman" w:eastAsia="Times New Roman" w:hAnsi="Times New Roman" w:cs="Times New Roman"/>
                <w:b/>
                <w:bCs/>
                <w:color w:val="FFFFFF"/>
                <w:sz w:val="44"/>
                <w:szCs w:val="44"/>
              </w:rPr>
              <w:br/>
              <w:t xml:space="preserve">Docker </w:t>
            </w:r>
            <w:proofErr w:type="spellStart"/>
            <w:r>
              <w:rPr>
                <w:rFonts w:ascii="Times New Roman" w:eastAsia="Times New Roman" w:hAnsi="Times New Roman" w:cs="Times New Roman"/>
                <w:b/>
                <w:bCs/>
                <w:color w:val="FFFFFF"/>
                <w:sz w:val="44"/>
                <w:szCs w:val="44"/>
              </w:rPr>
              <w:t>Containerisation</w:t>
            </w:r>
            <w:proofErr w:type="spellEnd"/>
            <w:r>
              <w:rPr>
                <w:rFonts w:ascii="Times New Roman" w:eastAsia="Times New Roman" w:hAnsi="Times New Roman" w:cs="Times New Roman"/>
                <w:b/>
                <w:bCs/>
                <w:color w:val="FFFFFF"/>
                <w:sz w:val="44"/>
                <w:szCs w:val="44"/>
              </w:rPr>
              <w:t xml:space="preserve"> and Cloud Concepts</w:t>
            </w:r>
          </w:p>
        </w:tc>
      </w:tr>
    </w:tbl>
    <w:p w14:paraId="00000003" w14:textId="77777777" w:rsidR="002F1325" w:rsidRDefault="002F1325">
      <w:pPr>
        <w:rPr>
          <w:rFonts w:ascii="Times New Roman" w:eastAsia="Times New Roman" w:hAnsi="Times New Roman" w:cs="Times New Roman"/>
        </w:rPr>
      </w:pPr>
    </w:p>
    <w:tbl>
      <w:tblPr>
        <w:tblStyle w:val="a0"/>
        <w:tblW w:w="9460" w:type="dxa"/>
        <w:jc w:val="center"/>
        <w:tblInd w:w="0" w:type="dxa"/>
        <w:tblBorders>
          <w:top w:val="single" w:sz="6" w:space="0" w:color="D5DCE4"/>
          <w:left w:val="single" w:sz="6" w:space="0" w:color="D5DCE4"/>
          <w:bottom w:val="single" w:sz="6" w:space="0" w:color="D5DCE4"/>
          <w:right w:val="single" w:sz="6" w:space="0" w:color="D5DCE4"/>
          <w:insideH w:val="single" w:sz="6" w:space="0" w:color="D5DCE4"/>
          <w:insideV w:val="single" w:sz="6" w:space="0" w:color="D5DCE4"/>
        </w:tblBorders>
        <w:tblLayout w:type="fixed"/>
        <w:tblLook w:val="0400" w:firstRow="0" w:lastRow="0" w:firstColumn="0" w:lastColumn="0" w:noHBand="0" w:noVBand="1"/>
      </w:tblPr>
      <w:tblGrid>
        <w:gridCol w:w="4730"/>
        <w:gridCol w:w="4730"/>
      </w:tblGrid>
      <w:tr w:rsidR="002F1325" w14:paraId="05A69B45" w14:textId="77777777">
        <w:trPr>
          <w:jc w:val="center"/>
        </w:trPr>
        <w:tc>
          <w:tcPr>
            <w:tcW w:w="4730" w:type="dxa"/>
            <w:shd w:val="clear" w:color="auto" w:fill="EAF1F7"/>
            <w:tcMar>
              <w:top w:w="80" w:type="dxa"/>
              <w:bottom w:w="80" w:type="dxa"/>
            </w:tcMar>
            <w:vAlign w:val="center"/>
          </w:tcPr>
          <w:p w14:paraId="00000004" w14:textId="77777777" w:rsidR="002F1325" w:rsidRDefault="00EA6B03">
            <w:pPr>
              <w:rPr>
                <w:rFonts w:ascii="Times New Roman" w:eastAsia="Times New Roman" w:hAnsi="Times New Roman" w:cs="Times New Roman"/>
              </w:rPr>
            </w:pPr>
            <w:r>
              <w:rPr>
                <w:rFonts w:ascii="Times New Roman" w:eastAsia="Times New Roman" w:hAnsi="Times New Roman" w:cs="Times New Roman"/>
                <w:b/>
                <w:bCs/>
                <w:color w:val="1F4E79"/>
                <w:sz w:val="21"/>
                <w:szCs w:val="21"/>
              </w:rPr>
              <w:t>Module</w:t>
            </w:r>
          </w:p>
        </w:tc>
        <w:tc>
          <w:tcPr>
            <w:tcW w:w="4730" w:type="dxa"/>
            <w:tcMar>
              <w:top w:w="80" w:type="dxa"/>
              <w:bottom w:w="80" w:type="dxa"/>
            </w:tcMar>
            <w:vAlign w:val="center"/>
          </w:tcPr>
          <w:p w14:paraId="00000005" w14:textId="4B249617" w:rsidR="002F1325" w:rsidRDefault="00EA6B03">
            <w:pPr>
              <w:rPr>
                <w:rFonts w:ascii="Times New Roman" w:eastAsia="Times New Roman" w:hAnsi="Times New Roman" w:cs="Times New Roman"/>
              </w:rPr>
            </w:pPr>
            <w:r>
              <w:rPr>
                <w:rFonts w:ascii="Times New Roman" w:eastAsia="Times New Roman" w:hAnsi="Times New Roman" w:cs="Times New Roman"/>
                <w:sz w:val="21"/>
                <w:szCs w:val="21"/>
              </w:rPr>
              <w:t>ACCA7027</w:t>
            </w:r>
            <w:r w:rsidR="003F7462">
              <w:rPr>
                <w:rFonts w:ascii="Times New Roman" w:eastAsia="Times New Roman" w:hAnsi="Times New Roman" w:cs="Times New Roman"/>
                <w:sz w:val="21"/>
                <w:szCs w:val="21"/>
              </w:rPr>
              <w:t xml:space="preserve"> Cloud Engineering, principle and practices</w:t>
            </w:r>
          </w:p>
        </w:tc>
      </w:tr>
      <w:tr w:rsidR="002F1325" w14:paraId="639F69F3" w14:textId="77777777">
        <w:trPr>
          <w:jc w:val="center"/>
        </w:trPr>
        <w:tc>
          <w:tcPr>
            <w:tcW w:w="4730" w:type="dxa"/>
            <w:shd w:val="clear" w:color="auto" w:fill="EAF1F7"/>
            <w:tcMar>
              <w:top w:w="80" w:type="dxa"/>
              <w:bottom w:w="80" w:type="dxa"/>
            </w:tcMar>
            <w:vAlign w:val="center"/>
          </w:tcPr>
          <w:p w14:paraId="00000006" w14:textId="77777777" w:rsidR="002F1325" w:rsidRDefault="00EA6B03">
            <w:pPr>
              <w:rPr>
                <w:rFonts w:ascii="Times New Roman" w:eastAsia="Times New Roman" w:hAnsi="Times New Roman" w:cs="Times New Roman"/>
              </w:rPr>
            </w:pPr>
            <w:r>
              <w:rPr>
                <w:rFonts w:ascii="Times New Roman" w:eastAsia="Times New Roman" w:hAnsi="Times New Roman" w:cs="Times New Roman"/>
                <w:b/>
                <w:bCs/>
                <w:color w:val="1F4E79"/>
                <w:sz w:val="21"/>
                <w:szCs w:val="21"/>
              </w:rPr>
              <w:t>Student name</w:t>
            </w:r>
          </w:p>
        </w:tc>
        <w:tc>
          <w:tcPr>
            <w:tcW w:w="4730" w:type="dxa"/>
            <w:tcMar>
              <w:top w:w="80" w:type="dxa"/>
              <w:bottom w:w="80" w:type="dxa"/>
            </w:tcMar>
            <w:vAlign w:val="center"/>
          </w:tcPr>
          <w:p w14:paraId="00000007" w14:textId="1670FE72" w:rsidR="002F1325" w:rsidRDefault="003F7462">
            <w:pPr>
              <w:rPr>
                <w:rFonts w:ascii="Times New Roman" w:eastAsia="Times New Roman" w:hAnsi="Times New Roman" w:cs="Times New Roman"/>
              </w:rPr>
            </w:pPr>
            <w:r>
              <w:rPr>
                <w:rFonts w:ascii="Times New Roman" w:eastAsia="Times New Roman" w:hAnsi="Times New Roman" w:cs="Times New Roman"/>
              </w:rPr>
              <w:t>Zannatul Mawya Priya</w:t>
            </w:r>
          </w:p>
        </w:tc>
      </w:tr>
      <w:tr w:rsidR="002F1325" w14:paraId="75B07ED8" w14:textId="77777777">
        <w:trPr>
          <w:jc w:val="center"/>
        </w:trPr>
        <w:tc>
          <w:tcPr>
            <w:tcW w:w="4730" w:type="dxa"/>
            <w:shd w:val="clear" w:color="auto" w:fill="EAF1F7"/>
            <w:tcMar>
              <w:top w:w="80" w:type="dxa"/>
              <w:bottom w:w="80" w:type="dxa"/>
            </w:tcMar>
            <w:vAlign w:val="center"/>
          </w:tcPr>
          <w:p w14:paraId="00000008" w14:textId="77777777" w:rsidR="002F1325" w:rsidRDefault="00EA6B03">
            <w:pPr>
              <w:rPr>
                <w:rFonts w:ascii="Times New Roman" w:eastAsia="Times New Roman" w:hAnsi="Times New Roman" w:cs="Times New Roman"/>
              </w:rPr>
            </w:pPr>
            <w:r>
              <w:rPr>
                <w:rFonts w:ascii="Times New Roman" w:eastAsia="Times New Roman" w:hAnsi="Times New Roman" w:cs="Times New Roman"/>
                <w:b/>
                <w:bCs/>
                <w:color w:val="1F4E79"/>
                <w:sz w:val="21"/>
                <w:szCs w:val="21"/>
              </w:rPr>
              <w:t>Student ID</w:t>
            </w:r>
          </w:p>
        </w:tc>
        <w:tc>
          <w:tcPr>
            <w:tcW w:w="4730" w:type="dxa"/>
            <w:tcMar>
              <w:top w:w="80" w:type="dxa"/>
              <w:bottom w:w="80" w:type="dxa"/>
            </w:tcMar>
            <w:vAlign w:val="center"/>
          </w:tcPr>
          <w:p w14:paraId="00000009" w14:textId="4F2F0D12" w:rsidR="002F1325" w:rsidRDefault="003F7462">
            <w:pPr>
              <w:rPr>
                <w:rFonts w:ascii="Times New Roman" w:eastAsia="Times New Roman" w:hAnsi="Times New Roman" w:cs="Times New Roman"/>
              </w:rPr>
            </w:pPr>
            <w:r>
              <w:rPr>
                <w:rFonts w:ascii="Times New Roman" w:eastAsia="Times New Roman" w:hAnsi="Times New Roman" w:cs="Times New Roman"/>
              </w:rPr>
              <w:t>2527766</w:t>
            </w:r>
          </w:p>
          <w:p w14:paraId="0000000A" w14:textId="77777777" w:rsidR="002F1325" w:rsidRDefault="002F1325">
            <w:pPr>
              <w:rPr>
                <w:rFonts w:ascii="Times New Roman" w:eastAsia="Times New Roman" w:hAnsi="Times New Roman" w:cs="Times New Roman"/>
              </w:rPr>
            </w:pPr>
          </w:p>
        </w:tc>
      </w:tr>
      <w:tr w:rsidR="002F1325" w14:paraId="0EFF1012" w14:textId="77777777">
        <w:trPr>
          <w:jc w:val="center"/>
        </w:trPr>
        <w:tc>
          <w:tcPr>
            <w:tcW w:w="4730" w:type="dxa"/>
            <w:shd w:val="clear" w:color="auto" w:fill="EAF1F7"/>
            <w:tcMar>
              <w:top w:w="80" w:type="dxa"/>
              <w:bottom w:w="80" w:type="dxa"/>
            </w:tcMar>
            <w:vAlign w:val="center"/>
          </w:tcPr>
          <w:p w14:paraId="0000000B" w14:textId="77777777" w:rsidR="002F1325" w:rsidRDefault="00EA6B03">
            <w:pPr>
              <w:rPr>
                <w:rFonts w:ascii="Times New Roman" w:eastAsia="Times New Roman" w:hAnsi="Times New Roman" w:cs="Times New Roman"/>
              </w:rPr>
            </w:pPr>
            <w:r>
              <w:rPr>
                <w:rFonts w:ascii="Times New Roman" w:eastAsia="Times New Roman" w:hAnsi="Times New Roman" w:cs="Times New Roman"/>
                <w:b/>
                <w:bCs/>
                <w:color w:val="1F4E79"/>
                <w:sz w:val="21"/>
                <w:szCs w:val="21"/>
              </w:rPr>
              <w:t>Video demonstration link</w:t>
            </w:r>
          </w:p>
        </w:tc>
        <w:tc>
          <w:tcPr>
            <w:tcW w:w="4730" w:type="dxa"/>
            <w:tcMar>
              <w:top w:w="80" w:type="dxa"/>
              <w:bottom w:w="80" w:type="dxa"/>
            </w:tcMar>
            <w:vAlign w:val="center"/>
          </w:tcPr>
          <w:p w14:paraId="0000000C"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your actual video/YouTube link</w:t>
            </w:r>
          </w:p>
          <w:p w14:paraId="0000000D" w14:textId="77777777" w:rsidR="002F1325" w:rsidRDefault="002F1325">
            <w:pPr>
              <w:rPr>
                <w:rFonts w:ascii="Times New Roman" w:eastAsia="Times New Roman" w:hAnsi="Times New Roman" w:cs="Times New Roman"/>
              </w:rPr>
            </w:pPr>
          </w:p>
        </w:tc>
      </w:tr>
    </w:tbl>
    <w:p w14:paraId="0000000E" w14:textId="77777777" w:rsidR="002F1325" w:rsidRDefault="002F1325">
      <w:pPr>
        <w:rPr>
          <w:rFonts w:ascii="Times New Roman" w:eastAsia="Times New Roman" w:hAnsi="Times New Roman" w:cs="Times New Roman"/>
        </w:rPr>
      </w:pPr>
    </w:p>
    <w:p w14:paraId="0000000F" w14:textId="77777777" w:rsidR="002F1325" w:rsidRDefault="00EA6B03">
      <w:pPr>
        <w:rPr>
          <w:rFonts w:ascii="Times New Roman" w:eastAsia="Times New Roman" w:hAnsi="Times New Roman" w:cs="Times New Roman"/>
        </w:rPr>
      </w:pPr>
      <w:r>
        <w:br w:type="page"/>
      </w:r>
    </w:p>
    <w:p w14:paraId="00000010"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r>
        <w:rPr>
          <w:rFonts w:ascii="Times New Roman" w:eastAsia="Times New Roman" w:hAnsi="Times New Roman" w:cs="Times New Roman"/>
          <w:b/>
          <w:bCs/>
          <w:color w:val="1F4E79"/>
          <w:sz w:val="32"/>
          <w:szCs w:val="32"/>
        </w:rPr>
        <w:lastRenderedPageBreak/>
        <w:t>Contents</w:t>
      </w:r>
    </w:p>
    <w:sdt>
      <w:sdtPr>
        <w:id w:val="902343373"/>
        <w:docPartObj>
          <w:docPartGallery w:val="Table of Contents"/>
          <w:docPartUnique/>
        </w:docPartObj>
      </w:sdtPr>
      <w:sdtEndPr/>
      <w:sdtContent>
        <w:p w14:paraId="00000011" w14:textId="77777777" w:rsidR="002F1325" w:rsidRDefault="00EA6B03">
          <w:pPr>
            <w:widowControl w:val="0"/>
            <w:tabs>
              <w:tab w:val="right" w:leader="dot" w:pos="12000"/>
            </w:tabs>
            <w:spacing w:before="60" w:after="0" w:line="240" w:lineRule="auto"/>
            <w:rPr>
              <w:rFonts w:ascii="Arial" w:eastAsia="Arial" w:hAnsi="Arial" w:cs="Arial"/>
              <w:b/>
              <w:bCs/>
              <w:color w:val="000000"/>
            </w:rPr>
          </w:pPr>
          <w:r>
            <w:fldChar w:fldCharType="begin"/>
          </w:r>
          <w:r>
            <w:instrText xml:space="preserve"> TOC \h \u \z \t "Heading 1,1,Heading 2,2,Heading 3,3,Heading 4,4,Heading 5,5,Heading 6,6,"</w:instrText>
          </w:r>
          <w:r>
            <w:fldChar w:fldCharType="separate"/>
          </w:r>
          <w:hyperlink w:anchor="_heading=h.qfhvc3b8hbyx">
            <w:r>
              <w:rPr>
                <w:rFonts w:ascii="Times New Roman" w:eastAsia="Times New Roman" w:hAnsi="Times New Roman" w:cs="Times New Roman"/>
                <w:b/>
                <w:bCs/>
                <w:color w:val="000000"/>
              </w:rPr>
              <w:t>1. Introduction</w:t>
            </w:r>
            <w:r>
              <w:rPr>
                <w:rFonts w:ascii="Times New Roman" w:eastAsia="Times New Roman" w:hAnsi="Times New Roman" w:cs="Times New Roman"/>
                <w:b/>
                <w:bCs/>
                <w:color w:val="000000"/>
              </w:rPr>
              <w:tab/>
              <w:t>3</w:t>
            </w:r>
          </w:hyperlink>
        </w:p>
        <w:p w14:paraId="00000012"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i1vi1o9nnd43">
            <w:r>
              <w:rPr>
                <w:rFonts w:ascii="Times New Roman" w:eastAsia="Times New Roman" w:hAnsi="Times New Roman" w:cs="Times New Roman"/>
                <w:b/>
                <w:bCs/>
                <w:color w:val="000000"/>
              </w:rPr>
              <w:t>2. Virtualisation and containerisation principles</w:t>
            </w:r>
            <w:r>
              <w:rPr>
                <w:rFonts w:ascii="Times New Roman" w:eastAsia="Times New Roman" w:hAnsi="Times New Roman" w:cs="Times New Roman"/>
                <w:b/>
                <w:bCs/>
                <w:color w:val="000000"/>
              </w:rPr>
              <w:tab/>
              <w:t>4</w:t>
            </w:r>
          </w:hyperlink>
        </w:p>
        <w:p w14:paraId="00000013"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s5ebuv83ume5">
            <w:r>
              <w:rPr>
                <w:rFonts w:ascii="Times New Roman" w:eastAsia="Times New Roman" w:hAnsi="Times New Roman" w:cs="Times New Roman"/>
                <w:b/>
                <w:bCs/>
                <w:color w:val="000000"/>
              </w:rPr>
              <w:t>3. Practical implementation and analysis</w:t>
            </w:r>
            <w:r>
              <w:rPr>
                <w:rFonts w:ascii="Times New Roman" w:eastAsia="Times New Roman" w:hAnsi="Times New Roman" w:cs="Times New Roman"/>
                <w:b/>
                <w:bCs/>
                <w:color w:val="000000"/>
              </w:rPr>
              <w:tab/>
              <w:t>6</w:t>
            </w:r>
          </w:hyperlink>
        </w:p>
        <w:p w14:paraId="00000014"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6eu0fply40f">
            <w:r>
              <w:rPr>
                <w:rFonts w:ascii="Times New Roman" w:eastAsia="Times New Roman" w:hAnsi="Times New Roman" w:cs="Times New Roman"/>
                <w:color w:val="000000"/>
              </w:rPr>
              <w:t>3.1 Environment setup and runtime verification</w:t>
            </w:r>
            <w:r>
              <w:rPr>
                <w:rFonts w:ascii="Times New Roman" w:eastAsia="Times New Roman" w:hAnsi="Times New Roman" w:cs="Times New Roman"/>
                <w:color w:val="000000"/>
              </w:rPr>
              <w:tab/>
              <w:t>6</w:t>
            </w:r>
          </w:hyperlink>
        </w:p>
        <w:p w14:paraId="00000015"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2hfe8pdjdfdw">
            <w:r>
              <w:rPr>
                <w:rFonts w:ascii="Times New Roman" w:eastAsia="Times New Roman" w:hAnsi="Times New Roman" w:cs="Times New Roman"/>
                <w:color w:val="000000"/>
              </w:rPr>
              <w:t>3.2 Application files and imag</w:t>
            </w:r>
            <w:r>
              <w:rPr>
                <w:rFonts w:ascii="Times New Roman" w:eastAsia="Times New Roman" w:hAnsi="Times New Roman" w:cs="Times New Roman"/>
                <w:color w:val="000000"/>
              </w:rPr>
              <w:t>e build process</w:t>
            </w:r>
            <w:r>
              <w:rPr>
                <w:rFonts w:ascii="Times New Roman" w:eastAsia="Times New Roman" w:hAnsi="Times New Roman" w:cs="Times New Roman"/>
                <w:color w:val="000000"/>
              </w:rPr>
              <w:tab/>
              <w:t>7</w:t>
            </w:r>
          </w:hyperlink>
        </w:p>
        <w:p w14:paraId="00000016"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t2240cpskrdc">
            <w:r>
              <w:rPr>
                <w:rFonts w:ascii="Times New Roman" w:eastAsia="Times New Roman" w:hAnsi="Times New Roman" w:cs="Times New Roman"/>
                <w:color w:val="000000"/>
              </w:rPr>
              <w:t>3.3 Local execution and browser validation</w:t>
            </w:r>
            <w:r>
              <w:rPr>
                <w:rFonts w:ascii="Times New Roman" w:eastAsia="Times New Roman" w:hAnsi="Times New Roman" w:cs="Times New Roman"/>
                <w:color w:val="000000"/>
              </w:rPr>
              <w:tab/>
              <w:t>8</w:t>
            </w:r>
          </w:hyperlink>
        </w:p>
        <w:p w14:paraId="00000017"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vousom911hwf">
            <w:r>
              <w:rPr>
                <w:rFonts w:ascii="Times New Roman" w:eastAsia="Times New Roman" w:hAnsi="Times New Roman" w:cs="Times New Roman"/>
                <w:color w:val="000000"/>
              </w:rPr>
              <w:t>3.4 Image publication and registry lifecycle</w:t>
            </w:r>
            <w:r>
              <w:rPr>
                <w:rFonts w:ascii="Times New Roman" w:eastAsia="Times New Roman" w:hAnsi="Times New Roman" w:cs="Times New Roman"/>
                <w:color w:val="000000"/>
              </w:rPr>
              <w:tab/>
              <w:t>9</w:t>
            </w:r>
          </w:hyperlink>
        </w:p>
        <w:p w14:paraId="00000018"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yihdjmyi6ua1">
            <w:r>
              <w:rPr>
                <w:rFonts w:ascii="Times New Roman" w:eastAsia="Times New Roman" w:hAnsi="Times New Roman" w:cs="Times New Roman"/>
                <w:color w:val="000000"/>
              </w:rPr>
              <w:t>3.5 Persistent storage using Docker volumes</w:t>
            </w:r>
            <w:r>
              <w:rPr>
                <w:rFonts w:ascii="Times New Roman" w:eastAsia="Times New Roman" w:hAnsi="Times New Roman" w:cs="Times New Roman"/>
                <w:color w:val="000000"/>
              </w:rPr>
              <w:tab/>
              <w:t>10</w:t>
            </w:r>
          </w:hyperlink>
        </w:p>
        <w:p w14:paraId="00000019"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rtv594fjvnsk">
            <w:r>
              <w:rPr>
                <w:rFonts w:ascii="Times New Roman" w:eastAsia="Times New Roman" w:hAnsi="Times New Roman" w:cs="Times New Roman"/>
                <w:color w:val="000000"/>
              </w:rPr>
              <w:t>3.6 Software-defined networking</w:t>
            </w:r>
            <w:r>
              <w:rPr>
                <w:rFonts w:ascii="Times New Roman" w:eastAsia="Times New Roman" w:hAnsi="Times New Roman" w:cs="Times New Roman"/>
                <w:color w:val="000000"/>
              </w:rPr>
              <w:tab/>
              <w:t>11</w:t>
            </w:r>
          </w:hyperlink>
        </w:p>
        <w:p w14:paraId="0000001A" w14:textId="77777777" w:rsidR="002F1325" w:rsidRDefault="00EA6B03">
          <w:pPr>
            <w:widowControl w:val="0"/>
            <w:tabs>
              <w:tab w:val="right" w:leader="dot" w:pos="12000"/>
            </w:tabs>
            <w:spacing w:before="60" w:after="0" w:line="240" w:lineRule="auto"/>
            <w:ind w:left="360"/>
            <w:rPr>
              <w:rFonts w:ascii="Arial" w:eastAsia="Arial" w:hAnsi="Arial" w:cs="Arial"/>
              <w:color w:val="000000"/>
            </w:rPr>
          </w:pPr>
          <w:hyperlink w:anchor="_heading=h.r4elfeb5gbkm">
            <w:r>
              <w:rPr>
                <w:rFonts w:ascii="Times New Roman" w:eastAsia="Times New Roman" w:hAnsi="Times New Roman" w:cs="Times New Roman"/>
                <w:color w:val="000000"/>
              </w:rPr>
              <w:t>3.7 Final verification, cleanup and lessons learned</w:t>
            </w:r>
            <w:r>
              <w:rPr>
                <w:rFonts w:ascii="Times New Roman" w:eastAsia="Times New Roman" w:hAnsi="Times New Roman" w:cs="Times New Roman"/>
                <w:color w:val="000000"/>
              </w:rPr>
              <w:tab/>
              <w:t>12</w:t>
            </w:r>
          </w:hyperlink>
        </w:p>
        <w:p w14:paraId="0000001B"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wmdxrebbdd3l">
            <w:r>
              <w:rPr>
                <w:rFonts w:ascii="Times New Roman" w:eastAsia="Times New Roman" w:hAnsi="Times New Roman" w:cs="Times New Roman"/>
                <w:b/>
                <w:bCs/>
                <w:color w:val="000000"/>
              </w:rPr>
              <w:t>4. Cloud provider implementation of load balancing, scalability and application gateways</w:t>
            </w:r>
            <w:r>
              <w:rPr>
                <w:rFonts w:ascii="Times New Roman" w:eastAsia="Times New Roman" w:hAnsi="Times New Roman" w:cs="Times New Roman"/>
                <w:b/>
                <w:bCs/>
                <w:color w:val="000000"/>
              </w:rPr>
              <w:tab/>
              <w:t>15</w:t>
            </w:r>
          </w:hyperlink>
        </w:p>
        <w:p w14:paraId="0000001C"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mbmsbayvg0ro">
            <w:r>
              <w:rPr>
                <w:rFonts w:ascii="Times New Roman" w:eastAsia="Times New Roman" w:hAnsi="Times New Roman" w:cs="Times New Roman"/>
                <w:b/>
                <w:bCs/>
                <w:color w:val="000000"/>
              </w:rPr>
              <w:t>5. Serverless computing versus containerisation</w:t>
            </w:r>
            <w:r>
              <w:rPr>
                <w:rFonts w:ascii="Times New Roman" w:eastAsia="Times New Roman" w:hAnsi="Times New Roman" w:cs="Times New Roman"/>
                <w:b/>
                <w:bCs/>
                <w:color w:val="000000"/>
              </w:rPr>
              <w:tab/>
              <w:t>17</w:t>
            </w:r>
          </w:hyperlink>
        </w:p>
        <w:p w14:paraId="0000001D"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hflrzfvx3zjq">
            <w:r>
              <w:rPr>
                <w:rFonts w:ascii="Times New Roman" w:eastAsia="Times New Roman" w:hAnsi="Times New Roman" w:cs="Times New Roman"/>
                <w:b/>
                <w:bCs/>
                <w:color w:val="000000"/>
              </w:rPr>
              <w:t>6.</w:t>
            </w:r>
            <w:r>
              <w:rPr>
                <w:rFonts w:ascii="Times New Roman" w:eastAsia="Times New Roman" w:hAnsi="Times New Roman" w:cs="Times New Roman"/>
                <w:b/>
                <w:bCs/>
                <w:color w:val="000000"/>
              </w:rPr>
              <w:t xml:space="preserve"> Driving forces behind cloud expansion</w:t>
            </w:r>
            <w:r>
              <w:rPr>
                <w:rFonts w:ascii="Times New Roman" w:eastAsia="Times New Roman" w:hAnsi="Times New Roman" w:cs="Times New Roman"/>
                <w:b/>
                <w:bCs/>
                <w:color w:val="000000"/>
              </w:rPr>
              <w:tab/>
              <w:t>18</w:t>
            </w:r>
          </w:hyperlink>
        </w:p>
        <w:p w14:paraId="0000001E"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h712qmtedpw8">
            <w:r>
              <w:rPr>
                <w:rFonts w:ascii="Times New Roman" w:eastAsia="Times New Roman" w:hAnsi="Times New Roman" w:cs="Times New Roman"/>
                <w:b/>
                <w:bCs/>
                <w:color w:val="000000"/>
              </w:rPr>
              <w:t>7. Conclusion</w:t>
            </w:r>
            <w:r>
              <w:rPr>
                <w:rFonts w:ascii="Times New Roman" w:eastAsia="Times New Roman" w:hAnsi="Times New Roman" w:cs="Times New Roman"/>
                <w:b/>
                <w:bCs/>
                <w:color w:val="000000"/>
              </w:rPr>
              <w:tab/>
              <w:t>19</w:t>
            </w:r>
          </w:hyperlink>
        </w:p>
        <w:p w14:paraId="0000001F"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y1dsxcjjqr3c">
            <w:r>
              <w:rPr>
                <w:rFonts w:ascii="Times New Roman" w:eastAsia="Times New Roman" w:hAnsi="Times New Roman" w:cs="Times New Roman"/>
                <w:b/>
                <w:bCs/>
                <w:color w:val="000000"/>
              </w:rPr>
              <w:t>References</w:t>
            </w:r>
            <w:r>
              <w:rPr>
                <w:rFonts w:ascii="Times New Roman" w:eastAsia="Times New Roman" w:hAnsi="Times New Roman" w:cs="Times New Roman"/>
                <w:b/>
                <w:bCs/>
                <w:color w:val="000000"/>
              </w:rPr>
              <w:tab/>
              <w:t>20</w:t>
            </w:r>
          </w:hyperlink>
        </w:p>
        <w:p w14:paraId="00000020" w14:textId="77777777" w:rsidR="002F1325" w:rsidRDefault="00EA6B03">
          <w:pPr>
            <w:widowControl w:val="0"/>
            <w:tabs>
              <w:tab w:val="right" w:leader="dot" w:pos="12000"/>
            </w:tabs>
            <w:spacing w:before="60" w:after="0" w:line="240" w:lineRule="auto"/>
            <w:rPr>
              <w:rFonts w:ascii="Arial" w:eastAsia="Arial" w:hAnsi="Arial" w:cs="Arial"/>
              <w:b/>
              <w:bCs/>
              <w:color w:val="000000"/>
            </w:rPr>
          </w:pPr>
          <w:hyperlink w:anchor="_heading=h.mrle1gjqfsgg">
            <w:r>
              <w:rPr>
                <w:rFonts w:ascii="Times New Roman" w:eastAsia="Times New Roman" w:hAnsi="Times New Roman" w:cs="Times New Roman"/>
                <w:b/>
                <w:bCs/>
                <w:color w:val="000000"/>
              </w:rPr>
              <w:t>Appendix A</w:t>
            </w:r>
            <w:r>
              <w:rPr>
                <w:rFonts w:ascii="Times New Roman" w:eastAsia="Times New Roman" w:hAnsi="Times New Roman" w:cs="Times New Roman"/>
                <w:b/>
                <w:bCs/>
                <w:color w:val="000000"/>
              </w:rPr>
              <w:tab/>
              <w:t>22</w:t>
            </w:r>
          </w:hyperlink>
          <w:r>
            <w:fldChar w:fldCharType="end"/>
          </w:r>
        </w:p>
      </w:sdtContent>
    </w:sdt>
    <w:p w14:paraId="00000021" w14:textId="77777777" w:rsidR="002F1325" w:rsidRDefault="002F1325">
      <w:pPr>
        <w:pBdr>
          <w:top w:val="nil"/>
          <w:left w:val="nil"/>
          <w:bottom w:val="nil"/>
          <w:right w:val="nil"/>
          <w:between w:val="nil"/>
        </w:pBdr>
        <w:spacing w:after="80" w:line="264" w:lineRule="auto"/>
        <w:ind w:left="288"/>
        <w:rPr>
          <w:rFonts w:ascii="Times New Roman" w:eastAsia="Times New Roman" w:hAnsi="Times New Roman" w:cs="Times New Roman"/>
          <w:color w:val="282828"/>
          <w:sz w:val="21"/>
          <w:szCs w:val="21"/>
        </w:rPr>
      </w:pPr>
    </w:p>
    <w:p w14:paraId="00000022"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r>
        <w:br w:type="page"/>
      </w:r>
    </w:p>
    <w:p w14:paraId="00000023" w14:textId="77777777" w:rsidR="002F1325" w:rsidRDefault="00EA6B03">
      <w:pPr>
        <w:pStyle w:val="Heading1"/>
        <w:rPr>
          <w:rFonts w:ascii="Times New Roman" w:eastAsia="Times New Roman" w:hAnsi="Times New Roman" w:cs="Times New Roman"/>
          <w:sz w:val="32"/>
          <w:szCs w:val="32"/>
        </w:rPr>
      </w:pPr>
      <w:bookmarkStart w:id="0" w:name="_heading=h.qfhvc3b8hbyx" w:colFirst="0" w:colLast="0"/>
      <w:bookmarkEnd w:id="0"/>
      <w:r>
        <w:rPr>
          <w:rFonts w:ascii="Times New Roman" w:eastAsia="Times New Roman" w:hAnsi="Times New Roman" w:cs="Times New Roman"/>
          <w:sz w:val="32"/>
          <w:szCs w:val="32"/>
        </w:rPr>
        <w:t>1. Introduction</w:t>
      </w:r>
    </w:p>
    <w:p w14:paraId="00000024" w14:textId="77777777" w:rsidR="002F1325" w:rsidRDefault="00EA6B03">
      <w:pPr>
        <w:spacing w:before="240" w:after="240"/>
        <w:jc w:val="both"/>
      </w:pPr>
      <w:r>
        <w:rPr>
          <w:rFonts w:ascii="Times New Roman" w:eastAsia="Times New Roman" w:hAnsi="Times New Roman" w:cs="Times New Roman"/>
          <w:sz w:val="23"/>
          <w:szCs w:val="23"/>
        </w:rPr>
        <w:t>Cloud computing is no longer just a specialized way to provide infrastructures, today cloud computing represents the new standard (default) environment that organizations use to build and deploy their digital applications. Organizations nee</w:t>
      </w:r>
      <w:r>
        <w:rPr>
          <w:rFonts w:ascii="Times New Roman" w:eastAsia="Times New Roman" w:hAnsi="Times New Roman" w:cs="Times New Roman"/>
          <w:sz w:val="23"/>
          <w:szCs w:val="23"/>
        </w:rPr>
        <w:t>d fast deployments, scalability when needed, low or zero upfront costs, and consistent methods of reproducing development, testing, and production environments. As organizations have come to expect all of this from cloud computing, cloud engineers are no l</w:t>
      </w:r>
      <w:r>
        <w:rPr>
          <w:rFonts w:ascii="Times New Roman" w:eastAsia="Times New Roman" w:hAnsi="Times New Roman" w:cs="Times New Roman"/>
          <w:sz w:val="23"/>
          <w:szCs w:val="23"/>
        </w:rPr>
        <w:t xml:space="preserve">onger able to simply rent virtual machines and call themselves "cloud engineers." Instead, cloud engineers will need to include other activities such as </w:t>
      </w:r>
      <w:proofErr w:type="gramStart"/>
      <w:r>
        <w:rPr>
          <w:rFonts w:ascii="Times New Roman" w:eastAsia="Times New Roman" w:hAnsi="Times New Roman" w:cs="Times New Roman"/>
          <w:sz w:val="23"/>
          <w:szCs w:val="23"/>
        </w:rPr>
        <w:t>image based</w:t>
      </w:r>
      <w:proofErr w:type="gramEnd"/>
      <w:r>
        <w:rPr>
          <w:rFonts w:ascii="Times New Roman" w:eastAsia="Times New Roman" w:hAnsi="Times New Roman" w:cs="Times New Roman"/>
          <w:sz w:val="23"/>
          <w:szCs w:val="23"/>
        </w:rPr>
        <w:t xml:space="preserve"> packaging of applications, automated delivery pipelines, software defined networking, persi</w:t>
      </w:r>
      <w:r>
        <w:rPr>
          <w:rFonts w:ascii="Times New Roman" w:eastAsia="Times New Roman" w:hAnsi="Times New Roman" w:cs="Times New Roman"/>
          <w:sz w:val="23"/>
          <w:szCs w:val="23"/>
        </w:rPr>
        <w:t>stent storage abstractions, and higher level execution models (e.g., serverless). In addition to the many higher-level concepts associated with cloud engineering, Docker is currently considered to be one of the most important practical tools available beca</w:t>
      </w:r>
      <w:r>
        <w:rPr>
          <w:rFonts w:ascii="Times New Roman" w:eastAsia="Times New Roman" w:hAnsi="Times New Roman" w:cs="Times New Roman"/>
          <w:sz w:val="23"/>
          <w:szCs w:val="23"/>
        </w:rPr>
        <w:t>use Docker allows developers to create portable units of an application including all of its dependencies that can be built once and then deployed in multiple different environments [3], [7].</w:t>
      </w:r>
      <w:r>
        <w:rPr>
          <w:rFonts w:ascii="Times New Roman" w:eastAsia="Times New Roman" w:hAnsi="Times New Roman" w:cs="Times New Roman"/>
          <w:sz w:val="23"/>
          <w:szCs w:val="23"/>
        </w:rPr>
        <w:br/>
        <w:t>This report provides a general overview of key cloud engineering</w:t>
      </w:r>
      <w:r>
        <w:rPr>
          <w:rFonts w:ascii="Times New Roman" w:eastAsia="Times New Roman" w:hAnsi="Times New Roman" w:cs="Times New Roman"/>
          <w:sz w:val="23"/>
          <w:szCs w:val="23"/>
        </w:rPr>
        <w:t xml:space="preserve"> concepts using both theoretical approaches and hands-on experience. Theoretical discussions cover topics such as virtualization, containerization, Docker Images, Persistent Volumes, Container Networking, Service Models, Orchestration Challenges and how co</w:t>
      </w:r>
      <w:r>
        <w:rPr>
          <w:rFonts w:ascii="Times New Roman" w:eastAsia="Times New Roman" w:hAnsi="Times New Roman" w:cs="Times New Roman"/>
          <w:sz w:val="23"/>
          <w:szCs w:val="23"/>
        </w:rPr>
        <w:t>ntainerized applications relate to serverless computing. Practical experience is provided by completing a Docker lab session on Ubuntu Linux. This included installing and testing Docker, building a simple Web Application based on Nginx, and building and de</w:t>
      </w:r>
      <w:r>
        <w:rPr>
          <w:rFonts w:ascii="Times New Roman" w:eastAsia="Times New Roman" w:hAnsi="Times New Roman" w:cs="Times New Roman"/>
          <w:sz w:val="23"/>
          <w:szCs w:val="23"/>
        </w:rPr>
        <w:t>ploying a custom Docker Image. Additionally, the report describes pushing a custom image to Docker Hub. Furthermore, the report covers creating a Volume to show persistence in Docker Containers and creating a Custom Network to show how containers communica</w:t>
      </w:r>
      <w:r>
        <w:rPr>
          <w:rFonts w:ascii="Times New Roman" w:eastAsia="Times New Roman" w:hAnsi="Times New Roman" w:cs="Times New Roman"/>
          <w:sz w:val="23"/>
          <w:szCs w:val="23"/>
        </w:rPr>
        <w:t>te with each other. Finally, the report shows how to display the System State at the end of the lab.</w:t>
      </w:r>
      <w:r>
        <w:rPr>
          <w:rFonts w:ascii="Times New Roman" w:eastAsia="Times New Roman" w:hAnsi="Times New Roman" w:cs="Times New Roman"/>
          <w:sz w:val="23"/>
          <w:szCs w:val="23"/>
        </w:rPr>
        <w:br/>
        <w:t xml:space="preserve">In addition to describing what was done during the lab session, the purpose of this report is to explain why each task performed during the lab session is </w:t>
      </w:r>
      <w:r>
        <w:rPr>
          <w:rFonts w:ascii="Times New Roman" w:eastAsia="Times New Roman" w:hAnsi="Times New Roman" w:cs="Times New Roman"/>
          <w:sz w:val="23"/>
          <w:szCs w:val="23"/>
        </w:rPr>
        <w:t>relevant to cloud engineering. Therefore, this report combines evidence collected directly from performing the lab session with critical analysis of recognized literature and industry guidelines [1], [2], [5], [11].</w:t>
      </w:r>
    </w:p>
    <w:p w14:paraId="00000025" w14:textId="77777777" w:rsidR="002F1325" w:rsidRDefault="002F1325">
      <w:pPr>
        <w:jc w:val="both"/>
        <w:rPr>
          <w:rFonts w:ascii="Times New Roman" w:eastAsia="Times New Roman" w:hAnsi="Times New Roman" w:cs="Times New Roman"/>
          <w:sz w:val="23"/>
          <w:szCs w:val="23"/>
        </w:rPr>
      </w:pPr>
    </w:p>
    <w:p w14:paraId="00000026" w14:textId="77777777" w:rsidR="002F1325" w:rsidRDefault="002F1325">
      <w:pPr>
        <w:jc w:val="both"/>
        <w:rPr>
          <w:rFonts w:ascii="Times New Roman" w:eastAsia="Times New Roman" w:hAnsi="Times New Roman" w:cs="Times New Roman"/>
          <w:sz w:val="23"/>
          <w:szCs w:val="23"/>
        </w:rPr>
      </w:pPr>
    </w:p>
    <w:p w14:paraId="00000027" w14:textId="77777777" w:rsidR="002F1325" w:rsidRDefault="002F1325">
      <w:pPr>
        <w:jc w:val="both"/>
        <w:rPr>
          <w:rFonts w:ascii="Times New Roman" w:eastAsia="Times New Roman" w:hAnsi="Times New Roman" w:cs="Times New Roman"/>
          <w:sz w:val="23"/>
          <w:szCs w:val="23"/>
        </w:rPr>
      </w:pPr>
    </w:p>
    <w:p w14:paraId="00000028" w14:textId="77777777" w:rsidR="002F1325" w:rsidRDefault="002F1325">
      <w:pPr>
        <w:ind w:firstLine="360"/>
        <w:jc w:val="both"/>
        <w:rPr>
          <w:rFonts w:ascii="Times New Roman" w:eastAsia="Times New Roman" w:hAnsi="Times New Roman" w:cs="Times New Roman"/>
        </w:rPr>
      </w:pPr>
    </w:p>
    <w:p w14:paraId="00000029" w14:textId="77777777" w:rsidR="002F1325" w:rsidRDefault="002F1325">
      <w:pPr>
        <w:spacing w:after="0"/>
        <w:jc w:val="both"/>
        <w:rPr>
          <w:rFonts w:ascii="Times New Roman" w:eastAsia="Times New Roman" w:hAnsi="Times New Roman" w:cs="Times New Roman"/>
          <w:sz w:val="23"/>
          <w:szCs w:val="23"/>
        </w:rPr>
      </w:pPr>
    </w:p>
    <w:p w14:paraId="0000002A" w14:textId="77777777" w:rsidR="002F1325" w:rsidRDefault="002F1325">
      <w:pPr>
        <w:ind w:firstLine="360"/>
        <w:jc w:val="both"/>
        <w:rPr>
          <w:rFonts w:ascii="Times New Roman" w:eastAsia="Times New Roman" w:hAnsi="Times New Roman" w:cs="Times New Roman"/>
        </w:rPr>
      </w:pPr>
    </w:p>
    <w:p w14:paraId="0000002B" w14:textId="77777777" w:rsidR="002F1325" w:rsidRDefault="00EA6B03">
      <w:pPr>
        <w:pStyle w:val="Heading1"/>
        <w:rPr>
          <w:rFonts w:ascii="Times New Roman" w:eastAsia="Times New Roman" w:hAnsi="Times New Roman" w:cs="Times New Roman"/>
          <w:sz w:val="32"/>
          <w:szCs w:val="32"/>
        </w:rPr>
      </w:pPr>
      <w:bookmarkStart w:id="1" w:name="_heading=h.5kwxepsxz49" w:colFirst="0" w:colLast="0"/>
      <w:bookmarkEnd w:id="1"/>
      <w:r>
        <w:br w:type="page"/>
      </w:r>
    </w:p>
    <w:p w14:paraId="0000002C" w14:textId="77777777" w:rsidR="002F1325" w:rsidRDefault="00EA6B03">
      <w:pPr>
        <w:pStyle w:val="Heading1"/>
        <w:rPr>
          <w:rFonts w:ascii="Times New Roman" w:eastAsia="Times New Roman" w:hAnsi="Times New Roman" w:cs="Times New Roman"/>
          <w:sz w:val="32"/>
          <w:szCs w:val="32"/>
        </w:rPr>
      </w:pPr>
      <w:bookmarkStart w:id="2" w:name="_heading=h.i1vi1o9nnd43" w:colFirst="0" w:colLast="0"/>
      <w:bookmarkEnd w:id="2"/>
      <w:r>
        <w:rPr>
          <w:rFonts w:ascii="Times New Roman" w:eastAsia="Times New Roman" w:hAnsi="Times New Roman" w:cs="Times New Roman"/>
          <w:sz w:val="32"/>
          <w:szCs w:val="32"/>
        </w:rPr>
        <w:t xml:space="preserve">2. </w:t>
      </w:r>
      <w:proofErr w:type="spellStart"/>
      <w:r>
        <w:rPr>
          <w:rFonts w:ascii="Times New Roman" w:eastAsia="Times New Roman" w:hAnsi="Times New Roman" w:cs="Times New Roman"/>
          <w:sz w:val="32"/>
          <w:szCs w:val="32"/>
        </w:rPr>
        <w:t>Virtualisation</w:t>
      </w:r>
      <w:proofErr w:type="spellEnd"/>
      <w:r>
        <w:rPr>
          <w:rFonts w:ascii="Times New Roman" w:eastAsia="Times New Roman" w:hAnsi="Times New Roman" w:cs="Times New Roman"/>
          <w:sz w:val="32"/>
          <w:szCs w:val="32"/>
        </w:rPr>
        <w:t xml:space="preserve"> and </w:t>
      </w:r>
      <w:proofErr w:type="spellStart"/>
      <w:r>
        <w:rPr>
          <w:rFonts w:ascii="Times New Roman" w:eastAsia="Times New Roman" w:hAnsi="Times New Roman" w:cs="Times New Roman"/>
          <w:sz w:val="32"/>
          <w:szCs w:val="32"/>
        </w:rPr>
        <w:t>containeri</w:t>
      </w:r>
      <w:r>
        <w:rPr>
          <w:rFonts w:ascii="Times New Roman" w:eastAsia="Times New Roman" w:hAnsi="Times New Roman" w:cs="Times New Roman"/>
          <w:sz w:val="32"/>
          <w:szCs w:val="32"/>
        </w:rPr>
        <w:t>sation</w:t>
      </w:r>
      <w:proofErr w:type="spellEnd"/>
      <w:r>
        <w:rPr>
          <w:rFonts w:ascii="Times New Roman" w:eastAsia="Times New Roman" w:hAnsi="Times New Roman" w:cs="Times New Roman"/>
          <w:sz w:val="32"/>
          <w:szCs w:val="32"/>
        </w:rPr>
        <w:t xml:space="preserve"> principles</w:t>
      </w:r>
    </w:p>
    <w:p w14:paraId="0000002D" w14:textId="77777777" w:rsidR="002F1325" w:rsidRDefault="00EA6B03">
      <w:pPr>
        <w:jc w:val="both"/>
        <w:rPr>
          <w:rFonts w:ascii="Times New Roman" w:eastAsia="Times New Roman" w:hAnsi="Times New Roman" w:cs="Times New Roman"/>
          <w:sz w:val="23"/>
          <w:szCs w:val="23"/>
        </w:rPr>
      </w:pPr>
      <w:proofErr w:type="spellStart"/>
      <w:r>
        <w:rPr>
          <w:rFonts w:ascii="Times New Roman" w:eastAsia="Times New Roman" w:hAnsi="Times New Roman" w:cs="Times New Roman"/>
          <w:sz w:val="23"/>
          <w:szCs w:val="23"/>
        </w:rPr>
        <w:t>Virtualisation</w:t>
      </w:r>
      <w:proofErr w:type="spellEnd"/>
      <w:r>
        <w:rPr>
          <w:rFonts w:ascii="Times New Roman" w:eastAsia="Times New Roman" w:hAnsi="Times New Roman" w:cs="Times New Roman"/>
          <w:sz w:val="23"/>
          <w:szCs w:val="23"/>
        </w:rPr>
        <w:t xml:space="preserve"> became the foundation of the majority of public clouds. A hypervisor, which presents itself as a hardware layer, creates a layer of abstraction between the underlying physical hardware and all the guest operating systems, e</w:t>
      </w:r>
      <w:r>
        <w:rPr>
          <w:rFonts w:ascii="Times New Roman" w:eastAsia="Times New Roman" w:hAnsi="Times New Roman" w:cs="Times New Roman"/>
          <w:sz w:val="23"/>
          <w:szCs w:val="23"/>
        </w:rPr>
        <w:t>nabling several operating systems to share a single virtualization layer. It benefits included enhanced hardware utilization, enhanced resources isolation, faster provisioning, and enabling of essential NIST cloud attributes (e.g., rapid elasticity, on dem</w:t>
      </w:r>
      <w:r>
        <w:rPr>
          <w:rFonts w:ascii="Times New Roman" w:eastAsia="Times New Roman" w:hAnsi="Times New Roman" w:cs="Times New Roman"/>
          <w:sz w:val="23"/>
          <w:szCs w:val="23"/>
        </w:rPr>
        <w:t>and self-service, and resource pooling) [1].</w:t>
      </w:r>
    </w:p>
    <w:p w14:paraId="0000002E" w14:textId="77777777" w:rsidR="002F1325" w:rsidRDefault="002F1325">
      <w:pPr>
        <w:jc w:val="both"/>
        <w:rPr>
          <w:rFonts w:ascii="Times New Roman" w:eastAsia="Times New Roman" w:hAnsi="Times New Roman" w:cs="Times New Roman"/>
          <w:sz w:val="23"/>
          <w:szCs w:val="23"/>
        </w:rPr>
      </w:pPr>
    </w:p>
    <w:p w14:paraId="0000002F" w14:textId="77777777" w:rsidR="002F1325" w:rsidRDefault="00EA6B03">
      <w:pPr>
        <w:jc w:val="both"/>
      </w:pPr>
      <w:r>
        <w:rPr>
          <w:rFonts w:ascii="Times New Roman" w:eastAsia="Times New Roman" w:hAnsi="Times New Roman" w:cs="Times New Roman"/>
          <w:sz w:val="23"/>
          <w:szCs w:val="23"/>
        </w:rPr>
        <w:t xml:space="preserve">Virtual machines do have their drawbacks though. A VM requires a complete guest operating system which consumes more of the host resources in terms of disk space, memory and even startup time. This delay can hinder quick teams. </w:t>
      </w:r>
      <w:proofErr w:type="spellStart"/>
      <w:r>
        <w:rPr>
          <w:rFonts w:ascii="Times New Roman" w:eastAsia="Times New Roman" w:hAnsi="Times New Roman" w:cs="Times New Roman"/>
          <w:sz w:val="23"/>
          <w:szCs w:val="23"/>
        </w:rPr>
        <w:t>Containerisation</w:t>
      </w:r>
      <w:proofErr w:type="spellEnd"/>
      <w:r>
        <w:rPr>
          <w:rFonts w:ascii="Times New Roman" w:eastAsia="Times New Roman" w:hAnsi="Times New Roman" w:cs="Times New Roman"/>
          <w:sz w:val="23"/>
          <w:szCs w:val="23"/>
        </w:rPr>
        <w:t xml:space="preserve"> addresses t</w:t>
      </w:r>
      <w:r>
        <w:rPr>
          <w:rFonts w:ascii="Times New Roman" w:eastAsia="Times New Roman" w:hAnsi="Times New Roman" w:cs="Times New Roman"/>
          <w:sz w:val="23"/>
          <w:szCs w:val="23"/>
        </w:rPr>
        <w:t xml:space="preserve">his issue by providing </w:t>
      </w:r>
      <w:proofErr w:type="spellStart"/>
      <w:r>
        <w:rPr>
          <w:rFonts w:ascii="Times New Roman" w:eastAsia="Times New Roman" w:hAnsi="Times New Roman" w:cs="Times New Roman"/>
          <w:sz w:val="23"/>
          <w:szCs w:val="23"/>
        </w:rPr>
        <w:t>virtualisation</w:t>
      </w:r>
      <w:proofErr w:type="spellEnd"/>
      <w:r>
        <w:rPr>
          <w:rFonts w:ascii="Times New Roman" w:eastAsia="Times New Roman" w:hAnsi="Times New Roman" w:cs="Times New Roman"/>
          <w:sz w:val="23"/>
          <w:szCs w:val="23"/>
        </w:rPr>
        <w:t xml:space="preserve"> at the level of the operating system. Containers contain the application code, libraries, dependencies and share the kernel with the host machine [3]. They are thus able to be smaller, faster and more efficient than a </w:t>
      </w:r>
      <w:r>
        <w:rPr>
          <w:rFonts w:ascii="Times New Roman" w:eastAsia="Times New Roman" w:hAnsi="Times New Roman" w:cs="Times New Roman"/>
          <w:sz w:val="23"/>
          <w:szCs w:val="23"/>
        </w:rPr>
        <w:t>full virtual machine [4].</w:t>
      </w:r>
    </w:p>
    <w:p w14:paraId="00000030" w14:textId="77777777" w:rsidR="002F1325" w:rsidRDefault="002F1325">
      <w:pPr>
        <w:jc w:val="both"/>
        <w:rPr>
          <w:rFonts w:ascii="Times New Roman" w:eastAsia="Times New Roman" w:hAnsi="Times New Roman" w:cs="Times New Roman"/>
          <w:sz w:val="23"/>
          <w:szCs w:val="23"/>
        </w:rPr>
      </w:pPr>
    </w:p>
    <w:p w14:paraId="00000031" w14:textId="77777777" w:rsidR="002F1325" w:rsidRDefault="00EA6B03">
      <w:pPr>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Containers are useful for their portability. A Docker image can run on many environments (developer machine, test server, on site Linux, cloud platform) with only minimal modifications. This enables </w:t>
      </w:r>
      <w:proofErr w:type="spellStart"/>
      <w:r>
        <w:rPr>
          <w:rFonts w:ascii="Times New Roman" w:eastAsia="Times New Roman" w:hAnsi="Times New Roman" w:cs="Times New Roman"/>
          <w:sz w:val="23"/>
          <w:szCs w:val="23"/>
        </w:rPr>
        <w:t>Devops</w:t>
      </w:r>
      <w:proofErr w:type="spellEnd"/>
      <w:r>
        <w:rPr>
          <w:rFonts w:ascii="Times New Roman" w:eastAsia="Times New Roman" w:hAnsi="Times New Roman" w:cs="Times New Roman"/>
          <w:sz w:val="23"/>
          <w:szCs w:val="23"/>
        </w:rPr>
        <w:t>, CI/CD, automation, and</w:t>
      </w:r>
      <w:r>
        <w:rPr>
          <w:rFonts w:ascii="Times New Roman" w:eastAsia="Times New Roman" w:hAnsi="Times New Roman" w:cs="Times New Roman"/>
          <w:sz w:val="23"/>
          <w:szCs w:val="23"/>
        </w:rPr>
        <w:t xml:space="preserve"> repeatable deployment. Pahl argues that the docker containers created a more </w:t>
      </w:r>
      <w:proofErr w:type="spellStart"/>
      <w:r>
        <w:rPr>
          <w:rFonts w:ascii="Times New Roman" w:eastAsia="Times New Roman" w:hAnsi="Times New Roman" w:cs="Times New Roman"/>
          <w:sz w:val="23"/>
          <w:szCs w:val="23"/>
        </w:rPr>
        <w:t>standardised</w:t>
      </w:r>
      <w:proofErr w:type="spellEnd"/>
      <w:r>
        <w:rPr>
          <w:rFonts w:ascii="Times New Roman" w:eastAsia="Times New Roman" w:hAnsi="Times New Roman" w:cs="Times New Roman"/>
          <w:sz w:val="23"/>
          <w:szCs w:val="23"/>
        </w:rPr>
        <w:t xml:space="preserve"> and efficient way of packaging cloud native software [5].</w:t>
      </w:r>
    </w:p>
    <w:p w14:paraId="00000032" w14:textId="77777777" w:rsidR="002F1325" w:rsidRDefault="00EA6B03">
      <w:pPr>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However, containers are still not a complete replacement for VMs. VMs generally offer much stronger isolati</w:t>
      </w:r>
      <w:r>
        <w:rPr>
          <w:rFonts w:ascii="Times New Roman" w:eastAsia="Times New Roman" w:hAnsi="Times New Roman" w:cs="Times New Roman"/>
          <w:sz w:val="23"/>
          <w:szCs w:val="23"/>
        </w:rPr>
        <w:t xml:space="preserve">on as they have their own guest kernels. Containers may </w:t>
      </w:r>
      <w:proofErr w:type="gramStart"/>
      <w:r>
        <w:rPr>
          <w:rFonts w:ascii="Times New Roman" w:eastAsia="Times New Roman" w:hAnsi="Times New Roman" w:cs="Times New Roman"/>
          <w:sz w:val="23"/>
          <w:szCs w:val="23"/>
        </w:rPr>
        <w:t>poses</w:t>
      </w:r>
      <w:proofErr w:type="gramEnd"/>
      <w:r>
        <w:rPr>
          <w:rFonts w:ascii="Times New Roman" w:eastAsia="Times New Roman" w:hAnsi="Times New Roman" w:cs="Times New Roman"/>
          <w:sz w:val="23"/>
          <w:szCs w:val="23"/>
        </w:rPr>
        <w:t xml:space="preserve"> some risks related to security and multi-tenancy if not properly managed [11]. Hence, many Cloud platforms use both: They offer virtualized instances for the customers, who run containers on top</w:t>
      </w:r>
      <w:r>
        <w:rPr>
          <w:rFonts w:ascii="Times New Roman" w:eastAsia="Times New Roman" w:hAnsi="Times New Roman" w:cs="Times New Roman"/>
          <w:sz w:val="23"/>
          <w:szCs w:val="23"/>
        </w:rPr>
        <w:t xml:space="preserve"> of them or use a managed container </w:t>
      </w:r>
      <w:proofErr w:type="gramStart"/>
      <w:r>
        <w:rPr>
          <w:rFonts w:ascii="Times New Roman" w:eastAsia="Times New Roman" w:hAnsi="Times New Roman" w:cs="Times New Roman"/>
          <w:sz w:val="23"/>
          <w:szCs w:val="23"/>
        </w:rPr>
        <w:t>services</w:t>
      </w:r>
      <w:proofErr w:type="gramEnd"/>
      <w:r>
        <w:rPr>
          <w:rFonts w:ascii="Times New Roman" w:eastAsia="Times New Roman" w:hAnsi="Times New Roman" w:cs="Times New Roman"/>
          <w:sz w:val="23"/>
          <w:szCs w:val="23"/>
        </w:rPr>
        <w:t>.</w:t>
      </w:r>
    </w:p>
    <w:p w14:paraId="00000033" w14:textId="77777777" w:rsidR="002F1325" w:rsidRDefault="00EA6B03">
      <w:pPr>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All these concepts could be proven through my Docker practical as well. A plain webpage was built into a Docker image based on Nginx and run using port mapping from host to container. This small task illustrate</w:t>
      </w:r>
      <w:r>
        <w:rPr>
          <w:rFonts w:ascii="Times New Roman" w:eastAsia="Times New Roman" w:hAnsi="Times New Roman" w:cs="Times New Roman"/>
          <w:sz w:val="23"/>
          <w:szCs w:val="23"/>
        </w:rPr>
        <w:t>d the concept of packaged deployment, exposing services, immutable images, publishing image remotely, software defined storage and networking.</w:t>
      </w:r>
    </w:p>
    <w:p w14:paraId="00000034" w14:textId="77777777" w:rsidR="002F1325" w:rsidRDefault="00EA6B03">
      <w:pPr>
        <w:jc w:val="both"/>
      </w:pPr>
      <w:r>
        <w:rPr>
          <w:rFonts w:ascii="Times New Roman" w:eastAsia="Times New Roman" w:hAnsi="Times New Roman" w:cs="Times New Roman"/>
          <w:sz w:val="23"/>
          <w:szCs w:val="23"/>
        </w:rPr>
        <w:t>In practice, VMs are useful for those legacy apps, heavy workloads, full isolation and max administrative control</w:t>
      </w:r>
      <w:r>
        <w:rPr>
          <w:rFonts w:ascii="Times New Roman" w:eastAsia="Times New Roman" w:hAnsi="Times New Roman" w:cs="Times New Roman"/>
          <w:sz w:val="23"/>
          <w:szCs w:val="23"/>
        </w:rPr>
        <w:t>. Containers are more suitable to develop microservices, CI/CD and high portable apps. Serverless functions allowed developers to run event-driven code together on a largely provider-managed platform [12], [13].</w:t>
      </w:r>
    </w:p>
    <w:p w14:paraId="00000035" w14:textId="77777777" w:rsidR="002F1325" w:rsidRDefault="00EA6B03">
      <w:pPr>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 xml:space="preserve">Firstly, </w:t>
      </w:r>
      <w:proofErr w:type="spellStart"/>
      <w:r>
        <w:rPr>
          <w:rFonts w:ascii="Times New Roman" w:eastAsia="Times New Roman" w:hAnsi="Times New Roman" w:cs="Times New Roman"/>
          <w:sz w:val="23"/>
          <w:szCs w:val="23"/>
        </w:rPr>
        <w:t>containerisation</w:t>
      </w:r>
      <w:proofErr w:type="spellEnd"/>
      <w:r>
        <w:rPr>
          <w:rFonts w:ascii="Times New Roman" w:eastAsia="Times New Roman" w:hAnsi="Times New Roman" w:cs="Times New Roman"/>
          <w:sz w:val="23"/>
          <w:szCs w:val="23"/>
        </w:rPr>
        <w:t xml:space="preserve"> is prized not simp</w:t>
      </w:r>
      <w:r>
        <w:rPr>
          <w:rFonts w:ascii="Times New Roman" w:eastAsia="Times New Roman" w:hAnsi="Times New Roman" w:cs="Times New Roman"/>
          <w:sz w:val="23"/>
          <w:szCs w:val="23"/>
        </w:rPr>
        <w:t>ly because its lightweight but also due to the fact that it provides operational consistency. Being able to build, test, and promote a Docker image from one environment to the next and simply roll back is a major benefit in a modern cloud engineering envir</w:t>
      </w:r>
      <w:r>
        <w:rPr>
          <w:rFonts w:ascii="Times New Roman" w:eastAsia="Times New Roman" w:hAnsi="Times New Roman" w:cs="Times New Roman"/>
          <w:sz w:val="23"/>
          <w:szCs w:val="23"/>
        </w:rPr>
        <w:t>onment.</w:t>
      </w:r>
      <w:r>
        <w:br w:type="page"/>
      </w:r>
    </w:p>
    <w:p w14:paraId="00000036" w14:textId="77777777" w:rsidR="002F1325" w:rsidRDefault="002F1325">
      <w:pPr>
        <w:jc w:val="both"/>
        <w:rPr>
          <w:rFonts w:ascii="Times New Roman" w:eastAsia="Times New Roman" w:hAnsi="Times New Roman" w:cs="Times New Roman"/>
          <w:sz w:val="23"/>
          <w:szCs w:val="23"/>
        </w:rPr>
      </w:pPr>
    </w:p>
    <w:p w14:paraId="00000037" w14:textId="77777777" w:rsidR="002F1325" w:rsidRDefault="002F1325">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p>
    <w:tbl>
      <w:tblPr>
        <w:tblStyle w:val="a1"/>
        <w:tblW w:w="9460" w:type="dxa"/>
        <w:jc w:val="center"/>
        <w:tblInd w:w="0" w:type="dxa"/>
        <w:tblBorders>
          <w:top w:val="single" w:sz="6" w:space="0" w:color="282828"/>
          <w:left w:val="single" w:sz="6" w:space="0" w:color="282828"/>
          <w:bottom w:val="single" w:sz="6" w:space="0" w:color="282828"/>
          <w:right w:val="single" w:sz="6" w:space="0" w:color="282828"/>
          <w:insideH w:val="single" w:sz="6" w:space="0" w:color="282828"/>
          <w:insideV w:val="single" w:sz="6" w:space="0" w:color="282828"/>
        </w:tblBorders>
        <w:tblLayout w:type="fixed"/>
        <w:tblLook w:val="0400" w:firstRow="0" w:lastRow="0" w:firstColumn="0" w:lastColumn="0" w:noHBand="0" w:noVBand="1"/>
      </w:tblPr>
      <w:tblGrid>
        <w:gridCol w:w="2365"/>
        <w:gridCol w:w="2365"/>
        <w:gridCol w:w="2365"/>
        <w:gridCol w:w="2365"/>
      </w:tblGrid>
      <w:tr w:rsidR="002F1325" w14:paraId="6A182FB8" w14:textId="77777777">
        <w:trPr>
          <w:jc w:val="center"/>
        </w:trPr>
        <w:tc>
          <w:tcPr>
            <w:tcW w:w="2365" w:type="dxa"/>
            <w:tcMar>
              <w:top w:w="80" w:type="dxa"/>
              <w:bottom w:w="80" w:type="dxa"/>
            </w:tcMar>
          </w:tcPr>
          <w:p w14:paraId="00000038"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Model</w:t>
            </w:r>
          </w:p>
        </w:tc>
        <w:tc>
          <w:tcPr>
            <w:tcW w:w="2365" w:type="dxa"/>
            <w:tcMar>
              <w:top w:w="80" w:type="dxa"/>
              <w:bottom w:w="80" w:type="dxa"/>
            </w:tcMar>
          </w:tcPr>
          <w:p w14:paraId="00000039"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Operational unit</w:t>
            </w:r>
          </w:p>
        </w:tc>
        <w:tc>
          <w:tcPr>
            <w:tcW w:w="2365" w:type="dxa"/>
            <w:tcMar>
              <w:top w:w="80" w:type="dxa"/>
              <w:bottom w:w="80" w:type="dxa"/>
            </w:tcMar>
          </w:tcPr>
          <w:p w14:paraId="0000003A"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Strengths</w:t>
            </w:r>
          </w:p>
        </w:tc>
        <w:tc>
          <w:tcPr>
            <w:tcW w:w="2365" w:type="dxa"/>
            <w:tcMar>
              <w:top w:w="80" w:type="dxa"/>
              <w:bottom w:w="80" w:type="dxa"/>
            </w:tcMar>
          </w:tcPr>
          <w:p w14:paraId="0000003B"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Typical limitations</w:t>
            </w:r>
          </w:p>
        </w:tc>
      </w:tr>
      <w:tr w:rsidR="002F1325" w14:paraId="3CEB93FD" w14:textId="77777777">
        <w:trPr>
          <w:jc w:val="center"/>
        </w:trPr>
        <w:tc>
          <w:tcPr>
            <w:tcW w:w="2365" w:type="dxa"/>
            <w:tcMar>
              <w:top w:w="80" w:type="dxa"/>
              <w:bottom w:w="80" w:type="dxa"/>
            </w:tcMar>
            <w:vAlign w:val="center"/>
          </w:tcPr>
          <w:p w14:paraId="0000003C"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Virtual machine</w:t>
            </w:r>
          </w:p>
        </w:tc>
        <w:tc>
          <w:tcPr>
            <w:tcW w:w="2365" w:type="dxa"/>
            <w:tcMar>
              <w:top w:w="80" w:type="dxa"/>
              <w:bottom w:w="80" w:type="dxa"/>
            </w:tcMar>
            <w:vAlign w:val="center"/>
          </w:tcPr>
          <w:p w14:paraId="0000003D"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Full guest OS plus application</w:t>
            </w:r>
          </w:p>
        </w:tc>
        <w:tc>
          <w:tcPr>
            <w:tcW w:w="2365" w:type="dxa"/>
            <w:tcMar>
              <w:top w:w="80" w:type="dxa"/>
              <w:bottom w:w="80" w:type="dxa"/>
            </w:tcMar>
            <w:vAlign w:val="center"/>
          </w:tcPr>
          <w:p w14:paraId="0000003E"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Strong isolation, broad control, legacy compatibility</w:t>
            </w:r>
          </w:p>
        </w:tc>
        <w:tc>
          <w:tcPr>
            <w:tcW w:w="2365" w:type="dxa"/>
            <w:tcMar>
              <w:top w:w="80" w:type="dxa"/>
              <w:bottom w:w="80" w:type="dxa"/>
            </w:tcMar>
            <w:vAlign w:val="center"/>
          </w:tcPr>
          <w:p w14:paraId="0000003F"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Heavier footprint, slower start-up, more patching overhead</w:t>
            </w:r>
          </w:p>
        </w:tc>
      </w:tr>
      <w:tr w:rsidR="002F1325" w14:paraId="34992B33" w14:textId="77777777">
        <w:trPr>
          <w:jc w:val="center"/>
        </w:trPr>
        <w:tc>
          <w:tcPr>
            <w:tcW w:w="2365" w:type="dxa"/>
            <w:tcMar>
              <w:top w:w="80" w:type="dxa"/>
              <w:bottom w:w="80" w:type="dxa"/>
            </w:tcMar>
            <w:vAlign w:val="center"/>
          </w:tcPr>
          <w:p w14:paraId="00000040"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Container</w:t>
            </w:r>
          </w:p>
        </w:tc>
        <w:tc>
          <w:tcPr>
            <w:tcW w:w="2365" w:type="dxa"/>
            <w:tcMar>
              <w:top w:w="80" w:type="dxa"/>
              <w:bottom w:w="80" w:type="dxa"/>
            </w:tcMar>
            <w:vAlign w:val="center"/>
          </w:tcPr>
          <w:p w14:paraId="00000041"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Application plus dependencies sharing host kernel</w:t>
            </w:r>
          </w:p>
        </w:tc>
        <w:tc>
          <w:tcPr>
            <w:tcW w:w="2365" w:type="dxa"/>
            <w:tcMar>
              <w:top w:w="80" w:type="dxa"/>
              <w:bottom w:w="80" w:type="dxa"/>
            </w:tcMar>
            <w:vAlign w:val="center"/>
          </w:tcPr>
          <w:p w14:paraId="00000042"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Portability, density, fast start, consistent packaging</w:t>
            </w:r>
          </w:p>
        </w:tc>
        <w:tc>
          <w:tcPr>
            <w:tcW w:w="2365" w:type="dxa"/>
            <w:tcMar>
              <w:top w:w="80" w:type="dxa"/>
              <w:bottom w:w="80" w:type="dxa"/>
            </w:tcMar>
            <w:vAlign w:val="center"/>
          </w:tcPr>
          <w:p w14:paraId="00000043"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Shared-kernel security concerns, orchestration needed at scale</w:t>
            </w:r>
          </w:p>
        </w:tc>
      </w:tr>
      <w:tr w:rsidR="002F1325" w14:paraId="731B18A5" w14:textId="77777777">
        <w:trPr>
          <w:jc w:val="center"/>
        </w:trPr>
        <w:tc>
          <w:tcPr>
            <w:tcW w:w="2365" w:type="dxa"/>
            <w:tcMar>
              <w:top w:w="80" w:type="dxa"/>
              <w:bottom w:w="80" w:type="dxa"/>
            </w:tcMar>
            <w:vAlign w:val="center"/>
          </w:tcPr>
          <w:p w14:paraId="00000044"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Serverless functi</w:t>
            </w:r>
            <w:r>
              <w:rPr>
                <w:rFonts w:ascii="Times New Roman" w:eastAsia="Times New Roman" w:hAnsi="Times New Roman" w:cs="Times New Roman"/>
                <w:sz w:val="18"/>
                <w:szCs w:val="18"/>
              </w:rPr>
              <w:t>on</w:t>
            </w:r>
          </w:p>
        </w:tc>
        <w:tc>
          <w:tcPr>
            <w:tcW w:w="2365" w:type="dxa"/>
            <w:tcMar>
              <w:top w:w="80" w:type="dxa"/>
              <w:bottom w:w="80" w:type="dxa"/>
            </w:tcMar>
            <w:vAlign w:val="center"/>
          </w:tcPr>
          <w:p w14:paraId="00000045"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Event-driven code execution on provider platform</w:t>
            </w:r>
          </w:p>
        </w:tc>
        <w:tc>
          <w:tcPr>
            <w:tcW w:w="2365" w:type="dxa"/>
            <w:tcMar>
              <w:top w:w="80" w:type="dxa"/>
              <w:bottom w:w="80" w:type="dxa"/>
            </w:tcMar>
            <w:vAlign w:val="center"/>
          </w:tcPr>
          <w:p w14:paraId="00000046"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Low ops overhead, fine-grained scaling, pay-per-use potential</w:t>
            </w:r>
          </w:p>
        </w:tc>
        <w:tc>
          <w:tcPr>
            <w:tcW w:w="2365" w:type="dxa"/>
            <w:tcMar>
              <w:top w:w="80" w:type="dxa"/>
              <w:bottom w:w="80" w:type="dxa"/>
            </w:tcMar>
            <w:vAlign w:val="center"/>
          </w:tcPr>
          <w:p w14:paraId="00000047"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Cold starts, limits and provider lock-in concerns</w:t>
            </w:r>
          </w:p>
        </w:tc>
      </w:tr>
    </w:tbl>
    <w:p w14:paraId="00000048"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Table 1. Comparison of virtual machines, containers and serverless functions</w:t>
      </w:r>
    </w:p>
    <w:p w14:paraId="00000049" w14:textId="77777777" w:rsidR="002F1325" w:rsidRDefault="002F1325">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p>
    <w:p w14:paraId="0000004A" w14:textId="77777777" w:rsidR="002F1325" w:rsidRDefault="00EA6B03">
      <w:pPr>
        <w:pStyle w:val="Heading1"/>
        <w:rPr>
          <w:rFonts w:ascii="Times New Roman" w:eastAsia="Times New Roman" w:hAnsi="Times New Roman" w:cs="Times New Roman"/>
          <w:sz w:val="32"/>
          <w:szCs w:val="32"/>
        </w:rPr>
      </w:pPr>
      <w:bookmarkStart w:id="3" w:name="_heading=h.jvo9ybw8lms" w:colFirst="0" w:colLast="0"/>
      <w:bookmarkEnd w:id="3"/>
      <w:r>
        <w:br w:type="page"/>
      </w:r>
    </w:p>
    <w:p w14:paraId="0000004B" w14:textId="77777777" w:rsidR="002F1325" w:rsidRDefault="00EA6B03">
      <w:pPr>
        <w:pStyle w:val="Heading1"/>
        <w:rPr>
          <w:rFonts w:ascii="Times New Roman" w:eastAsia="Times New Roman" w:hAnsi="Times New Roman" w:cs="Times New Roman"/>
          <w:sz w:val="32"/>
          <w:szCs w:val="32"/>
        </w:rPr>
      </w:pPr>
      <w:bookmarkStart w:id="4" w:name="_heading=h.s5ebuv83ume5" w:colFirst="0" w:colLast="0"/>
      <w:bookmarkEnd w:id="4"/>
      <w:r>
        <w:rPr>
          <w:rFonts w:ascii="Times New Roman" w:eastAsia="Times New Roman" w:hAnsi="Times New Roman" w:cs="Times New Roman"/>
          <w:sz w:val="32"/>
          <w:szCs w:val="32"/>
        </w:rPr>
        <w:t>3. Practical implementation and analysis</w:t>
      </w:r>
    </w:p>
    <w:p w14:paraId="0000004C" w14:textId="77777777" w:rsidR="002F1325" w:rsidRDefault="00EA6B03">
      <w:pPr>
        <w:jc w:val="both"/>
      </w:pPr>
      <w:r>
        <w:rPr>
          <w:rFonts w:ascii="Times New Roman" w:eastAsia="Times New Roman" w:hAnsi="Times New Roman" w:cs="Times New Roman"/>
        </w:rPr>
        <w:t>The practical work was carried out on Ubuntu Linux using Docker Engine with a basic custom web application that is served with Nginx. T</w:t>
      </w:r>
      <w:r>
        <w:rPr>
          <w:rFonts w:ascii="Times New Roman" w:eastAsia="Times New Roman" w:hAnsi="Times New Roman" w:cs="Times New Roman"/>
        </w:rPr>
        <w:t>he workflow had a logical sequence of installation and verification, up to publication, persistence, networking and cleanup. Every step generated command-line or browser artifacts. The main screenshots are included in the body of the report, while addition</w:t>
      </w:r>
      <w:r>
        <w:rPr>
          <w:rFonts w:ascii="Times New Roman" w:eastAsia="Times New Roman" w:hAnsi="Times New Roman" w:cs="Times New Roman"/>
        </w:rPr>
        <w:t>al supporting screenshots are included in Appendix A.</w:t>
      </w:r>
    </w:p>
    <w:p w14:paraId="0000004D"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The practical tasks and the principle of cloud engineering that each task corresponds to are </w:t>
      </w:r>
      <w:proofErr w:type="spellStart"/>
      <w:r>
        <w:rPr>
          <w:rFonts w:ascii="Times New Roman" w:eastAsia="Times New Roman" w:hAnsi="Times New Roman" w:cs="Times New Roman"/>
        </w:rPr>
        <w:t>summarised</w:t>
      </w:r>
      <w:proofErr w:type="spellEnd"/>
      <w:r>
        <w:rPr>
          <w:rFonts w:ascii="Times New Roman" w:eastAsia="Times New Roman" w:hAnsi="Times New Roman" w:cs="Times New Roman"/>
        </w:rPr>
        <w:t xml:space="preserve"> in Table 2.</w:t>
      </w:r>
    </w:p>
    <w:p w14:paraId="0000004E" w14:textId="77777777" w:rsidR="002F1325" w:rsidRDefault="002F1325">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p>
    <w:tbl>
      <w:tblPr>
        <w:tblStyle w:val="a2"/>
        <w:tblW w:w="9460" w:type="dxa"/>
        <w:jc w:val="center"/>
        <w:tblInd w:w="0" w:type="dxa"/>
        <w:tblBorders>
          <w:top w:val="single" w:sz="6" w:space="0" w:color="282828"/>
          <w:left w:val="single" w:sz="6" w:space="0" w:color="282828"/>
          <w:bottom w:val="single" w:sz="6" w:space="0" w:color="282828"/>
          <w:right w:val="single" w:sz="6" w:space="0" w:color="282828"/>
          <w:insideH w:val="single" w:sz="6" w:space="0" w:color="282828"/>
          <w:insideV w:val="single" w:sz="6" w:space="0" w:color="282828"/>
        </w:tblBorders>
        <w:tblLayout w:type="fixed"/>
        <w:tblLook w:val="0400" w:firstRow="0" w:lastRow="0" w:firstColumn="0" w:lastColumn="0" w:noHBand="0" w:noVBand="1"/>
      </w:tblPr>
      <w:tblGrid>
        <w:gridCol w:w="2365"/>
        <w:gridCol w:w="2365"/>
        <w:gridCol w:w="2365"/>
        <w:gridCol w:w="2365"/>
      </w:tblGrid>
      <w:tr w:rsidR="002F1325" w14:paraId="718D58F7" w14:textId="77777777">
        <w:trPr>
          <w:jc w:val="center"/>
        </w:trPr>
        <w:tc>
          <w:tcPr>
            <w:tcW w:w="2365" w:type="dxa"/>
            <w:tcMar>
              <w:top w:w="80" w:type="dxa"/>
              <w:bottom w:w="80" w:type="dxa"/>
            </w:tcMar>
          </w:tcPr>
          <w:p w14:paraId="0000004F"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Stage</w:t>
            </w:r>
          </w:p>
        </w:tc>
        <w:tc>
          <w:tcPr>
            <w:tcW w:w="2365" w:type="dxa"/>
            <w:tcMar>
              <w:top w:w="80" w:type="dxa"/>
              <w:bottom w:w="80" w:type="dxa"/>
            </w:tcMar>
          </w:tcPr>
          <w:p w14:paraId="00000050"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Key action</w:t>
            </w:r>
          </w:p>
        </w:tc>
        <w:tc>
          <w:tcPr>
            <w:tcW w:w="2365" w:type="dxa"/>
            <w:tcMar>
              <w:top w:w="80" w:type="dxa"/>
              <w:bottom w:w="80" w:type="dxa"/>
            </w:tcMar>
          </w:tcPr>
          <w:p w14:paraId="00000051"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Evidence captured</w:t>
            </w:r>
          </w:p>
        </w:tc>
        <w:tc>
          <w:tcPr>
            <w:tcW w:w="2365" w:type="dxa"/>
            <w:tcMar>
              <w:top w:w="80" w:type="dxa"/>
              <w:bottom w:w="80" w:type="dxa"/>
            </w:tcMar>
          </w:tcPr>
          <w:p w14:paraId="00000052"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Cloud relevance</w:t>
            </w:r>
          </w:p>
        </w:tc>
      </w:tr>
      <w:tr w:rsidR="002F1325" w14:paraId="569AF2A4" w14:textId="77777777">
        <w:trPr>
          <w:jc w:val="center"/>
        </w:trPr>
        <w:tc>
          <w:tcPr>
            <w:tcW w:w="2365" w:type="dxa"/>
            <w:tcMar>
              <w:top w:w="80" w:type="dxa"/>
              <w:bottom w:w="80" w:type="dxa"/>
            </w:tcMar>
            <w:vAlign w:val="center"/>
          </w:tcPr>
          <w:p w14:paraId="00000053"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1</w:t>
            </w:r>
          </w:p>
        </w:tc>
        <w:tc>
          <w:tcPr>
            <w:tcW w:w="2365" w:type="dxa"/>
            <w:tcMar>
              <w:top w:w="80" w:type="dxa"/>
              <w:bottom w:w="80" w:type="dxa"/>
            </w:tcMar>
            <w:vAlign w:val="center"/>
          </w:tcPr>
          <w:p w14:paraId="00000054"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Install and verify Docker</w:t>
            </w:r>
          </w:p>
        </w:tc>
        <w:tc>
          <w:tcPr>
            <w:tcW w:w="2365" w:type="dxa"/>
            <w:tcMar>
              <w:top w:w="80" w:type="dxa"/>
              <w:bottom w:w="80" w:type="dxa"/>
            </w:tcMar>
            <w:vAlign w:val="center"/>
          </w:tcPr>
          <w:p w14:paraId="00000055"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Package output, service status, hello-world pull</w:t>
            </w:r>
          </w:p>
        </w:tc>
        <w:tc>
          <w:tcPr>
            <w:tcW w:w="2365" w:type="dxa"/>
            <w:shd w:val="clear" w:color="auto" w:fill="F7FAFD"/>
            <w:tcMar>
              <w:top w:w="80" w:type="dxa"/>
              <w:bottom w:w="80" w:type="dxa"/>
            </w:tcMar>
            <w:vAlign w:val="center"/>
          </w:tcPr>
          <w:p w14:paraId="00000056"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Runtime readiness and host preparation</w:t>
            </w:r>
          </w:p>
        </w:tc>
      </w:tr>
      <w:tr w:rsidR="002F1325" w14:paraId="115B619C" w14:textId="77777777">
        <w:trPr>
          <w:jc w:val="center"/>
        </w:trPr>
        <w:tc>
          <w:tcPr>
            <w:tcW w:w="2365" w:type="dxa"/>
            <w:tcMar>
              <w:top w:w="80" w:type="dxa"/>
              <w:bottom w:w="80" w:type="dxa"/>
            </w:tcMar>
            <w:vAlign w:val="center"/>
          </w:tcPr>
          <w:p w14:paraId="00000057"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2</w:t>
            </w:r>
          </w:p>
        </w:tc>
        <w:tc>
          <w:tcPr>
            <w:tcW w:w="2365" w:type="dxa"/>
            <w:tcMar>
              <w:top w:w="80" w:type="dxa"/>
              <w:bottom w:w="80" w:type="dxa"/>
            </w:tcMar>
            <w:vAlign w:val="center"/>
          </w:tcPr>
          <w:p w14:paraId="00000058"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 xml:space="preserve">Create HTML and </w:t>
            </w:r>
            <w:proofErr w:type="spellStart"/>
            <w:r>
              <w:rPr>
                <w:rFonts w:ascii="Times New Roman" w:eastAsia="Times New Roman" w:hAnsi="Times New Roman" w:cs="Times New Roman"/>
                <w:sz w:val="18"/>
                <w:szCs w:val="18"/>
              </w:rPr>
              <w:t>Dockerfile</w:t>
            </w:r>
            <w:proofErr w:type="spellEnd"/>
          </w:p>
        </w:tc>
        <w:tc>
          <w:tcPr>
            <w:tcW w:w="2365" w:type="dxa"/>
            <w:tcMar>
              <w:top w:w="80" w:type="dxa"/>
              <w:bottom w:w="80" w:type="dxa"/>
            </w:tcMar>
            <w:vAlign w:val="center"/>
          </w:tcPr>
          <w:p w14:paraId="00000059"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Custom files shown in terminal</w:t>
            </w:r>
          </w:p>
        </w:tc>
        <w:tc>
          <w:tcPr>
            <w:tcW w:w="2365" w:type="dxa"/>
            <w:tcMar>
              <w:top w:w="80" w:type="dxa"/>
              <w:bottom w:w="80" w:type="dxa"/>
            </w:tcMar>
            <w:vAlign w:val="center"/>
          </w:tcPr>
          <w:p w14:paraId="0000005A"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Declarative packaging and reproducibility</w:t>
            </w:r>
          </w:p>
        </w:tc>
      </w:tr>
      <w:tr w:rsidR="002F1325" w14:paraId="79BC63F4" w14:textId="77777777">
        <w:trPr>
          <w:jc w:val="center"/>
        </w:trPr>
        <w:tc>
          <w:tcPr>
            <w:tcW w:w="2365" w:type="dxa"/>
            <w:tcMar>
              <w:top w:w="80" w:type="dxa"/>
              <w:bottom w:w="80" w:type="dxa"/>
            </w:tcMar>
            <w:vAlign w:val="center"/>
          </w:tcPr>
          <w:p w14:paraId="0000005B"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3</w:t>
            </w:r>
          </w:p>
        </w:tc>
        <w:tc>
          <w:tcPr>
            <w:tcW w:w="2365" w:type="dxa"/>
            <w:tcMar>
              <w:top w:w="80" w:type="dxa"/>
              <w:bottom w:w="80" w:type="dxa"/>
            </w:tcMar>
            <w:vAlign w:val="center"/>
          </w:tcPr>
          <w:p w14:paraId="0000005C"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Build image</w:t>
            </w:r>
          </w:p>
        </w:tc>
        <w:tc>
          <w:tcPr>
            <w:tcW w:w="2365" w:type="dxa"/>
            <w:tcMar>
              <w:top w:w="80" w:type="dxa"/>
              <w:bottom w:w="80" w:type="dxa"/>
            </w:tcMar>
            <w:vAlign w:val="center"/>
          </w:tcPr>
          <w:p w14:paraId="0000005D"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Successful build and image list</w:t>
            </w:r>
          </w:p>
        </w:tc>
        <w:tc>
          <w:tcPr>
            <w:tcW w:w="2365" w:type="dxa"/>
            <w:tcMar>
              <w:top w:w="80" w:type="dxa"/>
              <w:bottom w:w="80" w:type="dxa"/>
            </w:tcMar>
            <w:vAlign w:val="center"/>
          </w:tcPr>
          <w:p w14:paraId="0000005E"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Versioned artefact creation</w:t>
            </w:r>
          </w:p>
        </w:tc>
      </w:tr>
      <w:tr w:rsidR="002F1325" w14:paraId="4B537004" w14:textId="77777777">
        <w:trPr>
          <w:jc w:val="center"/>
        </w:trPr>
        <w:tc>
          <w:tcPr>
            <w:tcW w:w="2365" w:type="dxa"/>
            <w:tcMar>
              <w:top w:w="80" w:type="dxa"/>
              <w:bottom w:w="80" w:type="dxa"/>
            </w:tcMar>
            <w:vAlign w:val="center"/>
          </w:tcPr>
          <w:p w14:paraId="0000005F"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4</w:t>
            </w:r>
          </w:p>
        </w:tc>
        <w:tc>
          <w:tcPr>
            <w:tcW w:w="2365" w:type="dxa"/>
            <w:tcMar>
              <w:top w:w="80" w:type="dxa"/>
              <w:bottom w:w="80" w:type="dxa"/>
            </w:tcMar>
            <w:vAlign w:val="center"/>
          </w:tcPr>
          <w:p w14:paraId="00000060"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Run container</w:t>
            </w:r>
          </w:p>
        </w:tc>
        <w:tc>
          <w:tcPr>
            <w:tcW w:w="2365" w:type="dxa"/>
            <w:tcMar>
              <w:top w:w="80" w:type="dxa"/>
              <w:bottom w:w="80" w:type="dxa"/>
            </w:tcMar>
            <w:vAlign w:val="center"/>
          </w:tcPr>
          <w:p w14:paraId="00000061"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 xml:space="preserve">docker </w:t>
            </w:r>
            <w:proofErr w:type="spellStart"/>
            <w:r>
              <w:rPr>
                <w:rFonts w:ascii="Times New Roman" w:eastAsia="Times New Roman" w:hAnsi="Times New Roman" w:cs="Times New Roman"/>
                <w:sz w:val="18"/>
                <w:szCs w:val="18"/>
              </w:rPr>
              <w:t>ps</w:t>
            </w:r>
            <w:proofErr w:type="spellEnd"/>
            <w:r>
              <w:rPr>
                <w:rFonts w:ascii="Times New Roman" w:eastAsia="Times New Roman" w:hAnsi="Times New Roman" w:cs="Times New Roman"/>
                <w:sz w:val="18"/>
                <w:szCs w:val="18"/>
              </w:rPr>
              <w:t xml:space="preserve"> and browser output</w:t>
            </w:r>
          </w:p>
        </w:tc>
        <w:tc>
          <w:tcPr>
            <w:tcW w:w="2365" w:type="dxa"/>
            <w:tcMar>
              <w:top w:w="80" w:type="dxa"/>
              <w:bottom w:w="80" w:type="dxa"/>
            </w:tcMar>
            <w:vAlign w:val="center"/>
          </w:tcPr>
          <w:p w14:paraId="00000062"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Service execution and port exposure</w:t>
            </w:r>
          </w:p>
        </w:tc>
      </w:tr>
      <w:tr w:rsidR="002F1325" w14:paraId="5AFD2457" w14:textId="77777777">
        <w:trPr>
          <w:jc w:val="center"/>
        </w:trPr>
        <w:tc>
          <w:tcPr>
            <w:tcW w:w="2365" w:type="dxa"/>
            <w:tcMar>
              <w:top w:w="80" w:type="dxa"/>
              <w:bottom w:w="80" w:type="dxa"/>
            </w:tcMar>
            <w:vAlign w:val="center"/>
          </w:tcPr>
          <w:p w14:paraId="00000063"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5</w:t>
            </w:r>
          </w:p>
        </w:tc>
        <w:tc>
          <w:tcPr>
            <w:tcW w:w="2365" w:type="dxa"/>
            <w:tcMar>
              <w:top w:w="80" w:type="dxa"/>
              <w:bottom w:w="80" w:type="dxa"/>
            </w:tcMar>
            <w:vAlign w:val="center"/>
          </w:tcPr>
          <w:p w14:paraId="00000064"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Publish to Docker Hub</w:t>
            </w:r>
          </w:p>
        </w:tc>
        <w:tc>
          <w:tcPr>
            <w:tcW w:w="2365" w:type="dxa"/>
            <w:tcMar>
              <w:top w:w="80" w:type="dxa"/>
              <w:bottom w:w="80" w:type="dxa"/>
            </w:tcMar>
            <w:vAlign w:val="center"/>
          </w:tcPr>
          <w:p w14:paraId="00000065"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Login, push and repository page</w:t>
            </w:r>
          </w:p>
        </w:tc>
        <w:tc>
          <w:tcPr>
            <w:tcW w:w="2365" w:type="dxa"/>
            <w:tcMar>
              <w:top w:w="80" w:type="dxa"/>
              <w:bottom w:w="80" w:type="dxa"/>
            </w:tcMar>
            <w:vAlign w:val="center"/>
          </w:tcPr>
          <w:p w14:paraId="00000066"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Remote registry lifecycle</w:t>
            </w:r>
          </w:p>
        </w:tc>
      </w:tr>
      <w:tr w:rsidR="002F1325" w14:paraId="3C68041C" w14:textId="77777777">
        <w:trPr>
          <w:jc w:val="center"/>
        </w:trPr>
        <w:tc>
          <w:tcPr>
            <w:tcW w:w="2365" w:type="dxa"/>
            <w:tcMar>
              <w:top w:w="80" w:type="dxa"/>
              <w:bottom w:w="80" w:type="dxa"/>
            </w:tcMar>
            <w:vAlign w:val="center"/>
          </w:tcPr>
          <w:p w14:paraId="00000067"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6</w:t>
            </w:r>
          </w:p>
        </w:tc>
        <w:tc>
          <w:tcPr>
            <w:tcW w:w="2365" w:type="dxa"/>
            <w:tcMar>
              <w:top w:w="80" w:type="dxa"/>
              <w:bottom w:w="80" w:type="dxa"/>
            </w:tcMar>
            <w:vAlign w:val="center"/>
          </w:tcPr>
          <w:p w14:paraId="00000068"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Create volume</w:t>
            </w:r>
          </w:p>
        </w:tc>
        <w:tc>
          <w:tcPr>
            <w:tcW w:w="2365" w:type="dxa"/>
            <w:tcMar>
              <w:top w:w="80" w:type="dxa"/>
              <w:bottom w:w="80" w:type="dxa"/>
            </w:tcMar>
            <w:vAlign w:val="center"/>
          </w:tcPr>
          <w:p w14:paraId="00000069"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Volume list and proof file retrieval</w:t>
            </w:r>
          </w:p>
        </w:tc>
        <w:tc>
          <w:tcPr>
            <w:tcW w:w="2365" w:type="dxa"/>
            <w:tcMar>
              <w:top w:w="80" w:type="dxa"/>
              <w:bottom w:w="80" w:type="dxa"/>
            </w:tcMar>
            <w:vAlign w:val="center"/>
          </w:tcPr>
          <w:p w14:paraId="0000006A"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Persistent storage beyond container lifecycle</w:t>
            </w:r>
          </w:p>
        </w:tc>
      </w:tr>
      <w:tr w:rsidR="002F1325" w14:paraId="7D726C3A" w14:textId="77777777">
        <w:trPr>
          <w:jc w:val="center"/>
        </w:trPr>
        <w:tc>
          <w:tcPr>
            <w:tcW w:w="2365" w:type="dxa"/>
            <w:tcMar>
              <w:top w:w="80" w:type="dxa"/>
              <w:bottom w:w="80" w:type="dxa"/>
            </w:tcMar>
            <w:vAlign w:val="center"/>
          </w:tcPr>
          <w:p w14:paraId="0000006B"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7</w:t>
            </w:r>
          </w:p>
        </w:tc>
        <w:tc>
          <w:tcPr>
            <w:tcW w:w="2365" w:type="dxa"/>
            <w:tcMar>
              <w:top w:w="80" w:type="dxa"/>
              <w:bottom w:w="80" w:type="dxa"/>
            </w:tcMar>
            <w:vAlign w:val="center"/>
          </w:tcPr>
          <w:p w14:paraId="0000006C"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Create custom network</w:t>
            </w:r>
          </w:p>
        </w:tc>
        <w:tc>
          <w:tcPr>
            <w:tcW w:w="2365" w:type="dxa"/>
            <w:tcMar>
              <w:top w:w="80" w:type="dxa"/>
              <w:bottom w:w="80" w:type="dxa"/>
            </w:tcMar>
            <w:vAlign w:val="center"/>
          </w:tcPr>
          <w:p w14:paraId="0000006D"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Network list and inspect output</w:t>
            </w:r>
          </w:p>
        </w:tc>
        <w:tc>
          <w:tcPr>
            <w:tcW w:w="2365" w:type="dxa"/>
            <w:tcMar>
              <w:top w:w="80" w:type="dxa"/>
              <w:bottom w:w="80" w:type="dxa"/>
            </w:tcMar>
            <w:vAlign w:val="center"/>
          </w:tcPr>
          <w:p w14:paraId="0000006E"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Software-defined connectivity and isolation</w:t>
            </w:r>
          </w:p>
        </w:tc>
      </w:tr>
    </w:tbl>
    <w:p w14:paraId="0000006F" w14:textId="77777777" w:rsidR="002F1325" w:rsidRDefault="00EA6B03">
      <w:pPr>
        <w:spacing w:after="80" w:line="264" w:lineRule="auto"/>
        <w:jc w:val="center"/>
        <w:rPr>
          <w:rFonts w:ascii="Times New Roman" w:eastAsia="Times New Roman" w:hAnsi="Times New Roman" w:cs="Times New Roman"/>
          <w:b/>
          <w:bCs/>
          <w:color w:val="1F4E79"/>
          <w:sz w:val="25"/>
          <w:szCs w:val="25"/>
        </w:rPr>
      </w:pPr>
      <w:r>
        <w:rPr>
          <w:rFonts w:ascii="Times New Roman" w:eastAsia="Times New Roman" w:hAnsi="Times New Roman" w:cs="Times New Roman"/>
          <w:i/>
          <w:iCs/>
          <w:color w:val="5A5A5A"/>
          <w:sz w:val="18"/>
          <w:szCs w:val="18"/>
        </w:rPr>
        <w:t>Table 2. Practical workflow, evidence and cloud engineering relevance</w:t>
      </w:r>
    </w:p>
    <w:p w14:paraId="00000070" w14:textId="77777777" w:rsidR="002F1325" w:rsidRDefault="00EA6B03">
      <w:pPr>
        <w:pStyle w:val="Heading2"/>
        <w:spacing w:after="80" w:line="264" w:lineRule="auto"/>
        <w:rPr>
          <w:rFonts w:ascii="Times New Roman" w:eastAsia="Times New Roman" w:hAnsi="Times New Roman" w:cs="Times New Roman"/>
        </w:rPr>
      </w:pPr>
      <w:bookmarkStart w:id="5" w:name="_heading=h.6eu0fply40f" w:colFirst="0" w:colLast="0"/>
      <w:bookmarkEnd w:id="5"/>
      <w:r>
        <w:rPr>
          <w:rFonts w:ascii="Times New Roman" w:eastAsia="Times New Roman" w:hAnsi="Times New Roman" w:cs="Times New Roman"/>
        </w:rPr>
        <w:t>3.1 Environment setup and runtime verification</w:t>
      </w:r>
    </w:p>
    <w:p w14:paraId="00000071"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The first stage was environment preparation. Docker packages were installed on Ubuntu, after which the Docker service was started, enabled </w:t>
      </w:r>
      <w:r>
        <w:rPr>
          <w:rFonts w:ascii="Times New Roman" w:eastAsia="Times New Roman" w:hAnsi="Times New Roman" w:cs="Times New Roman"/>
        </w:rPr>
        <w:t>and checked. The service status output verified that the Docker daemon was running and the downloading of the hello-world image was successful. This is important since the operation of container tooling requires the operation of a running daemon or compati</w:t>
      </w:r>
      <w:r>
        <w:rPr>
          <w:rFonts w:ascii="Times New Roman" w:eastAsia="Times New Roman" w:hAnsi="Times New Roman" w:cs="Times New Roman"/>
        </w:rPr>
        <w:t xml:space="preserve">ble runtime layer. This </w:t>
      </w:r>
      <w:proofErr w:type="gramStart"/>
      <w:r>
        <w:rPr>
          <w:rFonts w:ascii="Times New Roman" w:eastAsia="Times New Roman" w:hAnsi="Times New Roman" w:cs="Times New Roman"/>
        </w:rPr>
        <w:t>step in</w:t>
      </w:r>
      <w:proofErr w:type="gramEnd"/>
      <w:r>
        <w:rPr>
          <w:rFonts w:ascii="Times New Roman" w:eastAsia="Times New Roman" w:hAnsi="Times New Roman" w:cs="Times New Roman"/>
        </w:rPr>
        <w:t xml:space="preserve"> cloud engineering ensures the control plane of local container operations. A healthy runtime service is needed without which subsequent processes like image build, storage mounting and network attachment would not work.</w:t>
      </w:r>
    </w:p>
    <w:p w14:paraId="00000072"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The </w:t>
      </w:r>
      <w:r>
        <w:rPr>
          <w:rFonts w:ascii="Times New Roman" w:eastAsia="Times New Roman" w:hAnsi="Times New Roman" w:cs="Times New Roman"/>
        </w:rPr>
        <w:t>service check also illustrates that there is an awareness of operations readiness. Cloud workloads are based on background services, socket activation, logging and health of daemons. Status view is thus a local analogue of determining the availability of a</w:t>
      </w:r>
      <w:r>
        <w:rPr>
          <w:rFonts w:ascii="Times New Roman" w:eastAsia="Times New Roman" w:hAnsi="Times New Roman" w:cs="Times New Roman"/>
        </w:rPr>
        <w:t xml:space="preserve"> managed service in a cloud console. The screenshot evidence substantiates the argument that the system was not only set up but it was actually prepared to do container tasks (see Figure 1).</w:t>
      </w:r>
    </w:p>
    <w:p w14:paraId="00000073" w14:textId="77777777" w:rsidR="002F1325" w:rsidRDefault="002F1325">
      <w:pPr>
        <w:jc w:val="both"/>
        <w:rPr>
          <w:rFonts w:ascii="Times New Roman" w:eastAsia="Times New Roman" w:hAnsi="Times New Roman" w:cs="Times New Roman"/>
        </w:rPr>
      </w:pPr>
    </w:p>
    <w:p w14:paraId="00000074"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75463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b="53802"/>
                    <a:stretch>
                      <a:fillRect/>
                    </a:stretch>
                  </pic:blipFill>
                  <pic:spPr>
                    <a:xfrm>
                      <a:off x="0" y="0"/>
                      <a:ext cx="5619750" cy="2754630"/>
                    </a:xfrm>
                    <a:prstGeom prst="rect">
                      <a:avLst/>
                    </a:prstGeom>
                    <a:ln/>
                  </pic:spPr>
                </pic:pic>
              </a:graphicData>
            </a:graphic>
          </wp:inline>
        </w:drawing>
      </w:r>
    </w:p>
    <w:p w14:paraId="00000075"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601775"/>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t="51241" b="5136"/>
                    <a:stretch>
                      <a:fillRect/>
                    </a:stretch>
                  </pic:blipFill>
                  <pic:spPr>
                    <a:xfrm>
                      <a:off x="0" y="0"/>
                      <a:ext cx="5619750" cy="2601775"/>
                    </a:xfrm>
                    <a:prstGeom prst="rect">
                      <a:avLst/>
                    </a:prstGeom>
                    <a:ln/>
                  </pic:spPr>
                </pic:pic>
              </a:graphicData>
            </a:graphic>
          </wp:inline>
        </w:drawing>
      </w:r>
    </w:p>
    <w:p w14:paraId="00000076"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1. Installation and service verification for Docker on Ubuntu.</w:t>
      </w:r>
    </w:p>
    <w:p w14:paraId="00000077" w14:textId="77777777" w:rsidR="002F1325" w:rsidRDefault="00EA6B03">
      <w:pPr>
        <w:pStyle w:val="Heading2"/>
        <w:spacing w:after="80" w:line="264" w:lineRule="auto"/>
        <w:rPr>
          <w:rFonts w:ascii="Times New Roman" w:eastAsia="Times New Roman" w:hAnsi="Times New Roman" w:cs="Times New Roman"/>
        </w:rPr>
      </w:pPr>
      <w:bookmarkStart w:id="6" w:name="_heading=h.2hfe8pdjdfdw" w:colFirst="0" w:colLast="0"/>
      <w:bookmarkEnd w:id="6"/>
      <w:r>
        <w:rPr>
          <w:rFonts w:ascii="Times New Roman" w:eastAsia="Times New Roman" w:hAnsi="Times New Roman" w:cs="Times New Roman"/>
        </w:rPr>
        <w:t>3.2 Application files and image build process</w:t>
      </w:r>
    </w:p>
    <w:p w14:paraId="00000078" w14:textId="77777777" w:rsidR="002F1325" w:rsidRDefault="00EA6B03">
      <w:pPr>
        <w:jc w:val="both"/>
      </w:pPr>
      <w:r>
        <w:rPr>
          <w:rFonts w:ascii="Times New Roman" w:eastAsia="Times New Roman" w:hAnsi="Times New Roman" w:cs="Times New Roman"/>
        </w:rPr>
        <w:t xml:space="preserve">When the runtime has been verified, a project directory was created with a couple of files: a trivial HTML page and a </w:t>
      </w:r>
      <w:proofErr w:type="spellStart"/>
      <w:r>
        <w:rPr>
          <w:rFonts w:ascii="Times New Roman" w:eastAsia="Times New Roman" w:hAnsi="Times New Roman" w:cs="Times New Roman"/>
        </w:rPr>
        <w:t>Dockerfile</w:t>
      </w:r>
      <w:proofErr w:type="spellEnd"/>
      <w:r>
        <w:rPr>
          <w:rFonts w:ascii="Times New Roman" w:eastAsia="Times New Roman" w:hAnsi="Times New Roman" w:cs="Times New Roman"/>
        </w:rPr>
        <w:t>. The HTML d</w:t>
      </w:r>
      <w:r>
        <w:rPr>
          <w:rFonts w:ascii="Times New Roman" w:eastAsia="Times New Roman" w:hAnsi="Times New Roman" w:cs="Times New Roman"/>
        </w:rPr>
        <w:t xml:space="preserve">isplayed a message confirming the requirements had been met. The </w:t>
      </w:r>
      <w:proofErr w:type="spellStart"/>
      <w:r>
        <w:rPr>
          <w:rFonts w:ascii="Times New Roman" w:eastAsia="Times New Roman" w:hAnsi="Times New Roman" w:cs="Times New Roman"/>
        </w:rPr>
        <w:t>Dockerfile</w:t>
      </w:r>
      <w:proofErr w:type="spellEnd"/>
      <w:r>
        <w:rPr>
          <w:rFonts w:ascii="Times New Roman" w:eastAsia="Times New Roman" w:hAnsi="Times New Roman" w:cs="Times New Roman"/>
        </w:rPr>
        <w:t xml:space="preserve"> used the official Nginx image as the base image and copied the custom-created index.html into the default web root used by Nginx, in addition to exposing port 80. This exemplifies </w:t>
      </w:r>
      <w:r>
        <w:rPr>
          <w:rFonts w:ascii="Times New Roman" w:eastAsia="Times New Roman" w:hAnsi="Times New Roman" w:cs="Times New Roman"/>
        </w:rPr>
        <w:t>image-based packaging - the service is packaged with a set of instructions, a portion of which can be repeated instead of providing a dynamic environment. Docker translates the instructions into layers of image components [7], [10].</w:t>
      </w:r>
    </w:p>
    <w:p w14:paraId="00000079" w14:textId="77777777" w:rsidR="002F1325" w:rsidRDefault="002F1325">
      <w:pPr>
        <w:jc w:val="both"/>
        <w:rPr>
          <w:rFonts w:ascii="Times New Roman" w:eastAsia="Times New Roman" w:hAnsi="Times New Roman" w:cs="Times New Roman"/>
        </w:rPr>
      </w:pPr>
    </w:p>
    <w:p w14:paraId="0000007A"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The build output indic</w:t>
      </w:r>
      <w:r>
        <w:rPr>
          <w:rFonts w:ascii="Times New Roman" w:eastAsia="Times New Roman" w:hAnsi="Times New Roman" w:cs="Times New Roman"/>
        </w:rPr>
        <w:t xml:space="preserve">ated that the </w:t>
      </w:r>
      <w:proofErr w:type="spellStart"/>
      <w:r>
        <w:rPr>
          <w:rFonts w:ascii="Times New Roman" w:eastAsia="Times New Roman" w:hAnsi="Times New Roman" w:cs="Times New Roman"/>
        </w:rPr>
        <w:t>nginx</w:t>
      </w:r>
      <w:proofErr w:type="spellEnd"/>
      <w:r>
        <w:rPr>
          <w:rFonts w:ascii="Times New Roman" w:eastAsia="Times New Roman" w:hAnsi="Times New Roman" w:cs="Times New Roman"/>
        </w:rPr>
        <w:t xml:space="preserve">-based image had been built successfully and was tagged in a personal repository namespace. Image tags are useful for making builds identifiable and manageable when sharing them, or feeding a similar build into a subsequent environment. </w:t>
      </w:r>
      <w:r>
        <w:rPr>
          <w:rFonts w:ascii="Times New Roman" w:eastAsia="Times New Roman" w:hAnsi="Times New Roman" w:cs="Times New Roman"/>
        </w:rPr>
        <w:t xml:space="preserve"> Using the same </w:t>
      </w:r>
      <w:proofErr w:type="spellStart"/>
      <w:r>
        <w:rPr>
          <w:rFonts w:ascii="Times New Roman" w:eastAsia="Times New Roman" w:hAnsi="Times New Roman" w:cs="Times New Roman"/>
        </w:rPr>
        <w:t>Dockerfile</w:t>
      </w:r>
      <w:proofErr w:type="spellEnd"/>
      <w:r>
        <w:rPr>
          <w:rFonts w:ascii="Times New Roman" w:eastAsia="Times New Roman" w:hAnsi="Times New Roman" w:cs="Times New Roman"/>
        </w:rPr>
        <w:t xml:space="preserve">/files can also produce the same service </w:t>
      </w:r>
      <w:proofErr w:type="spellStart"/>
      <w:r>
        <w:rPr>
          <w:rFonts w:ascii="Times New Roman" w:eastAsia="Times New Roman" w:hAnsi="Times New Roman" w:cs="Times New Roman"/>
        </w:rPr>
        <w:t>behaviour</w:t>
      </w:r>
      <w:proofErr w:type="spellEnd"/>
      <w:r>
        <w:rPr>
          <w:rFonts w:ascii="Times New Roman" w:eastAsia="Times New Roman" w:hAnsi="Times New Roman" w:cs="Times New Roman"/>
        </w:rPr>
        <w:t xml:space="preserve"> with less configuration </w:t>
      </w:r>
      <w:proofErr w:type="spellStart"/>
      <w:proofErr w:type="gramStart"/>
      <w:r>
        <w:rPr>
          <w:rFonts w:ascii="Times New Roman" w:eastAsia="Times New Roman" w:hAnsi="Times New Roman" w:cs="Times New Roman"/>
        </w:rPr>
        <w:t>drift,which</w:t>
      </w:r>
      <w:proofErr w:type="spellEnd"/>
      <w:proofErr w:type="gramEnd"/>
      <w:r>
        <w:rPr>
          <w:rFonts w:ascii="Times New Roman" w:eastAsia="Times New Roman" w:hAnsi="Times New Roman" w:cs="Times New Roman"/>
        </w:rPr>
        <w:t xml:space="preserve"> would be less convincing than starting from scratch manually.</w:t>
      </w:r>
    </w:p>
    <w:p w14:paraId="0000007B" w14:textId="77777777" w:rsidR="002F1325" w:rsidRDefault="002F1325">
      <w:pPr>
        <w:jc w:val="both"/>
        <w:rPr>
          <w:rFonts w:ascii="Times New Roman" w:eastAsia="Times New Roman" w:hAnsi="Times New Roman" w:cs="Times New Roman"/>
        </w:rPr>
      </w:pPr>
    </w:p>
    <w:p w14:paraId="0000007C"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The build stage was an opportunity for more critical thought. The </w:t>
      </w:r>
      <w:proofErr w:type="gramStart"/>
      <w:r>
        <w:rPr>
          <w:rFonts w:ascii="Times New Roman" w:eastAsia="Times New Roman" w:hAnsi="Times New Roman" w:cs="Times New Roman"/>
        </w:rPr>
        <w:t>commented on</w:t>
      </w:r>
      <w:proofErr w:type="gramEnd"/>
      <w:r>
        <w:rPr>
          <w:rFonts w:ascii="Times New Roman" w:eastAsia="Times New Roman" w:hAnsi="Times New Roman" w:cs="Times New Roman"/>
        </w:rPr>
        <w:t xml:space="preserve"> s</w:t>
      </w:r>
      <w:r>
        <w:rPr>
          <w:rFonts w:ascii="Times New Roman" w:eastAsia="Times New Roman" w:hAnsi="Times New Roman" w:cs="Times New Roman"/>
        </w:rPr>
        <w:t xml:space="preserve">creenshot indicated that the builder being used was outdated, and that the use of </w:t>
      </w:r>
      <w:proofErr w:type="spellStart"/>
      <w:r>
        <w:rPr>
          <w:rFonts w:ascii="Times New Roman" w:eastAsia="Times New Roman" w:hAnsi="Times New Roman" w:cs="Times New Roman"/>
        </w:rPr>
        <w:t>BuildKit</w:t>
      </w:r>
      <w:proofErr w:type="spellEnd"/>
      <w:r>
        <w:rPr>
          <w:rFonts w:ascii="Times New Roman" w:eastAsia="Times New Roman" w:hAnsi="Times New Roman" w:cs="Times New Roman"/>
        </w:rPr>
        <w:t xml:space="preserve"> is recommended. For a classroom exercise this sufficed, but in production the use of more robust steps is necessary, such as using </w:t>
      </w:r>
      <w:proofErr w:type="spellStart"/>
      <w:r>
        <w:rPr>
          <w:rFonts w:ascii="Times New Roman" w:eastAsia="Times New Roman" w:hAnsi="Times New Roman" w:cs="Times New Roman"/>
        </w:rPr>
        <w:t>BuildKit</w:t>
      </w:r>
      <w:proofErr w:type="spellEnd"/>
      <w:r>
        <w:rPr>
          <w:rFonts w:ascii="Times New Roman" w:eastAsia="Times New Roman" w:hAnsi="Times New Roman" w:cs="Times New Roman"/>
        </w:rPr>
        <w:t>, pinning image base versi</w:t>
      </w:r>
      <w:r>
        <w:rPr>
          <w:rFonts w:ascii="Times New Roman" w:eastAsia="Times New Roman" w:hAnsi="Times New Roman" w:cs="Times New Roman"/>
        </w:rPr>
        <w:t>on or digest ('latest' should be avoided), use security scanning and where possible using a non-root image [10], [11]. Figure 2 illustrates the contrast between a learning artifact and a good production cloud engineering artefact.</w:t>
      </w:r>
    </w:p>
    <w:p w14:paraId="0000007D" w14:textId="77777777" w:rsidR="002F1325" w:rsidRDefault="002F1325">
      <w:pPr>
        <w:jc w:val="both"/>
        <w:rPr>
          <w:rFonts w:ascii="Times New Roman" w:eastAsia="Times New Roman" w:hAnsi="Times New Roman" w:cs="Times New Roman"/>
        </w:rPr>
      </w:pPr>
    </w:p>
    <w:p w14:paraId="0000007E" w14:textId="77777777" w:rsidR="002F1325" w:rsidRDefault="002F1325">
      <w:pPr>
        <w:jc w:val="both"/>
        <w:rPr>
          <w:rFonts w:ascii="Times New Roman" w:eastAsia="Times New Roman" w:hAnsi="Times New Roman" w:cs="Times New Roman"/>
        </w:rPr>
      </w:pPr>
    </w:p>
    <w:p w14:paraId="0000007F"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741707"/>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54019"/>
                    <a:stretch>
                      <a:fillRect/>
                    </a:stretch>
                  </pic:blipFill>
                  <pic:spPr>
                    <a:xfrm>
                      <a:off x="0" y="0"/>
                      <a:ext cx="5619750" cy="2741707"/>
                    </a:xfrm>
                    <a:prstGeom prst="rect">
                      <a:avLst/>
                    </a:prstGeom>
                    <a:ln/>
                  </pic:spPr>
                </pic:pic>
              </a:graphicData>
            </a:graphic>
          </wp:inline>
        </w:drawing>
      </w:r>
    </w:p>
    <w:p w14:paraId="00000080"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741707"/>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t="48376" b="5642"/>
                    <a:stretch>
                      <a:fillRect/>
                    </a:stretch>
                  </pic:blipFill>
                  <pic:spPr>
                    <a:xfrm>
                      <a:off x="0" y="0"/>
                      <a:ext cx="5619750" cy="2741707"/>
                    </a:xfrm>
                    <a:prstGeom prst="rect">
                      <a:avLst/>
                    </a:prstGeom>
                    <a:ln/>
                  </pic:spPr>
                </pic:pic>
              </a:graphicData>
            </a:graphic>
          </wp:inline>
        </w:drawing>
      </w:r>
    </w:p>
    <w:p w14:paraId="00000081"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2. Source-fi</w:t>
      </w:r>
      <w:r>
        <w:rPr>
          <w:rFonts w:ascii="Times New Roman" w:eastAsia="Times New Roman" w:hAnsi="Times New Roman" w:cs="Times New Roman"/>
          <w:i/>
          <w:iCs/>
          <w:color w:val="5A5A5A"/>
          <w:sz w:val="18"/>
          <w:szCs w:val="18"/>
        </w:rPr>
        <w:t>le preparation and successful image build from the Nginx base image.</w:t>
      </w:r>
    </w:p>
    <w:p w14:paraId="00000082" w14:textId="77777777" w:rsidR="002F1325" w:rsidRDefault="00EA6B03">
      <w:pPr>
        <w:pStyle w:val="Heading2"/>
        <w:spacing w:after="80" w:line="264" w:lineRule="auto"/>
        <w:rPr>
          <w:rFonts w:ascii="Times New Roman" w:eastAsia="Times New Roman" w:hAnsi="Times New Roman" w:cs="Times New Roman"/>
        </w:rPr>
      </w:pPr>
      <w:bookmarkStart w:id="7" w:name="_heading=h.t2240cpskrdc" w:colFirst="0" w:colLast="0"/>
      <w:bookmarkEnd w:id="7"/>
      <w:r>
        <w:rPr>
          <w:rFonts w:ascii="Times New Roman" w:eastAsia="Times New Roman" w:hAnsi="Times New Roman" w:cs="Times New Roman"/>
        </w:rPr>
        <w:t>3.3 Local execution and browser validation</w:t>
      </w:r>
    </w:p>
    <w:p w14:paraId="00000083"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After the image was created, a container was started in detached mode with an explicit name and host-to-container port mapping of 8080:80. The browser screenshot, in turn, verified that the application could be accessed through localhost:8080 and provided </w:t>
      </w:r>
      <w:r>
        <w:rPr>
          <w:rFonts w:ascii="Times New Roman" w:eastAsia="Times New Roman" w:hAnsi="Times New Roman" w:cs="Times New Roman"/>
        </w:rPr>
        <w:t xml:space="preserve">the anticipated message. This is the most obvious stage of the exercise since it demonstrates that not only was the image constructed, but it was done as a networked service. The terminal output also indicated the running container in docker </w:t>
      </w:r>
      <w:proofErr w:type="spellStart"/>
      <w:r>
        <w:rPr>
          <w:rFonts w:ascii="Times New Roman" w:eastAsia="Times New Roman" w:hAnsi="Times New Roman" w:cs="Times New Roman"/>
        </w:rPr>
        <w:t>ps</w:t>
      </w:r>
      <w:proofErr w:type="spellEnd"/>
      <w:r>
        <w:rPr>
          <w:rFonts w:ascii="Times New Roman" w:eastAsia="Times New Roman" w:hAnsi="Times New Roman" w:cs="Times New Roman"/>
        </w:rPr>
        <w:t xml:space="preserve"> that confir</w:t>
      </w:r>
      <w:r>
        <w:rPr>
          <w:rFonts w:ascii="Times New Roman" w:eastAsia="Times New Roman" w:hAnsi="Times New Roman" w:cs="Times New Roman"/>
        </w:rPr>
        <w:t>med the mapped port and container state was correct.</w:t>
      </w:r>
    </w:p>
    <w:p w14:paraId="00000084"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Technically, this step demonstrates several important container concepts. The former is runtime isolation: the application does not get installed on the host operating system, but is instead executed wit</w:t>
      </w:r>
      <w:r>
        <w:rPr>
          <w:rFonts w:ascii="Times New Roman" w:eastAsia="Times New Roman" w:hAnsi="Times New Roman" w:cs="Times New Roman"/>
        </w:rPr>
        <w:t>h a container context. The second one is service exposure via port binding. Containers often listen on an internal service port, and are accessed by the users and dependent systems via host ports, proxies, gateways or service meshes. This reflects the clou</w:t>
      </w:r>
      <w:r>
        <w:rPr>
          <w:rFonts w:ascii="Times New Roman" w:eastAsia="Times New Roman" w:hAnsi="Times New Roman" w:cs="Times New Roman"/>
        </w:rPr>
        <w:t>d pattern of exposing an application via a controlled network path as opposed to the presumption of direct machine access, even in a small lab. The third one is disposability. At this point the container was stopped and removed without affecting the existi</w:t>
      </w:r>
      <w:r>
        <w:rPr>
          <w:rFonts w:ascii="Times New Roman" w:eastAsia="Times New Roman" w:hAnsi="Times New Roman" w:cs="Times New Roman"/>
        </w:rPr>
        <w:t>ng setup of the host which demonstrates the disposable nature of container instances.</w:t>
      </w:r>
    </w:p>
    <w:p w14:paraId="00000085"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A page loaded correctly in the browser proves more than just a port binding; it tests that the file-copy command in the </w:t>
      </w:r>
      <w:proofErr w:type="spellStart"/>
      <w:r>
        <w:rPr>
          <w:rFonts w:ascii="Times New Roman" w:eastAsia="Times New Roman" w:hAnsi="Times New Roman" w:cs="Times New Roman"/>
        </w:rPr>
        <w:t>Dockerfile</w:t>
      </w:r>
      <w:proofErr w:type="spellEnd"/>
      <w:r>
        <w:rPr>
          <w:rFonts w:ascii="Times New Roman" w:eastAsia="Times New Roman" w:hAnsi="Times New Roman" w:cs="Times New Roman"/>
        </w:rPr>
        <w:t xml:space="preserve"> had worked correctly and the default we</w:t>
      </w:r>
      <w:r>
        <w:rPr>
          <w:rFonts w:ascii="Times New Roman" w:eastAsia="Times New Roman" w:hAnsi="Times New Roman" w:cs="Times New Roman"/>
        </w:rPr>
        <w:t>b server configuration of the base image was good enough to serve the new page. That is, the final product of the entire packaging chain, the output of the browser, is the ultimate validation of the entire process: source code, build command, image generat</w:t>
      </w:r>
      <w:r>
        <w:rPr>
          <w:rFonts w:ascii="Times New Roman" w:eastAsia="Times New Roman" w:hAnsi="Times New Roman" w:cs="Times New Roman"/>
        </w:rPr>
        <w:t>ion, container execution and network access. That is why the browser evidence is especially useful in a report. It embodies the functional success as opposed to command success (see Figure 3).</w:t>
      </w:r>
    </w:p>
    <w:p w14:paraId="00000086" w14:textId="77777777" w:rsidR="002F1325" w:rsidRDefault="002F1325">
      <w:pPr>
        <w:jc w:val="both"/>
        <w:rPr>
          <w:rFonts w:ascii="Times New Roman" w:eastAsia="Times New Roman" w:hAnsi="Times New Roman" w:cs="Times New Roman"/>
        </w:rPr>
      </w:pPr>
    </w:p>
    <w:p w14:paraId="00000087"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694596"/>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54809"/>
                    <a:stretch>
                      <a:fillRect/>
                    </a:stretch>
                  </pic:blipFill>
                  <pic:spPr>
                    <a:xfrm>
                      <a:off x="0" y="0"/>
                      <a:ext cx="5619750" cy="2694596"/>
                    </a:xfrm>
                    <a:prstGeom prst="rect">
                      <a:avLst/>
                    </a:prstGeom>
                    <a:ln/>
                  </pic:spPr>
                </pic:pic>
              </a:graphicData>
            </a:graphic>
          </wp:inline>
        </w:drawing>
      </w:r>
      <w:r>
        <w:rPr>
          <w:rFonts w:ascii="Times New Roman" w:eastAsia="Times New Roman" w:hAnsi="Times New Roman" w:cs="Times New Roman"/>
          <w:noProof/>
        </w:rPr>
        <w:drawing>
          <wp:inline distT="0" distB="0" distL="114300" distR="114300">
            <wp:extent cx="5619750" cy="2538842"/>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50461" b="6975"/>
                    <a:stretch>
                      <a:fillRect/>
                    </a:stretch>
                  </pic:blipFill>
                  <pic:spPr>
                    <a:xfrm>
                      <a:off x="0" y="0"/>
                      <a:ext cx="5619750" cy="2538842"/>
                    </a:xfrm>
                    <a:prstGeom prst="rect">
                      <a:avLst/>
                    </a:prstGeom>
                    <a:ln/>
                  </pic:spPr>
                </pic:pic>
              </a:graphicData>
            </a:graphic>
          </wp:inline>
        </w:drawing>
      </w:r>
    </w:p>
    <w:p w14:paraId="00000088"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3. Container launch, port mapping and end-to-end bro</w:t>
      </w:r>
      <w:r>
        <w:rPr>
          <w:rFonts w:ascii="Times New Roman" w:eastAsia="Times New Roman" w:hAnsi="Times New Roman" w:cs="Times New Roman"/>
          <w:i/>
          <w:iCs/>
          <w:color w:val="5A5A5A"/>
          <w:sz w:val="18"/>
          <w:szCs w:val="18"/>
        </w:rPr>
        <w:t>wser validation.</w:t>
      </w:r>
    </w:p>
    <w:p w14:paraId="00000089" w14:textId="77777777" w:rsidR="002F1325" w:rsidRDefault="00EA6B03">
      <w:pPr>
        <w:pStyle w:val="Heading2"/>
        <w:spacing w:after="80" w:line="264" w:lineRule="auto"/>
        <w:rPr>
          <w:rFonts w:ascii="Times New Roman" w:eastAsia="Times New Roman" w:hAnsi="Times New Roman" w:cs="Times New Roman"/>
        </w:rPr>
      </w:pPr>
      <w:bookmarkStart w:id="8" w:name="_heading=h.vousom911hwf" w:colFirst="0" w:colLast="0"/>
      <w:bookmarkEnd w:id="8"/>
      <w:r>
        <w:rPr>
          <w:rFonts w:ascii="Times New Roman" w:eastAsia="Times New Roman" w:hAnsi="Times New Roman" w:cs="Times New Roman"/>
        </w:rPr>
        <w:t>3.4 Image publication and registry lifecycle</w:t>
      </w:r>
    </w:p>
    <w:p w14:paraId="0000008A" w14:textId="77777777" w:rsidR="002F1325" w:rsidRDefault="00EA6B03">
      <w:pPr>
        <w:jc w:val="both"/>
      </w:pPr>
      <w:r>
        <w:rPr>
          <w:rFonts w:ascii="Times New Roman" w:eastAsia="Times New Roman" w:hAnsi="Times New Roman" w:cs="Times New Roman"/>
        </w:rPr>
        <w:t>After local testing, the custom image was pushed to Docker Hub. The evidence that has been put into practice demonstrates a successful login, push operation and repository page where the image t</w:t>
      </w:r>
      <w:r>
        <w:rPr>
          <w:rFonts w:ascii="Times New Roman" w:eastAsia="Times New Roman" w:hAnsi="Times New Roman" w:cs="Times New Roman"/>
        </w:rPr>
        <w:t>ag appears online. This step is essential since cloud-native delivery depends on registries. An image stored on a single local machine is operationally ineffective within a team, or to be deployed in the cloud. The artefact is made accessible to reuse in C</w:t>
      </w:r>
      <w:r>
        <w:rPr>
          <w:rFonts w:ascii="Times New Roman" w:eastAsia="Times New Roman" w:hAnsi="Times New Roman" w:cs="Times New Roman"/>
        </w:rPr>
        <w:t>I pipelines in the future by pushing the image to a remote registry, orchestration platforms and recovery scenarios [7], [10].</w:t>
      </w:r>
    </w:p>
    <w:p w14:paraId="0000008B"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Another important part of the image lifecycle is publishing. A Docker image is not a build product, but a distributable software </w:t>
      </w:r>
      <w:r>
        <w:rPr>
          <w:rFonts w:ascii="Times New Roman" w:eastAsia="Times New Roman" w:hAnsi="Times New Roman" w:cs="Times New Roman"/>
        </w:rPr>
        <w:t>product. Teams can pull it onto another host, it can be used by the teams as the foundation of a deployment, or it can be scanned by the teams to detect vulnerabilities before being promoted. This is just one of the reasons why image naming and tagging dis</w:t>
      </w:r>
      <w:r>
        <w:rPr>
          <w:rFonts w:ascii="Times New Roman" w:eastAsia="Times New Roman" w:hAnsi="Times New Roman" w:cs="Times New Roman"/>
        </w:rPr>
        <w:t>cipline is very essential. A poor tagging practice leads to confusion over the image to be used whereas a good tag policy enables traceability and rollback.</w:t>
      </w:r>
    </w:p>
    <w:p w14:paraId="0000008C"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Another aspect that is important to analyze is the output of the login. Docker cautioned that, unless a credential helper is implemented, credentials are stored in plaintext in the local configuration file. This is a common and understandable trade-off in </w:t>
      </w:r>
      <w:r>
        <w:rPr>
          <w:rFonts w:ascii="Times New Roman" w:eastAsia="Times New Roman" w:hAnsi="Times New Roman" w:cs="Times New Roman"/>
        </w:rPr>
        <w:t xml:space="preserve">a learning environment. Handling of secrets in a production or an enterprise setting should however be more robust. The </w:t>
      </w:r>
      <w:proofErr w:type="gramStart"/>
      <w:r>
        <w:rPr>
          <w:rFonts w:ascii="Times New Roman" w:eastAsia="Times New Roman" w:hAnsi="Times New Roman" w:cs="Times New Roman"/>
        </w:rPr>
        <w:t>short lived</w:t>
      </w:r>
      <w:proofErr w:type="gramEnd"/>
      <w:r>
        <w:rPr>
          <w:rFonts w:ascii="Times New Roman" w:eastAsia="Times New Roman" w:hAnsi="Times New Roman" w:cs="Times New Roman"/>
        </w:rPr>
        <w:t xml:space="preserve"> tokens, credential helpers, secret stores and least-privilege access policies would all be desirable [11]. </w:t>
      </w:r>
      <w:proofErr w:type="spellStart"/>
      <w:r>
        <w:rPr>
          <w:rFonts w:ascii="Times New Roman" w:eastAsia="Times New Roman" w:hAnsi="Times New Roman" w:cs="Times New Roman"/>
        </w:rPr>
        <w:t>Recognising</w:t>
      </w:r>
      <w:proofErr w:type="spellEnd"/>
      <w:r>
        <w:rPr>
          <w:rFonts w:ascii="Times New Roman" w:eastAsia="Times New Roman" w:hAnsi="Times New Roman" w:cs="Times New Roman"/>
        </w:rPr>
        <w:t xml:space="preserve"> this </w:t>
      </w:r>
      <w:r>
        <w:rPr>
          <w:rFonts w:ascii="Times New Roman" w:eastAsia="Times New Roman" w:hAnsi="Times New Roman" w:cs="Times New Roman"/>
        </w:rPr>
        <w:t>warning strengthens the report because it shows awareness of operational risk (see Figure 4).</w:t>
      </w:r>
    </w:p>
    <w:p w14:paraId="0000008D"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447348" cy="2585182"/>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b="55251"/>
                    <a:stretch>
                      <a:fillRect/>
                    </a:stretch>
                  </pic:blipFill>
                  <pic:spPr>
                    <a:xfrm>
                      <a:off x="0" y="0"/>
                      <a:ext cx="5447348" cy="2585182"/>
                    </a:xfrm>
                    <a:prstGeom prst="rect">
                      <a:avLst/>
                    </a:prstGeom>
                    <a:ln/>
                  </pic:spPr>
                </pic:pic>
              </a:graphicData>
            </a:graphic>
          </wp:inline>
        </w:drawing>
      </w:r>
    </w:p>
    <w:p w14:paraId="0000008E"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noProof/>
        </w:rPr>
        <w:drawing>
          <wp:inline distT="0" distB="0" distL="114300" distR="114300">
            <wp:extent cx="5246843" cy="2490027"/>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t="50023" b="5228"/>
                    <a:stretch>
                      <a:fillRect/>
                    </a:stretch>
                  </pic:blipFill>
                  <pic:spPr>
                    <a:xfrm>
                      <a:off x="0" y="0"/>
                      <a:ext cx="5246843" cy="2490027"/>
                    </a:xfrm>
                    <a:prstGeom prst="rect">
                      <a:avLst/>
                    </a:prstGeom>
                    <a:ln/>
                  </pic:spPr>
                </pic:pic>
              </a:graphicData>
            </a:graphic>
          </wp:inline>
        </w:drawing>
      </w:r>
      <w:r>
        <w:rPr>
          <w:rFonts w:ascii="Times New Roman" w:eastAsia="Times New Roman" w:hAnsi="Times New Roman" w:cs="Times New Roman"/>
        </w:rPr>
        <w:t xml:space="preserve">   </w:t>
      </w:r>
      <w:r>
        <w:rPr>
          <w:rFonts w:ascii="Times New Roman" w:eastAsia="Times New Roman" w:hAnsi="Times New Roman" w:cs="Times New Roman"/>
          <w:i/>
          <w:iCs/>
          <w:color w:val="5A5A5A"/>
          <w:sz w:val="18"/>
          <w:szCs w:val="18"/>
        </w:rPr>
        <w:t>Figure 4. Docker Hub publication evidence from command line and repository view.</w:t>
      </w:r>
    </w:p>
    <w:p w14:paraId="0000008F" w14:textId="77777777" w:rsidR="002F1325" w:rsidRDefault="002F1325">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p>
    <w:p w14:paraId="00000090" w14:textId="77777777" w:rsidR="002F1325" w:rsidRDefault="00EA6B03">
      <w:pPr>
        <w:pStyle w:val="Heading2"/>
        <w:spacing w:after="80" w:line="264" w:lineRule="auto"/>
        <w:rPr>
          <w:rFonts w:ascii="Times New Roman" w:eastAsia="Times New Roman" w:hAnsi="Times New Roman" w:cs="Times New Roman"/>
        </w:rPr>
      </w:pPr>
      <w:bookmarkStart w:id="9" w:name="_heading=h.yihdjmyi6ua1" w:colFirst="0" w:colLast="0"/>
      <w:bookmarkEnd w:id="9"/>
      <w:r>
        <w:rPr>
          <w:rFonts w:ascii="Times New Roman" w:eastAsia="Times New Roman" w:hAnsi="Times New Roman" w:cs="Times New Roman"/>
        </w:rPr>
        <w:t>3.5 Persistent storage using Docker volumes</w:t>
      </w:r>
    </w:p>
    <w:p w14:paraId="00000091" w14:textId="77777777" w:rsidR="002F1325" w:rsidRDefault="00EA6B03">
      <w:pPr>
        <w:jc w:val="both"/>
      </w:pPr>
      <w:r>
        <w:rPr>
          <w:rFonts w:ascii="Times New Roman" w:eastAsia="Times New Roman" w:hAnsi="Times New Roman" w:cs="Times New Roman"/>
        </w:rPr>
        <w:t>This led to persistent data be</w:t>
      </w:r>
      <w:r>
        <w:rPr>
          <w:rFonts w:ascii="Times New Roman" w:eastAsia="Times New Roman" w:hAnsi="Times New Roman" w:cs="Times New Roman"/>
        </w:rPr>
        <w:t>ing written to. They were enabled by creating a Docker volume, listing that volume and mounting this into a running container. A file proof was written in the mounted directory and read successfully. The distinction between short-term container state and p</w:t>
      </w:r>
      <w:r>
        <w:rPr>
          <w:rFonts w:ascii="Times New Roman" w:eastAsia="Times New Roman" w:hAnsi="Times New Roman" w:cs="Times New Roman"/>
        </w:rPr>
        <w:t xml:space="preserve">ersistent service data was evident. By </w:t>
      </w:r>
      <w:proofErr w:type="gramStart"/>
      <w:r>
        <w:rPr>
          <w:rFonts w:ascii="Times New Roman" w:eastAsia="Times New Roman" w:hAnsi="Times New Roman" w:cs="Times New Roman"/>
        </w:rPr>
        <w:t>default</w:t>
      </w:r>
      <w:proofErr w:type="gramEnd"/>
      <w:r>
        <w:rPr>
          <w:rFonts w:ascii="Times New Roman" w:eastAsia="Times New Roman" w:hAnsi="Times New Roman" w:cs="Times New Roman"/>
        </w:rPr>
        <w:t xml:space="preserve"> a container’s writable layer is short-term and its data can be destroyed when the container is killed. Volumes store data outside of the container's existence, removing the potential for this [8].</w:t>
      </w:r>
    </w:p>
    <w:p w14:paraId="00000092" w14:textId="77777777" w:rsidR="002F1325" w:rsidRDefault="00EA6B03">
      <w:pPr>
        <w:jc w:val="both"/>
      </w:pPr>
      <w:r>
        <w:rPr>
          <w:rFonts w:ascii="Times New Roman" w:eastAsia="Times New Roman" w:hAnsi="Times New Roman" w:cs="Times New Roman"/>
        </w:rPr>
        <w:t>However, a p</w:t>
      </w:r>
      <w:r>
        <w:rPr>
          <w:rFonts w:ascii="Times New Roman" w:eastAsia="Times New Roman" w:hAnsi="Times New Roman" w:cs="Times New Roman"/>
        </w:rPr>
        <w:t>ractical example still relevant to actual cloud systems is the ability to store and retrieve data, so that databases, uploaded files, cache, user generated content and audit logs are not lost each time a container terminates. It then follows that cloud eng</w:t>
      </w:r>
      <w:r>
        <w:rPr>
          <w:rFonts w:ascii="Times New Roman" w:eastAsia="Times New Roman" w:hAnsi="Times New Roman" w:cs="Times New Roman"/>
        </w:rPr>
        <w:t>ineering should decouple application containers from data persistence. Although this activity was trivial, the same concept applies to managed block storage, network file systems and the Kubernetes persistent volume claims [6], [8].</w:t>
      </w:r>
    </w:p>
    <w:p w14:paraId="00000093"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This error (in the comm</w:t>
      </w:r>
      <w:r>
        <w:rPr>
          <w:rFonts w:ascii="Times New Roman" w:eastAsia="Times New Roman" w:hAnsi="Times New Roman" w:cs="Times New Roman"/>
        </w:rPr>
        <w:t>and) appeared again in the screenshots; being one of the reasons why it is better to explain the commands. Useful information when handling containers as the handling depends on the commands, (small errors or syntax mistakes like the ones shown in Figure 5</w:t>
      </w:r>
      <w:r>
        <w:rPr>
          <w:rFonts w:ascii="Times New Roman" w:eastAsia="Times New Roman" w:hAnsi="Times New Roman" w:cs="Times New Roman"/>
        </w:rPr>
        <w:t>) can delay troubleshooting, break the automation or make wrong impressions to what regards the image, container or command itself.</w:t>
      </w:r>
    </w:p>
    <w:p w14:paraId="00000094" w14:textId="77777777" w:rsidR="002F1325" w:rsidRDefault="002F1325">
      <w:pPr>
        <w:jc w:val="both"/>
        <w:rPr>
          <w:rFonts w:ascii="Times New Roman" w:eastAsia="Times New Roman" w:hAnsi="Times New Roman" w:cs="Times New Roman"/>
        </w:rPr>
      </w:pPr>
    </w:p>
    <w:p w14:paraId="00000095"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4991100" cy="1976805"/>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t="1619" r="4973" b="62867"/>
                    <a:stretch>
                      <a:fillRect/>
                    </a:stretch>
                  </pic:blipFill>
                  <pic:spPr>
                    <a:xfrm>
                      <a:off x="0" y="0"/>
                      <a:ext cx="4991100" cy="1976805"/>
                    </a:xfrm>
                    <a:prstGeom prst="rect">
                      <a:avLst/>
                    </a:prstGeom>
                    <a:ln/>
                  </pic:spPr>
                </pic:pic>
              </a:graphicData>
            </a:graphic>
          </wp:inline>
        </w:drawing>
      </w:r>
    </w:p>
    <w:p w14:paraId="00000096"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044440" cy="1897783"/>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t="50035" r="5333" b="16252"/>
                    <a:stretch>
                      <a:fillRect/>
                    </a:stretch>
                  </pic:blipFill>
                  <pic:spPr>
                    <a:xfrm>
                      <a:off x="0" y="0"/>
                      <a:ext cx="5044440" cy="1897783"/>
                    </a:xfrm>
                    <a:prstGeom prst="rect">
                      <a:avLst/>
                    </a:prstGeom>
                    <a:ln/>
                  </pic:spPr>
                </pic:pic>
              </a:graphicData>
            </a:graphic>
          </wp:inline>
        </w:drawing>
      </w:r>
    </w:p>
    <w:p w14:paraId="00000097" w14:textId="77777777" w:rsidR="002F1325" w:rsidRDefault="00EA6B03">
      <w:pPr>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5. Creation of a named volume and retrieval of stored data from the mounted path.</w:t>
      </w:r>
    </w:p>
    <w:p w14:paraId="00000098" w14:textId="77777777" w:rsidR="002F1325" w:rsidRDefault="002F1325">
      <w:pPr>
        <w:pStyle w:val="Heading2"/>
        <w:spacing w:after="80" w:line="264" w:lineRule="auto"/>
        <w:rPr>
          <w:rFonts w:ascii="Times New Roman" w:eastAsia="Times New Roman" w:hAnsi="Times New Roman" w:cs="Times New Roman"/>
        </w:rPr>
      </w:pPr>
      <w:bookmarkStart w:id="10" w:name="_heading=h.xk3f3bq4bk03" w:colFirst="0" w:colLast="0"/>
      <w:bookmarkEnd w:id="10"/>
    </w:p>
    <w:p w14:paraId="00000099" w14:textId="77777777" w:rsidR="002F1325" w:rsidRDefault="00EA6B03">
      <w:pPr>
        <w:pStyle w:val="Heading2"/>
        <w:spacing w:after="80" w:line="264" w:lineRule="auto"/>
        <w:rPr>
          <w:rFonts w:ascii="Times New Roman" w:eastAsia="Times New Roman" w:hAnsi="Times New Roman" w:cs="Times New Roman"/>
        </w:rPr>
      </w:pPr>
      <w:bookmarkStart w:id="11" w:name="_heading=h.rtv594fjvnsk" w:colFirst="0" w:colLast="0"/>
      <w:bookmarkEnd w:id="11"/>
      <w:r>
        <w:rPr>
          <w:rFonts w:ascii="Times New Roman" w:eastAsia="Times New Roman" w:hAnsi="Times New Roman" w:cs="Times New Roman"/>
        </w:rPr>
        <w:t>3.6 Software-defined networki</w:t>
      </w:r>
      <w:r>
        <w:rPr>
          <w:rFonts w:ascii="Times New Roman" w:eastAsia="Times New Roman" w:hAnsi="Times New Roman" w:cs="Times New Roman"/>
        </w:rPr>
        <w:t>ng</w:t>
      </w:r>
    </w:p>
    <w:p w14:paraId="0000009A" w14:textId="77777777" w:rsidR="002F1325" w:rsidRDefault="00EA6B03">
      <w:pPr>
        <w:jc w:val="both"/>
      </w:pPr>
      <w:r>
        <w:rPr>
          <w:rFonts w:ascii="Times New Roman" w:eastAsia="Times New Roman" w:hAnsi="Times New Roman" w:cs="Times New Roman"/>
        </w:rPr>
        <w:t>Next the Container networking was tested by making a user defined bridge network, listing all networks, attaching a live container to the new network and inspecting the network details. The inspect output displayed the members of the network and their I</w:t>
      </w:r>
      <w:r>
        <w:rPr>
          <w:rFonts w:ascii="Times New Roman" w:eastAsia="Times New Roman" w:hAnsi="Times New Roman" w:cs="Times New Roman"/>
        </w:rPr>
        <w:t>P addresses. This demonstrated that docker makes an isolated logical network with controlled IP addressing like how cloud platforms control virtual network and subnets and connect to services. [9]</w:t>
      </w:r>
    </w:p>
    <w:p w14:paraId="0000009B" w14:textId="77777777" w:rsidR="002F1325" w:rsidRDefault="00EA6B03">
      <w:pPr>
        <w:jc w:val="both"/>
      </w:pPr>
      <w:r>
        <w:rPr>
          <w:rFonts w:ascii="Times New Roman" w:eastAsia="Times New Roman" w:hAnsi="Times New Roman" w:cs="Times New Roman"/>
        </w:rPr>
        <w:t>This is an important step as most modern applications are not executed as a single container. Instead, they rely on multiple components (like a database, API, front end, and background worker processes) that require controlled communication. A user-defined</w:t>
      </w:r>
      <w:r>
        <w:rPr>
          <w:rFonts w:ascii="Times New Roman" w:eastAsia="Times New Roman" w:hAnsi="Times New Roman" w:cs="Times New Roman"/>
        </w:rPr>
        <w:t xml:space="preserve"> bridge network makes that concept observable on a small scale, because engineers have the ability to choose which containers shall find and communicate with each other. This supports the concept of microservice architecture [6].</w:t>
      </w:r>
    </w:p>
    <w:p w14:paraId="0000009C"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The screenshots revealed that there was a command error at the time of attaching the network, but it was fixed immediately. It is important to cite this point since this exemplifies the importance of using the right commands and confirming when testing som</w:t>
      </w:r>
      <w:r>
        <w:rPr>
          <w:rFonts w:ascii="Times New Roman" w:eastAsia="Times New Roman" w:hAnsi="Times New Roman" w:cs="Times New Roman"/>
        </w:rPr>
        <w:t>ething. The final inspection validated the information about the attached container and subnet so it was complete.</w:t>
      </w:r>
    </w:p>
    <w:p w14:paraId="0000009D" w14:textId="77777777" w:rsidR="002F1325" w:rsidRDefault="00EA6B03">
      <w:pPr>
        <w:jc w:val="both"/>
      </w:pPr>
      <w:r>
        <w:rPr>
          <w:rFonts w:ascii="Times New Roman" w:eastAsia="Times New Roman" w:hAnsi="Times New Roman" w:cs="Times New Roman"/>
        </w:rPr>
        <w:t>Starting point however is only local Docker bridge networks. Production clouds would require much more capabilities, namely encrypted traffic</w:t>
      </w:r>
      <w:r>
        <w:rPr>
          <w:rFonts w:ascii="Times New Roman" w:eastAsia="Times New Roman" w:hAnsi="Times New Roman" w:cs="Times New Roman"/>
        </w:rPr>
        <w:t>, ingress control, network policies, DNS-based service discovery, observability and overlay networking across hosts [6], [9], [11]. Nevertheless, it was very useful as the lab demonstrated that networks in cloud engineering are fully software defined, name</w:t>
      </w:r>
      <w:r>
        <w:rPr>
          <w:rFonts w:ascii="Times New Roman" w:eastAsia="Times New Roman" w:hAnsi="Times New Roman" w:cs="Times New Roman"/>
        </w:rPr>
        <w:t>d and to be monitored, see Figure 6.</w:t>
      </w:r>
    </w:p>
    <w:p w14:paraId="0000009E" w14:textId="77777777" w:rsidR="002F1325" w:rsidRDefault="002F1325">
      <w:pPr>
        <w:jc w:val="both"/>
        <w:rPr>
          <w:rFonts w:ascii="Times New Roman" w:eastAsia="Times New Roman" w:hAnsi="Times New Roman" w:cs="Times New Roman"/>
        </w:rPr>
      </w:pPr>
    </w:p>
    <w:p w14:paraId="0000009F" w14:textId="77777777" w:rsidR="002F1325" w:rsidRDefault="002F1325">
      <w:pPr>
        <w:jc w:val="both"/>
        <w:rPr>
          <w:rFonts w:ascii="Times New Roman" w:eastAsia="Times New Roman" w:hAnsi="Times New Roman" w:cs="Times New Roman"/>
        </w:rPr>
      </w:pPr>
    </w:p>
    <w:p w14:paraId="000000A0"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4301490" cy="1885337"/>
            <wp:effectExtent l="0" t="0" r="0" b="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t="2237" r="23579" b="66168"/>
                    <a:stretch>
                      <a:fillRect/>
                    </a:stretch>
                  </pic:blipFill>
                  <pic:spPr>
                    <a:xfrm>
                      <a:off x="0" y="0"/>
                      <a:ext cx="4301490" cy="1885337"/>
                    </a:xfrm>
                    <a:prstGeom prst="rect">
                      <a:avLst/>
                    </a:prstGeom>
                    <a:ln/>
                  </pic:spPr>
                </pic:pic>
              </a:graphicData>
            </a:graphic>
          </wp:inline>
        </w:drawing>
      </w:r>
    </w:p>
    <w:p w14:paraId="000000A1" w14:textId="77777777" w:rsidR="002F1325" w:rsidRDefault="00EA6B03">
      <w:pPr>
        <w:jc w:val="center"/>
        <w:rPr>
          <w:rFonts w:ascii="Times New Roman" w:eastAsia="Times New Roman" w:hAnsi="Times New Roman" w:cs="Times New Roman"/>
          <w:i/>
          <w:iCs/>
          <w:color w:val="5A5A5A"/>
          <w:sz w:val="18"/>
          <w:szCs w:val="18"/>
        </w:rPr>
      </w:pPr>
      <w:r>
        <w:rPr>
          <w:rFonts w:ascii="Times New Roman" w:eastAsia="Times New Roman" w:hAnsi="Times New Roman" w:cs="Times New Roman"/>
          <w:noProof/>
        </w:rPr>
        <w:drawing>
          <wp:inline distT="0" distB="0" distL="114300" distR="114300">
            <wp:extent cx="4311495" cy="193357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t="53087" r="23271" b="14472"/>
                    <a:stretch>
                      <a:fillRect/>
                    </a:stretch>
                  </pic:blipFill>
                  <pic:spPr>
                    <a:xfrm>
                      <a:off x="0" y="0"/>
                      <a:ext cx="4311495" cy="1933575"/>
                    </a:xfrm>
                    <a:prstGeom prst="rect">
                      <a:avLst/>
                    </a:prstGeom>
                    <a:ln/>
                  </pic:spPr>
                </pic:pic>
              </a:graphicData>
            </a:graphic>
          </wp:inline>
        </w:drawing>
      </w:r>
    </w:p>
    <w:p w14:paraId="000000A2"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6. Custom bridge network creation and inspection of attached containers.</w:t>
      </w:r>
    </w:p>
    <w:p w14:paraId="000000A3" w14:textId="77777777" w:rsidR="002F1325" w:rsidRDefault="00EA6B03">
      <w:pPr>
        <w:pStyle w:val="Heading2"/>
        <w:spacing w:after="80" w:line="264" w:lineRule="auto"/>
        <w:rPr>
          <w:rFonts w:ascii="Times New Roman" w:eastAsia="Times New Roman" w:hAnsi="Times New Roman" w:cs="Times New Roman"/>
        </w:rPr>
      </w:pPr>
      <w:bookmarkStart w:id="12" w:name="_heading=h.r4elfeb5gbkm" w:colFirst="0" w:colLast="0"/>
      <w:bookmarkEnd w:id="12"/>
      <w:r>
        <w:rPr>
          <w:rFonts w:ascii="Times New Roman" w:eastAsia="Times New Roman" w:hAnsi="Times New Roman" w:cs="Times New Roman"/>
        </w:rPr>
        <w:t>3.7 Final verification, cleanup and lessons learned</w:t>
      </w:r>
    </w:p>
    <w:p w14:paraId="000000A4"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The last evidence mentioned the list containers, images, volumes and networks and</w:t>
      </w:r>
      <w:r>
        <w:rPr>
          <w:rFonts w:ascii="Times New Roman" w:eastAsia="Times New Roman" w:hAnsi="Times New Roman" w:cs="Times New Roman"/>
        </w:rPr>
        <w:t xml:space="preserve"> then presented the test container being stopped and removed. This is significant because cloud engineering is not only creating resources; it is cleanup, life cycle controlling and cost limiting. Unused resources will occupy the storage space and increase</w:t>
      </w:r>
      <w:r>
        <w:rPr>
          <w:rFonts w:ascii="Times New Roman" w:eastAsia="Times New Roman" w:hAnsi="Times New Roman" w:cs="Times New Roman"/>
        </w:rPr>
        <w:t xml:space="preserve"> troubles.</w:t>
      </w:r>
    </w:p>
    <w:p w14:paraId="000000A5" w14:textId="77777777" w:rsidR="002F1325" w:rsidRDefault="00EA6B03">
      <w:pPr>
        <w:jc w:val="both"/>
      </w:pPr>
      <w:r>
        <w:rPr>
          <w:rFonts w:ascii="Times New Roman" w:eastAsia="Times New Roman" w:hAnsi="Times New Roman" w:cs="Times New Roman"/>
        </w:rPr>
        <w:t xml:space="preserve">The exercise demonstrated the entire lifecycle of a small </w:t>
      </w:r>
      <w:proofErr w:type="spellStart"/>
      <w:r>
        <w:rPr>
          <w:rFonts w:ascii="Times New Roman" w:eastAsia="Times New Roman" w:hAnsi="Times New Roman" w:cs="Times New Roman"/>
        </w:rPr>
        <w:t>containerised</w:t>
      </w:r>
      <w:proofErr w:type="spellEnd"/>
      <w:r>
        <w:rPr>
          <w:rFonts w:ascii="Times New Roman" w:eastAsia="Times New Roman" w:hAnsi="Times New Roman" w:cs="Times New Roman"/>
        </w:rPr>
        <w:t xml:space="preserve"> service. It included installation, running, local execution, remote published and deployed, persistence and software-defined networking. This made this exercise better than </w:t>
      </w:r>
      <w:r>
        <w:rPr>
          <w:rFonts w:ascii="Times New Roman" w:eastAsia="Times New Roman" w:hAnsi="Times New Roman" w:cs="Times New Roman"/>
        </w:rPr>
        <w:t>a simple container demonstration.</w:t>
      </w:r>
    </w:p>
    <w:p w14:paraId="000000A6"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In a production environment, more enhancements would be necessary which included fixed base-image tags, </w:t>
      </w:r>
      <w:proofErr w:type="spellStart"/>
      <w:r>
        <w:rPr>
          <w:rFonts w:ascii="Times New Roman" w:eastAsia="Times New Roman" w:hAnsi="Times New Roman" w:cs="Times New Roman"/>
        </w:rPr>
        <w:t>BuildKit</w:t>
      </w:r>
      <w:proofErr w:type="spellEnd"/>
      <w:r>
        <w:rPr>
          <w:rFonts w:ascii="Times New Roman" w:eastAsia="Times New Roman" w:hAnsi="Times New Roman" w:cs="Times New Roman"/>
        </w:rPr>
        <w:t>, image vulnerability scanning, secure registry authentication, external configuration, secrets and orchestrat</w:t>
      </w:r>
      <w:r>
        <w:rPr>
          <w:rFonts w:ascii="Times New Roman" w:eastAsia="Times New Roman" w:hAnsi="Times New Roman" w:cs="Times New Roman"/>
        </w:rPr>
        <w:t>ion for scaling and resilience.</w:t>
      </w:r>
    </w:p>
    <w:p w14:paraId="000000A7"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Most important was the validation. Each step was validated- through the container status, image listing, browser output, volume contents and network inspection. All of this follows the cloud practice: build, test, validation</w:t>
      </w:r>
      <w:r>
        <w:rPr>
          <w:rFonts w:ascii="Times New Roman" w:eastAsia="Times New Roman" w:hAnsi="Times New Roman" w:cs="Times New Roman"/>
        </w:rPr>
        <w:t>, inspection and closing.</w:t>
      </w:r>
    </w:p>
    <w:p w14:paraId="000000A8" w14:textId="77777777" w:rsidR="002F1325" w:rsidRDefault="00EA6B03">
      <w:pPr>
        <w:numPr>
          <w:ilvl w:val="0"/>
          <w:numId w:val="2"/>
        </w:numPr>
      </w:pPr>
      <w:r>
        <w:rPr>
          <w:rFonts w:ascii="Times New Roman" w:eastAsia="Times New Roman" w:hAnsi="Times New Roman" w:cs="Times New Roman"/>
        </w:rPr>
        <w:t>Pin the base image to a specific version or digest instead of using ‘latest’.</w:t>
      </w:r>
    </w:p>
    <w:p w14:paraId="000000A9" w14:textId="77777777" w:rsidR="002F1325" w:rsidRDefault="00EA6B03">
      <w:pPr>
        <w:numPr>
          <w:ilvl w:val="0"/>
          <w:numId w:val="2"/>
        </w:numPr>
        <w:rPr>
          <w:rFonts w:ascii="Times New Roman" w:eastAsia="Times New Roman" w:hAnsi="Times New Roman" w:cs="Times New Roman"/>
        </w:rPr>
      </w:pPr>
      <w:r>
        <w:rPr>
          <w:rFonts w:ascii="Times New Roman" w:eastAsia="Times New Roman" w:hAnsi="Times New Roman" w:cs="Times New Roman"/>
        </w:rPr>
        <w:t xml:space="preserve">Use </w:t>
      </w:r>
      <w:proofErr w:type="spellStart"/>
      <w:r>
        <w:rPr>
          <w:rFonts w:ascii="Times New Roman" w:eastAsia="Times New Roman" w:hAnsi="Times New Roman" w:cs="Times New Roman"/>
        </w:rPr>
        <w:t>BuildKit</w:t>
      </w:r>
      <w:proofErr w:type="spellEnd"/>
      <w:r>
        <w:rPr>
          <w:rFonts w:ascii="Times New Roman" w:eastAsia="Times New Roman" w:hAnsi="Times New Roman" w:cs="Times New Roman"/>
        </w:rPr>
        <w:t xml:space="preserve"> and image scanning to improve build efficiency and security assurance.</w:t>
      </w:r>
    </w:p>
    <w:p w14:paraId="000000AA" w14:textId="77777777" w:rsidR="002F1325" w:rsidRDefault="00EA6B03">
      <w:pPr>
        <w:numPr>
          <w:ilvl w:val="0"/>
          <w:numId w:val="2"/>
        </w:numPr>
        <w:rPr>
          <w:rFonts w:ascii="Times New Roman" w:eastAsia="Times New Roman" w:hAnsi="Times New Roman" w:cs="Times New Roman"/>
        </w:rPr>
      </w:pPr>
      <w:r>
        <w:rPr>
          <w:rFonts w:ascii="Times New Roman" w:eastAsia="Times New Roman" w:hAnsi="Times New Roman" w:cs="Times New Roman"/>
        </w:rPr>
        <w:t>Adopt stronger registry authentication by credential helpers or mana</w:t>
      </w:r>
      <w:r>
        <w:rPr>
          <w:rFonts w:ascii="Times New Roman" w:eastAsia="Times New Roman" w:hAnsi="Times New Roman" w:cs="Times New Roman"/>
        </w:rPr>
        <w:t>ged secrets.</w:t>
      </w:r>
    </w:p>
    <w:p w14:paraId="000000AB" w14:textId="77777777" w:rsidR="002F1325" w:rsidRDefault="00EA6B03">
      <w:pPr>
        <w:numPr>
          <w:ilvl w:val="0"/>
          <w:numId w:val="2"/>
        </w:numPr>
      </w:pPr>
      <w:r>
        <w:rPr>
          <w:rFonts w:ascii="Times New Roman" w:eastAsia="Times New Roman" w:hAnsi="Times New Roman" w:cs="Times New Roman"/>
        </w:rPr>
        <w:t>Move toward orchestration and health checking if the service is scaled beyond a single host. The final system state and cleanup can be seen below (see Figure 7).</w:t>
      </w:r>
    </w:p>
    <w:p w14:paraId="000000AC" w14:textId="77777777" w:rsidR="002F1325" w:rsidRDefault="00EA6B03">
      <w:pP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619750" cy="2726055"/>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b="54281"/>
                    <a:stretch>
                      <a:fillRect/>
                    </a:stretch>
                  </pic:blipFill>
                  <pic:spPr>
                    <a:xfrm>
                      <a:off x="0" y="0"/>
                      <a:ext cx="5619750" cy="2726055"/>
                    </a:xfrm>
                    <a:prstGeom prst="rect">
                      <a:avLst/>
                    </a:prstGeom>
                    <a:ln/>
                  </pic:spPr>
                </pic:pic>
              </a:graphicData>
            </a:graphic>
          </wp:inline>
        </w:drawing>
      </w:r>
    </w:p>
    <w:p w14:paraId="000000AD" w14:textId="77777777" w:rsidR="002F1325" w:rsidRDefault="00EA6B03">
      <w:pPr>
        <w:rPr>
          <w:rFonts w:ascii="Times New Roman" w:eastAsia="Times New Roman" w:hAnsi="Times New Roman" w:cs="Times New Roman"/>
          <w:i/>
          <w:iCs/>
          <w:color w:val="5A5A5A"/>
          <w:sz w:val="18"/>
          <w:szCs w:val="18"/>
        </w:rPr>
      </w:pPr>
      <w:r>
        <w:rPr>
          <w:rFonts w:ascii="Times New Roman" w:eastAsia="Times New Roman" w:hAnsi="Times New Roman" w:cs="Times New Roman"/>
          <w:noProof/>
        </w:rPr>
        <w:drawing>
          <wp:inline distT="0" distB="0" distL="114300" distR="114300">
            <wp:extent cx="5619750" cy="2406004"/>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t="51218" b="8402"/>
                    <a:stretch>
                      <a:fillRect/>
                    </a:stretch>
                  </pic:blipFill>
                  <pic:spPr>
                    <a:xfrm>
                      <a:off x="0" y="0"/>
                      <a:ext cx="5619750" cy="2406004"/>
                    </a:xfrm>
                    <a:prstGeom prst="rect">
                      <a:avLst/>
                    </a:prstGeom>
                    <a:ln/>
                  </pic:spPr>
                </pic:pic>
              </a:graphicData>
            </a:graphic>
          </wp:inline>
        </w:drawing>
      </w:r>
    </w:p>
    <w:p w14:paraId="000000AE"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Figure 7. Final system state before and after cleanup of the practical enviro</w:t>
      </w:r>
      <w:r>
        <w:rPr>
          <w:rFonts w:ascii="Times New Roman" w:eastAsia="Times New Roman" w:hAnsi="Times New Roman" w:cs="Times New Roman"/>
          <w:i/>
          <w:iCs/>
          <w:color w:val="5A5A5A"/>
          <w:sz w:val="18"/>
          <w:szCs w:val="18"/>
        </w:rPr>
        <w:t>nment.</w:t>
      </w:r>
    </w:p>
    <w:p w14:paraId="000000AF" w14:textId="77777777" w:rsidR="002F1325" w:rsidRDefault="00EA6B03">
      <w:pPr>
        <w:pStyle w:val="Heading1"/>
        <w:rPr>
          <w:rFonts w:ascii="Times New Roman" w:eastAsia="Times New Roman" w:hAnsi="Times New Roman" w:cs="Times New Roman"/>
          <w:sz w:val="32"/>
          <w:szCs w:val="32"/>
        </w:rPr>
      </w:pPr>
      <w:bookmarkStart w:id="13" w:name="_heading=h.wmdxrebbdd3l" w:colFirst="0" w:colLast="0"/>
      <w:bookmarkEnd w:id="13"/>
      <w:r>
        <w:rPr>
          <w:rFonts w:ascii="Times New Roman" w:eastAsia="Times New Roman" w:hAnsi="Times New Roman" w:cs="Times New Roman"/>
          <w:sz w:val="32"/>
          <w:szCs w:val="32"/>
        </w:rPr>
        <w:t>4. Cloud provider implementation of load balancing, scalability and application gateways</w:t>
      </w:r>
    </w:p>
    <w:p w14:paraId="000000B0" w14:textId="77777777" w:rsidR="002F1325" w:rsidRDefault="002F1325">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p>
    <w:p w14:paraId="000000B1"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4.1 Chosen application and provider</w:t>
      </w:r>
    </w:p>
    <w:p w14:paraId="000000B2"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 xml:space="preserve">This section uses one direct example: a customer-facing web application deployed on Microsoft Azure. The web front end and API services are deployed as containers and so the </w:t>
      </w:r>
      <w:proofErr w:type="spellStart"/>
      <w:r>
        <w:rPr>
          <w:rFonts w:ascii="Times New Roman" w:eastAsia="Times New Roman" w:hAnsi="Times New Roman" w:cs="Times New Roman"/>
        </w:rPr>
        <w:t>containerised</w:t>
      </w:r>
      <w:proofErr w:type="spellEnd"/>
      <w:r>
        <w:rPr>
          <w:rFonts w:ascii="Times New Roman" w:eastAsia="Times New Roman" w:hAnsi="Times New Roman" w:cs="Times New Roman"/>
        </w:rPr>
        <w:t xml:space="preserve"> Docker image becomes the repeatable deployment unit developed in the</w:t>
      </w:r>
      <w:r>
        <w:rPr>
          <w:rFonts w:ascii="Times New Roman" w:eastAsia="Times New Roman" w:hAnsi="Times New Roman" w:cs="Times New Roman"/>
        </w:rPr>
        <w:t xml:space="preserve"> practical workflow. Azure then offers the managed services to expose, protect and scale that application to an environment that is production-like.</w:t>
      </w:r>
    </w:p>
    <w:p w14:paraId="000000B3" w14:textId="77777777" w:rsidR="002F1325" w:rsidRDefault="002F1325">
      <w:pPr>
        <w:pBdr>
          <w:top w:val="nil"/>
          <w:left w:val="nil"/>
          <w:bottom w:val="nil"/>
          <w:right w:val="nil"/>
          <w:between w:val="nil"/>
        </w:pBdr>
        <w:rPr>
          <w:rFonts w:ascii="Times New Roman" w:eastAsia="Times New Roman" w:hAnsi="Times New Roman" w:cs="Times New Roman"/>
        </w:rPr>
      </w:pPr>
    </w:p>
    <w:p w14:paraId="000000B4"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4.2 Load balancing</w:t>
      </w:r>
    </w:p>
    <w:p w14:paraId="000000B5" w14:textId="77777777" w:rsidR="002F1325" w:rsidRDefault="00EA6B03">
      <w:r>
        <w:rPr>
          <w:rFonts w:ascii="Times New Roman" w:eastAsia="Times New Roman" w:hAnsi="Times New Roman" w:cs="Times New Roman"/>
        </w:rPr>
        <w:t>To balance the load, the Azure Application Gateway is capable of accepting public web t</w:t>
      </w:r>
      <w:r>
        <w:rPr>
          <w:rFonts w:ascii="Times New Roman" w:eastAsia="Times New Roman" w:hAnsi="Times New Roman" w:cs="Times New Roman"/>
        </w:rPr>
        <w:t>raffic and routing the requests based on the listener rules, health probes and routing policies [14]. Behind that layer, there are the Azure Load Balancer and Kubernetes services that distribute traffic across healthy nodes and pods [15], [16]. In the case</w:t>
      </w:r>
      <w:r>
        <w:rPr>
          <w:rFonts w:ascii="Times New Roman" w:eastAsia="Times New Roman" w:hAnsi="Times New Roman" w:cs="Times New Roman"/>
        </w:rPr>
        <w:t xml:space="preserve"> of a customer facing service, that is to say that the failure of one container or congestion of a single container does not need to disrupt the whole application.</w:t>
      </w:r>
    </w:p>
    <w:p w14:paraId="000000B6" w14:textId="77777777" w:rsidR="002F1325" w:rsidRDefault="002F1325">
      <w:pPr>
        <w:pBdr>
          <w:top w:val="nil"/>
          <w:left w:val="nil"/>
          <w:bottom w:val="nil"/>
          <w:right w:val="nil"/>
          <w:between w:val="nil"/>
        </w:pBdr>
        <w:rPr>
          <w:rFonts w:ascii="Times New Roman" w:eastAsia="Times New Roman" w:hAnsi="Times New Roman" w:cs="Times New Roman"/>
        </w:rPr>
      </w:pPr>
    </w:p>
    <w:p w14:paraId="000000B7"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4.3 Scalability</w:t>
      </w:r>
    </w:p>
    <w:p w14:paraId="000000B8" w14:textId="77777777" w:rsidR="002F1325" w:rsidRDefault="00EA6B03">
      <w:r>
        <w:rPr>
          <w:rFonts w:ascii="Times New Roman" w:eastAsia="Times New Roman" w:hAnsi="Times New Roman" w:cs="Times New Roman"/>
        </w:rPr>
        <w:t>Scalability is concerned with the capacity and not the direction of traffic</w:t>
      </w:r>
      <w:r>
        <w:rPr>
          <w:rFonts w:ascii="Times New Roman" w:eastAsia="Times New Roman" w:hAnsi="Times New Roman" w:cs="Times New Roman"/>
        </w:rPr>
        <w:t xml:space="preserve">. Additional pod replicas and additional cluster nodes (when needed) can be added on Azure Kubernetes Service using autoscaling policies like Horizontal Pod </w:t>
      </w:r>
      <w:proofErr w:type="spellStart"/>
      <w:r>
        <w:rPr>
          <w:rFonts w:ascii="Times New Roman" w:eastAsia="Times New Roman" w:hAnsi="Times New Roman" w:cs="Times New Roman"/>
        </w:rPr>
        <w:t>Autoscaler</w:t>
      </w:r>
      <w:proofErr w:type="spellEnd"/>
      <w:r>
        <w:rPr>
          <w:rFonts w:ascii="Times New Roman" w:eastAsia="Times New Roman" w:hAnsi="Times New Roman" w:cs="Times New Roman"/>
        </w:rPr>
        <w:t xml:space="preserve"> and cluster autoscaling policies [16], [17]. This is directly connected to the real-worl</w:t>
      </w:r>
      <w:r>
        <w:rPr>
          <w:rFonts w:ascii="Times New Roman" w:eastAsia="Times New Roman" w:hAnsi="Times New Roman" w:cs="Times New Roman"/>
        </w:rPr>
        <w:t>d Docker experience, where scaling can only be reliable when all the new instances are created based on the same tested image.</w:t>
      </w:r>
    </w:p>
    <w:p w14:paraId="000000B9" w14:textId="77777777" w:rsidR="002F1325" w:rsidRDefault="002F1325">
      <w:pPr>
        <w:pBdr>
          <w:top w:val="nil"/>
          <w:left w:val="nil"/>
          <w:bottom w:val="nil"/>
          <w:right w:val="nil"/>
          <w:between w:val="nil"/>
        </w:pBdr>
        <w:rPr>
          <w:rFonts w:ascii="Times New Roman" w:eastAsia="Times New Roman" w:hAnsi="Times New Roman" w:cs="Times New Roman"/>
        </w:rPr>
      </w:pPr>
    </w:p>
    <w:p w14:paraId="000000BA"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4.4 Application gateway</w:t>
      </w:r>
    </w:p>
    <w:p w14:paraId="000000BB"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The application gateway layer extends the capabilities beyond the mere traffic spreading. Azure Applicat</w:t>
      </w:r>
      <w:r>
        <w:rPr>
          <w:rFonts w:ascii="Times New Roman" w:eastAsia="Times New Roman" w:hAnsi="Times New Roman" w:cs="Times New Roman"/>
        </w:rPr>
        <w:t xml:space="preserve">ion Gateway is a web-layer-based gateway capable of terminating TLS, routing based on a host or path, and optional Web Application Firewall protection [14]. For the customer, this provides a single secure entry point in spite of the fact that a number of </w:t>
      </w:r>
      <w:proofErr w:type="spellStart"/>
      <w:r>
        <w:rPr>
          <w:rFonts w:ascii="Times New Roman" w:eastAsia="Times New Roman" w:hAnsi="Times New Roman" w:cs="Times New Roman"/>
        </w:rPr>
        <w:t>c</w:t>
      </w:r>
      <w:r>
        <w:rPr>
          <w:rFonts w:ascii="Times New Roman" w:eastAsia="Times New Roman" w:hAnsi="Times New Roman" w:cs="Times New Roman"/>
        </w:rPr>
        <w:t>ontainerised</w:t>
      </w:r>
      <w:proofErr w:type="spellEnd"/>
      <w:r>
        <w:rPr>
          <w:rFonts w:ascii="Times New Roman" w:eastAsia="Times New Roman" w:hAnsi="Times New Roman" w:cs="Times New Roman"/>
        </w:rPr>
        <w:t xml:space="preserve"> services might be found behind the point.</w:t>
      </w:r>
    </w:p>
    <w:p w14:paraId="000000BC" w14:textId="77777777" w:rsidR="002F1325" w:rsidRDefault="002F1325">
      <w:pPr>
        <w:rPr>
          <w:rFonts w:ascii="Times New Roman" w:eastAsia="Times New Roman" w:hAnsi="Times New Roman" w:cs="Times New Roman"/>
        </w:rPr>
      </w:pPr>
    </w:p>
    <w:p w14:paraId="000000BD"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4.5 Why load balancing and scaling are complementary</w:t>
      </w:r>
    </w:p>
    <w:p w14:paraId="000000BE"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 xml:space="preserve">Load balancing and scaling complement each other as they address the same issue in different aspects. Load balancing distributes the requests over </w:t>
      </w:r>
      <w:r>
        <w:rPr>
          <w:rFonts w:ascii="Times New Roman" w:eastAsia="Times New Roman" w:hAnsi="Times New Roman" w:cs="Times New Roman"/>
        </w:rPr>
        <w:t>the already existing capacity, whereas scaling varies the extent of the capacity that is available. When combined, they assist the service to be responsive to spikes in demand rather than just distributing the overload among too few instances.</w:t>
      </w:r>
    </w:p>
    <w:p w14:paraId="000000BF" w14:textId="77777777" w:rsidR="002F1325" w:rsidRDefault="002F1325">
      <w:pPr>
        <w:rPr>
          <w:rFonts w:ascii="Times New Roman" w:eastAsia="Times New Roman" w:hAnsi="Times New Roman" w:cs="Times New Roman"/>
        </w:rPr>
      </w:pPr>
    </w:p>
    <w:p w14:paraId="000000C0"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25"/>
          <w:szCs w:val="25"/>
        </w:rPr>
      </w:pPr>
      <w:r>
        <w:rPr>
          <w:rFonts w:ascii="Times New Roman" w:eastAsia="Times New Roman" w:hAnsi="Times New Roman" w:cs="Times New Roman"/>
          <w:b/>
          <w:bCs/>
          <w:color w:val="1F4E79"/>
          <w:sz w:val="25"/>
          <w:szCs w:val="25"/>
        </w:rPr>
        <w:t>4.6 Benefit</w:t>
      </w:r>
      <w:r>
        <w:rPr>
          <w:rFonts w:ascii="Times New Roman" w:eastAsia="Times New Roman" w:hAnsi="Times New Roman" w:cs="Times New Roman"/>
          <w:b/>
          <w:bCs/>
          <w:color w:val="1F4E79"/>
          <w:sz w:val="25"/>
          <w:szCs w:val="25"/>
        </w:rPr>
        <w:t>s of combining gateway, load balancing and scaling</w:t>
      </w:r>
    </w:p>
    <w:p w14:paraId="000000C1"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The best outcome for a customer service comes from combining gateway, load balancing and scaling together. A secure and policy-driven front door is provided by the gateway, load balancing directs traffic to healthy targets and scaling adds and removes repl</w:t>
      </w:r>
      <w:r>
        <w:rPr>
          <w:rFonts w:ascii="Times New Roman" w:eastAsia="Times New Roman" w:hAnsi="Times New Roman" w:cs="Times New Roman"/>
        </w:rPr>
        <w:t>icas as the demand varies. This combination improves both system resilience and customer experience.</w:t>
      </w:r>
    </w:p>
    <w:p w14:paraId="000000C2" w14:textId="77777777" w:rsidR="002F1325" w:rsidRDefault="00EA6B03">
      <w:pPr>
        <w:numPr>
          <w:ilvl w:val="0"/>
          <w:numId w:val="1"/>
        </w:numPr>
        <w:rPr>
          <w:rFonts w:ascii="Times New Roman" w:eastAsia="Times New Roman" w:hAnsi="Times New Roman" w:cs="Times New Roman"/>
        </w:rPr>
      </w:pPr>
      <w:r>
        <w:rPr>
          <w:rFonts w:ascii="Times New Roman" w:eastAsia="Times New Roman" w:hAnsi="Times New Roman" w:cs="Times New Roman"/>
        </w:rPr>
        <w:t>Better availability, as failed instances can be avoided and healthy replicas are still providing service to users.</w:t>
      </w:r>
    </w:p>
    <w:p w14:paraId="000000C3" w14:textId="77777777" w:rsidR="002F1325" w:rsidRDefault="00EA6B03">
      <w:pPr>
        <w:numPr>
          <w:ilvl w:val="0"/>
          <w:numId w:val="1"/>
        </w:numPr>
        <w:rPr>
          <w:rFonts w:ascii="Times New Roman" w:eastAsia="Times New Roman" w:hAnsi="Times New Roman" w:cs="Times New Roman"/>
        </w:rPr>
      </w:pPr>
      <w:r>
        <w:rPr>
          <w:rFonts w:ascii="Times New Roman" w:eastAsia="Times New Roman" w:hAnsi="Times New Roman" w:cs="Times New Roman"/>
        </w:rPr>
        <w:t xml:space="preserve">Traffic distribution and replica growth </w:t>
      </w:r>
      <w:r>
        <w:rPr>
          <w:rFonts w:ascii="Times New Roman" w:eastAsia="Times New Roman" w:hAnsi="Times New Roman" w:cs="Times New Roman"/>
        </w:rPr>
        <w:t>work together to improve performance in changing demand.</w:t>
      </w:r>
    </w:p>
    <w:p w14:paraId="000000C4" w14:textId="77777777" w:rsidR="002F1325" w:rsidRDefault="00EA6B03">
      <w:pPr>
        <w:numPr>
          <w:ilvl w:val="0"/>
          <w:numId w:val="1"/>
        </w:numPr>
        <w:rPr>
          <w:rFonts w:ascii="Times New Roman" w:eastAsia="Times New Roman" w:hAnsi="Times New Roman" w:cs="Times New Roman"/>
        </w:rPr>
      </w:pPr>
      <w:r>
        <w:rPr>
          <w:rFonts w:ascii="Times New Roman" w:eastAsia="Times New Roman" w:hAnsi="Times New Roman" w:cs="Times New Roman"/>
        </w:rPr>
        <w:t>Better security and control, as the gateway concentrates the HTTPS processing, routing policy and web protection.</w:t>
      </w:r>
    </w:p>
    <w:p w14:paraId="000000C5" w14:textId="77777777" w:rsidR="002F1325" w:rsidRDefault="002F1325">
      <w:pPr>
        <w:pBdr>
          <w:top w:val="nil"/>
          <w:left w:val="nil"/>
          <w:bottom w:val="nil"/>
          <w:right w:val="nil"/>
          <w:between w:val="nil"/>
        </w:pBdr>
        <w:rPr>
          <w:rFonts w:ascii="Times New Roman" w:eastAsia="Times New Roman" w:hAnsi="Times New Roman" w:cs="Times New Roman"/>
        </w:rPr>
      </w:pPr>
    </w:p>
    <w:p w14:paraId="000000C6" w14:textId="77777777" w:rsidR="002F1325" w:rsidRDefault="00EA6B03">
      <w:pPr>
        <w:pStyle w:val="Heading1"/>
        <w:rPr>
          <w:rFonts w:ascii="Times New Roman" w:eastAsia="Times New Roman" w:hAnsi="Times New Roman" w:cs="Times New Roman"/>
          <w:sz w:val="32"/>
          <w:szCs w:val="32"/>
        </w:rPr>
      </w:pPr>
      <w:bookmarkStart w:id="14" w:name="_heading=h.e143bp8oelg1" w:colFirst="0" w:colLast="0"/>
      <w:bookmarkEnd w:id="14"/>
      <w:r>
        <w:br w:type="page"/>
      </w:r>
    </w:p>
    <w:p w14:paraId="000000C7" w14:textId="77777777" w:rsidR="002F1325" w:rsidRDefault="00EA6B03">
      <w:pPr>
        <w:pStyle w:val="Heading1"/>
        <w:rPr>
          <w:rFonts w:ascii="Times New Roman" w:eastAsia="Times New Roman" w:hAnsi="Times New Roman" w:cs="Times New Roman"/>
          <w:sz w:val="32"/>
          <w:szCs w:val="32"/>
        </w:rPr>
      </w:pPr>
      <w:bookmarkStart w:id="15" w:name="_heading=h.mbmsbayvg0ro" w:colFirst="0" w:colLast="0"/>
      <w:bookmarkEnd w:id="15"/>
      <w:r>
        <w:rPr>
          <w:rFonts w:ascii="Times New Roman" w:eastAsia="Times New Roman" w:hAnsi="Times New Roman" w:cs="Times New Roman"/>
          <w:sz w:val="32"/>
          <w:szCs w:val="32"/>
        </w:rPr>
        <w:t xml:space="preserve">5. Serverless computing versus </w:t>
      </w:r>
      <w:proofErr w:type="spellStart"/>
      <w:r>
        <w:rPr>
          <w:rFonts w:ascii="Times New Roman" w:eastAsia="Times New Roman" w:hAnsi="Times New Roman" w:cs="Times New Roman"/>
          <w:sz w:val="32"/>
          <w:szCs w:val="32"/>
        </w:rPr>
        <w:t>containerisation</w:t>
      </w:r>
      <w:proofErr w:type="spellEnd"/>
    </w:p>
    <w:p w14:paraId="000000C8" w14:textId="77777777" w:rsidR="002F1325" w:rsidRDefault="00EA6B03">
      <w:pPr>
        <w:spacing w:after="80" w:line="264" w:lineRule="auto"/>
      </w:pPr>
      <w:r>
        <w:rPr>
          <w:rFonts w:ascii="Times New Roman" w:eastAsia="Times New Roman" w:hAnsi="Times New Roman" w:cs="Times New Roman"/>
        </w:rPr>
        <w:t>Offering the benefits of abstracti</w:t>
      </w:r>
      <w:r>
        <w:rPr>
          <w:rFonts w:ascii="Times New Roman" w:eastAsia="Times New Roman" w:hAnsi="Times New Roman" w:cs="Times New Roman"/>
        </w:rPr>
        <w:t xml:space="preserve">on, both serverless and </w:t>
      </w:r>
      <w:proofErr w:type="spellStart"/>
      <w:r>
        <w:rPr>
          <w:rFonts w:ascii="Times New Roman" w:eastAsia="Times New Roman" w:hAnsi="Times New Roman" w:cs="Times New Roman"/>
        </w:rPr>
        <w:t>containerised</w:t>
      </w:r>
      <w:proofErr w:type="spellEnd"/>
      <w:r>
        <w:rPr>
          <w:rFonts w:ascii="Times New Roman" w:eastAsia="Times New Roman" w:hAnsi="Times New Roman" w:cs="Times New Roman"/>
        </w:rPr>
        <w:t xml:space="preserve"> computing deal with the same needs and address them on different abstraction levels. Serverless computing has providers taking care of most of the infrastructure needed for the application to run, while code is execute</w:t>
      </w:r>
      <w:r>
        <w:rPr>
          <w:rFonts w:ascii="Times New Roman" w:eastAsia="Times New Roman" w:hAnsi="Times New Roman" w:cs="Times New Roman"/>
        </w:rPr>
        <w:t xml:space="preserve">d by means of operations on events or requests. Typical implementations are AWS Lambda or Azure Functions [12], [13], where developers are only concerned with functions, triggers and authorizations rather than hosts or </w:t>
      </w:r>
      <w:proofErr w:type="gramStart"/>
      <w:r>
        <w:rPr>
          <w:rFonts w:ascii="Times New Roman" w:eastAsia="Times New Roman" w:hAnsi="Times New Roman" w:cs="Times New Roman"/>
        </w:rPr>
        <w:t>long lived</w:t>
      </w:r>
      <w:proofErr w:type="gramEnd"/>
      <w:r>
        <w:rPr>
          <w:rFonts w:ascii="Times New Roman" w:eastAsia="Times New Roman" w:hAnsi="Times New Roman" w:cs="Times New Roman"/>
        </w:rPr>
        <w:t xml:space="preserve"> servers. Serverless has th</w:t>
      </w:r>
      <w:r>
        <w:rPr>
          <w:rFonts w:ascii="Times New Roman" w:eastAsia="Times New Roman" w:hAnsi="Times New Roman" w:cs="Times New Roman"/>
        </w:rPr>
        <w:t xml:space="preserve">ree major advantages over the Docker workflow we have this report; the first being reduced ops work; faster scale-up/down, including auto-scale-to-zero. It offers potential cost savings for </w:t>
      </w:r>
      <w:proofErr w:type="spellStart"/>
      <w:r>
        <w:rPr>
          <w:rFonts w:ascii="Times New Roman" w:eastAsia="Times New Roman" w:hAnsi="Times New Roman" w:cs="Times New Roman"/>
        </w:rPr>
        <w:t>bursty</w:t>
      </w:r>
      <w:proofErr w:type="spellEnd"/>
      <w:r>
        <w:rPr>
          <w:rFonts w:ascii="Times New Roman" w:eastAsia="Times New Roman" w:hAnsi="Times New Roman" w:cs="Times New Roman"/>
        </w:rPr>
        <w:t xml:space="preserve"> workloads because cost is linked more closely to execution </w:t>
      </w:r>
      <w:r>
        <w:rPr>
          <w:rFonts w:ascii="Times New Roman" w:eastAsia="Times New Roman" w:hAnsi="Times New Roman" w:cs="Times New Roman"/>
        </w:rPr>
        <w:t>time and allocated resources rather than always-on server capacity.</w:t>
      </w:r>
    </w:p>
    <w:p w14:paraId="000000C9" w14:textId="77777777" w:rsidR="002F1325" w:rsidRDefault="00EA6B03">
      <w:pPr>
        <w:spacing w:after="80" w:line="264" w:lineRule="auto"/>
      </w:pPr>
      <w:proofErr w:type="gramStart"/>
      <w:r>
        <w:rPr>
          <w:rFonts w:ascii="Times New Roman" w:eastAsia="Times New Roman" w:hAnsi="Times New Roman" w:cs="Times New Roman"/>
        </w:rPr>
        <w:t>However</w:t>
      </w:r>
      <w:proofErr w:type="gramEnd"/>
      <w:r>
        <w:rPr>
          <w:rFonts w:ascii="Times New Roman" w:eastAsia="Times New Roman" w:hAnsi="Times New Roman" w:cs="Times New Roman"/>
        </w:rPr>
        <w:t xml:space="preserve"> containers work better for many use cases. The Docker task in this report used a continuously running Nginx service on a fixed port which integrates very naturally with container d</w:t>
      </w:r>
      <w:r>
        <w:rPr>
          <w:rFonts w:ascii="Times New Roman" w:eastAsia="Times New Roman" w:hAnsi="Times New Roman" w:cs="Times New Roman"/>
        </w:rPr>
        <w:t>eployment. Containers offer stronger packaging control since the same image could work locally, in CI, on-premise or in the cloud.</w:t>
      </w:r>
    </w:p>
    <w:p w14:paraId="000000CA" w14:textId="77777777" w:rsidR="002F1325" w:rsidRDefault="00EA6B03">
      <w:pPr>
        <w:spacing w:after="80" w:line="264" w:lineRule="auto"/>
      </w:pPr>
      <w:r>
        <w:rPr>
          <w:rFonts w:ascii="Times New Roman" w:eastAsia="Times New Roman" w:hAnsi="Times New Roman" w:cs="Times New Roman"/>
        </w:rPr>
        <w:t>So, it is an architectural, not an ideological choice. Serverless provides value when the main aim is to reduce infrastructure management and match cost more closely with actual usage. Containers are a more compelling option when the priority is consistent</w:t>
      </w:r>
      <w:r>
        <w:rPr>
          <w:rFonts w:ascii="Times New Roman" w:eastAsia="Times New Roman" w:hAnsi="Times New Roman" w:cs="Times New Roman"/>
        </w:rPr>
        <w:t xml:space="preserve"> packaging, runtime control and portability. Most organizations balance both under the hood.</w:t>
      </w:r>
    </w:p>
    <w:p w14:paraId="000000CB" w14:textId="77777777" w:rsidR="002F1325" w:rsidRDefault="00EA6B03">
      <w:pPr>
        <w:spacing w:after="80" w:line="264" w:lineRule="auto"/>
      </w:pPr>
      <w:r>
        <w:rPr>
          <w:rFonts w:ascii="Times New Roman" w:eastAsia="Times New Roman" w:hAnsi="Times New Roman" w:cs="Times New Roman"/>
        </w:rPr>
        <w:t>However, not all key operational problems are eliminated by serverless. Observability, dependency security, scheduling and tuning for concurrency continue to be re</w:t>
      </w:r>
      <w:r>
        <w:rPr>
          <w:rFonts w:ascii="Times New Roman" w:eastAsia="Times New Roman" w:hAnsi="Times New Roman" w:cs="Times New Roman"/>
        </w:rPr>
        <w:t>levant [12], [13]. Likewise, containers are not always completely portable when heavily dependent on provider-specific services. An experienced cloud engineer chooses the suitable execution model according to the workload.</w:t>
      </w:r>
    </w:p>
    <w:p w14:paraId="000000CC" w14:textId="77777777" w:rsidR="002F1325" w:rsidRDefault="002F1325">
      <w:pPr>
        <w:spacing w:after="80" w:line="264" w:lineRule="auto"/>
        <w:rPr>
          <w:rFonts w:ascii="Times New Roman" w:eastAsia="Times New Roman" w:hAnsi="Times New Roman" w:cs="Times New Roman"/>
        </w:rPr>
      </w:pPr>
    </w:p>
    <w:p w14:paraId="000000CD" w14:textId="77777777" w:rsidR="002F1325" w:rsidRDefault="002F1325">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p>
    <w:tbl>
      <w:tblPr>
        <w:tblStyle w:val="a3"/>
        <w:tblW w:w="9450" w:type="dxa"/>
        <w:jc w:val="center"/>
        <w:tblInd w:w="0" w:type="dxa"/>
        <w:tblBorders>
          <w:top w:val="single" w:sz="6" w:space="0" w:color="282828"/>
          <w:left w:val="single" w:sz="6" w:space="0" w:color="282828"/>
          <w:bottom w:val="single" w:sz="6" w:space="0" w:color="282828"/>
          <w:right w:val="single" w:sz="6" w:space="0" w:color="282828"/>
          <w:insideH w:val="single" w:sz="6" w:space="0" w:color="282828"/>
          <w:insideV w:val="single" w:sz="6" w:space="0" w:color="282828"/>
        </w:tblBorders>
        <w:tblLayout w:type="fixed"/>
        <w:tblLook w:val="0400" w:firstRow="0" w:lastRow="0" w:firstColumn="0" w:lastColumn="0" w:noHBand="0" w:noVBand="1"/>
      </w:tblPr>
      <w:tblGrid>
        <w:gridCol w:w="2025"/>
        <w:gridCol w:w="3660"/>
        <w:gridCol w:w="3765"/>
      </w:tblGrid>
      <w:tr w:rsidR="002F1325" w14:paraId="29AEE6E8" w14:textId="77777777">
        <w:trPr>
          <w:jc w:val="center"/>
        </w:trPr>
        <w:tc>
          <w:tcPr>
            <w:tcW w:w="2025" w:type="dxa"/>
            <w:tcMar>
              <w:top w:w="80" w:type="dxa"/>
              <w:bottom w:w="80" w:type="dxa"/>
            </w:tcMar>
          </w:tcPr>
          <w:p w14:paraId="000000CE"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Design question</w:t>
            </w:r>
          </w:p>
        </w:tc>
        <w:tc>
          <w:tcPr>
            <w:tcW w:w="3660" w:type="dxa"/>
            <w:tcMar>
              <w:top w:w="80" w:type="dxa"/>
              <w:bottom w:w="80" w:type="dxa"/>
            </w:tcMar>
          </w:tcPr>
          <w:p w14:paraId="000000CF"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Containers</w:t>
            </w:r>
          </w:p>
        </w:tc>
        <w:tc>
          <w:tcPr>
            <w:tcW w:w="3765" w:type="dxa"/>
            <w:tcMar>
              <w:top w:w="80" w:type="dxa"/>
              <w:bottom w:w="80" w:type="dxa"/>
            </w:tcMar>
          </w:tcPr>
          <w:p w14:paraId="000000D0"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b/>
                <w:bCs/>
                <w:sz w:val="20"/>
                <w:szCs w:val="20"/>
              </w:rPr>
              <w:t>Serverless</w:t>
            </w:r>
          </w:p>
        </w:tc>
      </w:tr>
      <w:tr w:rsidR="002F1325" w14:paraId="35DD133F" w14:textId="77777777">
        <w:trPr>
          <w:jc w:val="center"/>
        </w:trPr>
        <w:tc>
          <w:tcPr>
            <w:tcW w:w="2025" w:type="dxa"/>
            <w:tcMar>
              <w:top w:w="80" w:type="dxa"/>
              <w:bottom w:w="80" w:type="dxa"/>
            </w:tcMar>
            <w:vAlign w:val="center"/>
          </w:tcPr>
          <w:p w14:paraId="000000D1"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Runtime control</w:t>
            </w:r>
          </w:p>
        </w:tc>
        <w:tc>
          <w:tcPr>
            <w:tcW w:w="3660" w:type="dxa"/>
            <w:tcMar>
              <w:top w:w="80" w:type="dxa"/>
              <w:bottom w:w="80" w:type="dxa"/>
            </w:tcMar>
            <w:vAlign w:val="center"/>
          </w:tcPr>
          <w:p w14:paraId="000000D2"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High control over image contents, process model and dependencies</w:t>
            </w:r>
          </w:p>
        </w:tc>
        <w:tc>
          <w:tcPr>
            <w:tcW w:w="3765" w:type="dxa"/>
            <w:tcMar>
              <w:top w:w="80" w:type="dxa"/>
              <w:bottom w:w="80" w:type="dxa"/>
            </w:tcMar>
            <w:vAlign w:val="center"/>
          </w:tcPr>
          <w:p w14:paraId="000000D3"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Lower control because the provider manages most runtime details</w:t>
            </w:r>
          </w:p>
        </w:tc>
      </w:tr>
      <w:tr w:rsidR="002F1325" w14:paraId="7D381DDE" w14:textId="77777777">
        <w:trPr>
          <w:jc w:val="center"/>
        </w:trPr>
        <w:tc>
          <w:tcPr>
            <w:tcW w:w="2025" w:type="dxa"/>
            <w:tcMar>
              <w:top w:w="80" w:type="dxa"/>
              <w:bottom w:w="80" w:type="dxa"/>
            </w:tcMar>
            <w:vAlign w:val="center"/>
          </w:tcPr>
          <w:p w14:paraId="000000D4"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Scaling model</w:t>
            </w:r>
          </w:p>
        </w:tc>
        <w:tc>
          <w:tcPr>
            <w:tcW w:w="3660" w:type="dxa"/>
            <w:tcMar>
              <w:top w:w="80" w:type="dxa"/>
              <w:bottom w:w="80" w:type="dxa"/>
            </w:tcMar>
            <w:vAlign w:val="center"/>
          </w:tcPr>
          <w:p w14:paraId="000000D5"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Replica-based scaling, usually with orchestration</w:t>
            </w:r>
          </w:p>
        </w:tc>
        <w:tc>
          <w:tcPr>
            <w:tcW w:w="3765" w:type="dxa"/>
            <w:tcMar>
              <w:top w:w="80" w:type="dxa"/>
              <w:bottom w:w="80" w:type="dxa"/>
            </w:tcMar>
            <w:vAlign w:val="center"/>
          </w:tcPr>
          <w:p w14:paraId="000000D6"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Event-driven scaling, o</w:t>
            </w:r>
            <w:r>
              <w:rPr>
                <w:rFonts w:ascii="Times New Roman" w:eastAsia="Times New Roman" w:hAnsi="Times New Roman" w:cs="Times New Roman"/>
                <w:sz w:val="18"/>
                <w:szCs w:val="18"/>
              </w:rPr>
              <w:t>ften automatic and granular</w:t>
            </w:r>
          </w:p>
        </w:tc>
      </w:tr>
      <w:tr w:rsidR="002F1325" w14:paraId="6CDEC083" w14:textId="77777777">
        <w:trPr>
          <w:jc w:val="center"/>
        </w:trPr>
        <w:tc>
          <w:tcPr>
            <w:tcW w:w="2025" w:type="dxa"/>
            <w:tcMar>
              <w:top w:w="80" w:type="dxa"/>
              <w:bottom w:w="80" w:type="dxa"/>
            </w:tcMar>
            <w:vAlign w:val="center"/>
          </w:tcPr>
          <w:p w14:paraId="000000D7"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Best-fit workloads</w:t>
            </w:r>
          </w:p>
        </w:tc>
        <w:tc>
          <w:tcPr>
            <w:tcW w:w="3660" w:type="dxa"/>
            <w:tcMar>
              <w:top w:w="80" w:type="dxa"/>
              <w:bottom w:w="80" w:type="dxa"/>
            </w:tcMar>
            <w:vAlign w:val="center"/>
          </w:tcPr>
          <w:p w14:paraId="000000D8"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APIs, microservices, workers, long-running services</w:t>
            </w:r>
          </w:p>
        </w:tc>
        <w:tc>
          <w:tcPr>
            <w:tcW w:w="3765" w:type="dxa"/>
            <w:tcMar>
              <w:top w:w="80" w:type="dxa"/>
              <w:bottom w:w="80" w:type="dxa"/>
            </w:tcMar>
            <w:vAlign w:val="center"/>
          </w:tcPr>
          <w:p w14:paraId="000000D9"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 xml:space="preserve">Event handlers, </w:t>
            </w:r>
            <w:proofErr w:type="spellStart"/>
            <w:r>
              <w:rPr>
                <w:rFonts w:ascii="Times New Roman" w:eastAsia="Times New Roman" w:hAnsi="Times New Roman" w:cs="Times New Roman"/>
                <w:sz w:val="18"/>
                <w:szCs w:val="18"/>
              </w:rPr>
              <w:t>bursty</w:t>
            </w:r>
            <w:proofErr w:type="spellEnd"/>
            <w:r>
              <w:rPr>
                <w:rFonts w:ascii="Times New Roman" w:eastAsia="Times New Roman" w:hAnsi="Times New Roman" w:cs="Times New Roman"/>
                <w:sz w:val="18"/>
                <w:szCs w:val="18"/>
              </w:rPr>
              <w:t xml:space="preserve"> jobs, lightweight integrations</w:t>
            </w:r>
          </w:p>
        </w:tc>
      </w:tr>
      <w:tr w:rsidR="002F1325" w14:paraId="388C4CF6" w14:textId="77777777">
        <w:trPr>
          <w:jc w:val="center"/>
        </w:trPr>
        <w:tc>
          <w:tcPr>
            <w:tcW w:w="2025" w:type="dxa"/>
            <w:tcMar>
              <w:top w:w="80" w:type="dxa"/>
              <w:bottom w:w="80" w:type="dxa"/>
            </w:tcMar>
            <w:vAlign w:val="center"/>
          </w:tcPr>
          <w:p w14:paraId="000000DA"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sz w:val="18"/>
                <w:szCs w:val="18"/>
              </w:rPr>
              <w:t>Main caution</w:t>
            </w:r>
          </w:p>
        </w:tc>
        <w:tc>
          <w:tcPr>
            <w:tcW w:w="3660" w:type="dxa"/>
            <w:tcMar>
              <w:top w:w="80" w:type="dxa"/>
              <w:bottom w:w="80" w:type="dxa"/>
            </w:tcMar>
            <w:vAlign w:val="center"/>
          </w:tcPr>
          <w:p w14:paraId="000000DB"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Operational overhead and security hardening still required</w:t>
            </w:r>
          </w:p>
        </w:tc>
        <w:tc>
          <w:tcPr>
            <w:tcW w:w="3765" w:type="dxa"/>
            <w:tcMar>
              <w:top w:w="80" w:type="dxa"/>
              <w:bottom w:w="80" w:type="dxa"/>
            </w:tcMar>
            <w:vAlign w:val="center"/>
          </w:tcPr>
          <w:p w14:paraId="000000DC" w14:textId="77777777" w:rsidR="002F1325" w:rsidRDefault="00EA6B03">
            <w:pPr>
              <w:rPr>
                <w:rFonts w:ascii="Times New Roman" w:eastAsia="Times New Roman" w:hAnsi="Times New Roman" w:cs="Times New Roman"/>
              </w:rPr>
            </w:pPr>
            <w:r>
              <w:rPr>
                <w:rFonts w:ascii="Times New Roman" w:eastAsia="Times New Roman" w:hAnsi="Times New Roman" w:cs="Times New Roman"/>
                <w:sz w:val="18"/>
                <w:szCs w:val="18"/>
              </w:rPr>
              <w:t>Cold starts, limits and provider lock-in concerns</w:t>
            </w:r>
          </w:p>
        </w:tc>
      </w:tr>
    </w:tbl>
    <w:p w14:paraId="000000DD" w14:textId="77777777" w:rsidR="002F1325" w:rsidRDefault="00EA6B03">
      <w:pPr>
        <w:pBdr>
          <w:top w:val="nil"/>
          <w:left w:val="nil"/>
          <w:bottom w:val="nil"/>
          <w:right w:val="nil"/>
          <w:between w:val="nil"/>
        </w:pBdr>
        <w:spacing w:after="80" w:line="264" w:lineRule="auto"/>
        <w:jc w:val="center"/>
        <w:rPr>
          <w:rFonts w:ascii="Times New Roman" w:eastAsia="Times New Roman" w:hAnsi="Times New Roman" w:cs="Times New Roman"/>
          <w:color w:val="5A5A5A"/>
          <w:sz w:val="18"/>
          <w:szCs w:val="18"/>
        </w:rPr>
      </w:pPr>
      <w:r>
        <w:rPr>
          <w:rFonts w:ascii="Times New Roman" w:eastAsia="Times New Roman" w:hAnsi="Times New Roman" w:cs="Times New Roman"/>
          <w:i/>
          <w:iCs/>
          <w:color w:val="5A5A5A"/>
          <w:sz w:val="18"/>
          <w:szCs w:val="18"/>
        </w:rPr>
        <w:t xml:space="preserve">Table 3. Workload-oriented comparison of </w:t>
      </w:r>
      <w:proofErr w:type="spellStart"/>
      <w:r>
        <w:rPr>
          <w:rFonts w:ascii="Times New Roman" w:eastAsia="Times New Roman" w:hAnsi="Times New Roman" w:cs="Times New Roman"/>
          <w:i/>
          <w:iCs/>
          <w:color w:val="5A5A5A"/>
          <w:sz w:val="18"/>
          <w:szCs w:val="18"/>
        </w:rPr>
        <w:t>containerisation</w:t>
      </w:r>
      <w:proofErr w:type="spellEnd"/>
      <w:r>
        <w:rPr>
          <w:rFonts w:ascii="Times New Roman" w:eastAsia="Times New Roman" w:hAnsi="Times New Roman" w:cs="Times New Roman"/>
          <w:i/>
          <w:iCs/>
          <w:color w:val="5A5A5A"/>
          <w:sz w:val="18"/>
          <w:szCs w:val="18"/>
        </w:rPr>
        <w:t xml:space="preserve"> and serverless execution</w:t>
      </w:r>
    </w:p>
    <w:p w14:paraId="000000DE" w14:textId="77777777" w:rsidR="002F1325" w:rsidRDefault="002F1325">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p>
    <w:p w14:paraId="000000DF"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r>
        <w:br w:type="page"/>
      </w:r>
    </w:p>
    <w:p w14:paraId="000000E0" w14:textId="77777777" w:rsidR="002F1325" w:rsidRDefault="00EA6B03">
      <w:pPr>
        <w:pStyle w:val="Heading1"/>
        <w:rPr>
          <w:rFonts w:ascii="Times New Roman" w:eastAsia="Times New Roman" w:hAnsi="Times New Roman" w:cs="Times New Roman"/>
          <w:sz w:val="32"/>
          <w:szCs w:val="32"/>
        </w:rPr>
      </w:pPr>
      <w:bookmarkStart w:id="16" w:name="_heading=h.hflrzfvx3zjq" w:colFirst="0" w:colLast="0"/>
      <w:bookmarkEnd w:id="16"/>
      <w:r>
        <w:rPr>
          <w:rFonts w:ascii="Times New Roman" w:eastAsia="Times New Roman" w:hAnsi="Times New Roman" w:cs="Times New Roman"/>
          <w:sz w:val="32"/>
          <w:szCs w:val="32"/>
        </w:rPr>
        <w:t>6. Driving forces behind cloud expansion</w:t>
      </w:r>
    </w:p>
    <w:p w14:paraId="000000E1"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There are several broader reasons why cloud platforms and container-based delivery have grown so quickly. One of these is cost efficiency, since shared infrastructure and automated processes will decrease idle capac</w:t>
      </w:r>
      <w:r>
        <w:rPr>
          <w:rFonts w:ascii="Times New Roman" w:eastAsia="Times New Roman" w:hAnsi="Times New Roman" w:cs="Times New Roman"/>
        </w:rPr>
        <w:t xml:space="preserve">ity and human effort [2]. Another is elasticity because </w:t>
      </w:r>
      <w:proofErr w:type="spellStart"/>
      <w:r>
        <w:rPr>
          <w:rFonts w:ascii="Times New Roman" w:eastAsia="Times New Roman" w:hAnsi="Times New Roman" w:cs="Times New Roman"/>
        </w:rPr>
        <w:t>organisations</w:t>
      </w:r>
      <w:proofErr w:type="spellEnd"/>
      <w:r>
        <w:rPr>
          <w:rFonts w:ascii="Times New Roman" w:eastAsia="Times New Roman" w:hAnsi="Times New Roman" w:cs="Times New Roman"/>
        </w:rPr>
        <w:t xml:space="preserve"> are more in demand to manage the changing demand without a protracted procurement process. Delivery speed is also important. The competition encourages the team to make quick deliveries,</w:t>
      </w:r>
      <w:r>
        <w:rPr>
          <w:rFonts w:ascii="Times New Roman" w:eastAsia="Times New Roman" w:hAnsi="Times New Roman" w:cs="Times New Roman"/>
        </w:rPr>
        <w:t xml:space="preserve"> do quick testing in case of errors. Containerization helps here because it allows creating repeatable application artefacts.</w:t>
      </w:r>
    </w:p>
    <w:p w14:paraId="000000E2"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It is also driven by standardization. Being able to claim that this particular image went through testing and approval is somethin</w:t>
      </w:r>
      <w:r>
        <w:rPr>
          <w:rFonts w:ascii="Times New Roman" w:eastAsia="Times New Roman" w:hAnsi="Times New Roman" w:cs="Times New Roman"/>
        </w:rPr>
        <w:t>g that really works in the real life of distributed teams. It improves the collaboration between developers, testers, operations and security engineers. Along with registries, scanners, CI systems, and orchestration tools, containerization will be a part o</w:t>
      </w:r>
      <w:r>
        <w:rPr>
          <w:rFonts w:ascii="Times New Roman" w:eastAsia="Times New Roman" w:hAnsi="Times New Roman" w:cs="Times New Roman"/>
        </w:rPr>
        <w:t>f an even broader concept – software supply chain.</w:t>
      </w:r>
    </w:p>
    <w:p w14:paraId="000000E3"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On the other hand, technologies alone are not driving the growth of clouds. They are shaped by certain governance needs, resilience and business continuity requirements. Companies need disaster recovery op</w:t>
      </w:r>
      <w:r>
        <w:rPr>
          <w:rFonts w:ascii="Times New Roman" w:eastAsia="Times New Roman" w:hAnsi="Times New Roman" w:cs="Times New Roman"/>
        </w:rPr>
        <w:t>tions, geographic elasticity, simplified experiments, and reduced dependence on the tricky manual configuration. This set of needs was replicated at small scale in this exercise. The image has been built using reproducible methods, published into some dist</w:t>
      </w:r>
      <w:r>
        <w:rPr>
          <w:rFonts w:ascii="Times New Roman" w:eastAsia="Times New Roman" w:hAnsi="Times New Roman" w:cs="Times New Roman"/>
        </w:rPr>
        <w:t>ant registry, ran consistently and cleaned up responsibly. Exactly these kinds of things become the cornerstone of a professional approach to the cloud development.</w:t>
      </w:r>
    </w:p>
    <w:p w14:paraId="000000E4"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This means that the most important conclusion from this exercise is not the fact that Docke</w:t>
      </w:r>
      <w:r>
        <w:rPr>
          <w:rFonts w:ascii="Times New Roman" w:eastAsia="Times New Roman" w:hAnsi="Times New Roman" w:cs="Times New Roman"/>
        </w:rPr>
        <w:t>r commands worked. It's rather the cloud engineering process of packaging, verification and lifecycle management and its focus on operations.</w:t>
      </w:r>
    </w:p>
    <w:p w14:paraId="000000E5" w14:textId="77777777" w:rsidR="002F1325" w:rsidRDefault="002F1325">
      <w:pPr>
        <w:jc w:val="both"/>
        <w:rPr>
          <w:rFonts w:ascii="Times New Roman" w:eastAsia="Times New Roman" w:hAnsi="Times New Roman" w:cs="Times New Roman"/>
        </w:rPr>
      </w:pPr>
    </w:p>
    <w:p w14:paraId="000000E6" w14:textId="77777777" w:rsidR="002F1325" w:rsidRDefault="002F1325">
      <w:pPr>
        <w:jc w:val="both"/>
        <w:rPr>
          <w:rFonts w:ascii="Times New Roman" w:eastAsia="Times New Roman" w:hAnsi="Times New Roman" w:cs="Times New Roman"/>
        </w:rPr>
      </w:pPr>
    </w:p>
    <w:p w14:paraId="000000E7"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r>
        <w:br w:type="page"/>
      </w:r>
    </w:p>
    <w:p w14:paraId="000000E8" w14:textId="77777777" w:rsidR="002F1325" w:rsidRDefault="00EA6B03">
      <w:pPr>
        <w:pStyle w:val="Heading1"/>
        <w:rPr>
          <w:rFonts w:ascii="Times New Roman" w:eastAsia="Times New Roman" w:hAnsi="Times New Roman" w:cs="Times New Roman"/>
          <w:sz w:val="32"/>
          <w:szCs w:val="32"/>
        </w:rPr>
      </w:pPr>
      <w:bookmarkStart w:id="17" w:name="_heading=h.h712qmtedpw8" w:colFirst="0" w:colLast="0"/>
      <w:bookmarkEnd w:id="17"/>
      <w:r>
        <w:rPr>
          <w:rFonts w:ascii="Times New Roman" w:eastAsia="Times New Roman" w:hAnsi="Times New Roman" w:cs="Times New Roman"/>
          <w:sz w:val="32"/>
          <w:szCs w:val="32"/>
        </w:rPr>
        <w:t>7. Conclusion</w:t>
      </w:r>
    </w:p>
    <w:p w14:paraId="000000E9"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From the above report, it is evident that practical implementation utilizing Docker can be used </w:t>
      </w:r>
      <w:r>
        <w:rPr>
          <w:rFonts w:ascii="Times New Roman" w:eastAsia="Times New Roman" w:hAnsi="Times New Roman" w:cs="Times New Roman"/>
        </w:rPr>
        <w:t>to illustrate many broader concepts of cloud engineering. As part of the assignment completed above, one was able to see the process involved in installing Docker, testing the execution of the image, building an image via a Docker file, running an applicat</w:t>
      </w:r>
      <w:r>
        <w:rPr>
          <w:rFonts w:ascii="Times New Roman" w:eastAsia="Times New Roman" w:hAnsi="Times New Roman" w:cs="Times New Roman"/>
        </w:rPr>
        <w:t>ion by using the port, pushing the image to a remote repository (Docker Hub), running a container with a mounted Docker volume, creating a connection between containers through a custom bridge network, and concluding the whole process with a final test and</w:t>
      </w:r>
      <w:r>
        <w:rPr>
          <w:rFonts w:ascii="Times New Roman" w:eastAsia="Times New Roman" w:hAnsi="Times New Roman" w:cs="Times New Roman"/>
        </w:rPr>
        <w:t xml:space="preserve"> cleanup.</w:t>
      </w:r>
    </w:p>
    <w:p w14:paraId="000000EA"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 xml:space="preserve">The practical work was put in the larger context of cloud computing in the theoretical discussion. Virtual machines are not yet obsolete, but </w:t>
      </w:r>
      <w:proofErr w:type="spellStart"/>
      <w:r>
        <w:rPr>
          <w:rFonts w:ascii="Times New Roman" w:eastAsia="Times New Roman" w:hAnsi="Times New Roman" w:cs="Times New Roman"/>
        </w:rPr>
        <w:t>containerisation</w:t>
      </w:r>
      <w:proofErr w:type="spellEnd"/>
      <w:r>
        <w:rPr>
          <w:rFonts w:ascii="Times New Roman" w:eastAsia="Times New Roman" w:hAnsi="Times New Roman" w:cs="Times New Roman"/>
        </w:rPr>
        <w:t xml:space="preserve"> is more portable, and has better deployment reliability with most cloud-native applicat</w:t>
      </w:r>
      <w:r>
        <w:rPr>
          <w:rFonts w:ascii="Times New Roman" w:eastAsia="Times New Roman" w:hAnsi="Times New Roman" w:cs="Times New Roman"/>
        </w:rPr>
        <w:t>ions. Registries, volumes and networks can be used to create a small cloud engineering setup using a basic container demo. This was further demonstrated in the comparison with serverless computing, which demonstrated that modern cloud architecture needs to</w:t>
      </w:r>
      <w:r>
        <w:rPr>
          <w:rFonts w:ascii="Times New Roman" w:eastAsia="Times New Roman" w:hAnsi="Times New Roman" w:cs="Times New Roman"/>
        </w:rPr>
        <w:t xml:space="preserve"> be judged, as opposed to a one-size-fits-all tool selection.</w:t>
      </w:r>
    </w:p>
    <w:p w14:paraId="000000EB"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t>The most powerful conclusion is thus that effective cloud engineering is reliant on execution and assessment. The practical work must be done but it must be just as well to learn its architectur</w:t>
      </w:r>
      <w:r>
        <w:rPr>
          <w:rFonts w:ascii="Times New Roman" w:eastAsia="Times New Roman" w:hAnsi="Times New Roman" w:cs="Times New Roman"/>
        </w:rPr>
        <w:t xml:space="preserve">al significance, security considerations and limitations of production. The evidence presented in this report indicates that the practical objectives were met whereas the analysis demonstrates the relationships between the practical objectives and the </w:t>
      </w:r>
      <w:proofErr w:type="gramStart"/>
      <w:r>
        <w:rPr>
          <w:rFonts w:ascii="Times New Roman" w:eastAsia="Times New Roman" w:hAnsi="Times New Roman" w:cs="Times New Roman"/>
        </w:rPr>
        <w:t>high</w:t>
      </w:r>
      <w:r>
        <w:rPr>
          <w:rFonts w:ascii="Times New Roman" w:eastAsia="Times New Roman" w:hAnsi="Times New Roman" w:cs="Times New Roman"/>
        </w:rPr>
        <w:t>er level</w:t>
      </w:r>
      <w:proofErr w:type="gramEnd"/>
      <w:r>
        <w:rPr>
          <w:rFonts w:ascii="Times New Roman" w:eastAsia="Times New Roman" w:hAnsi="Times New Roman" w:cs="Times New Roman"/>
        </w:rPr>
        <w:t xml:space="preserve"> cloud design decisions. It is that combination that transforms a lab exercise into a cloud engineering report that is professionally relevant.</w:t>
      </w:r>
    </w:p>
    <w:p w14:paraId="000000EC" w14:textId="77777777" w:rsidR="002F1325" w:rsidRDefault="00EA6B03">
      <w:pPr>
        <w:jc w:val="both"/>
        <w:rPr>
          <w:rFonts w:ascii="Times New Roman" w:eastAsia="Times New Roman" w:hAnsi="Times New Roman" w:cs="Times New Roman"/>
        </w:rPr>
      </w:pPr>
      <w:r>
        <w:rPr>
          <w:rFonts w:ascii="Times New Roman" w:eastAsia="Times New Roman" w:hAnsi="Times New Roman" w:cs="Times New Roman"/>
        </w:rPr>
        <w:br/>
      </w:r>
    </w:p>
    <w:p w14:paraId="000000ED" w14:textId="77777777" w:rsidR="002F1325" w:rsidRDefault="00EA6B03">
      <w:pPr>
        <w:pBdr>
          <w:top w:val="nil"/>
          <w:left w:val="nil"/>
          <w:bottom w:val="nil"/>
          <w:right w:val="nil"/>
          <w:between w:val="nil"/>
        </w:pBdr>
        <w:spacing w:after="80" w:line="264" w:lineRule="auto"/>
        <w:rPr>
          <w:rFonts w:ascii="Times New Roman" w:eastAsia="Times New Roman" w:hAnsi="Times New Roman" w:cs="Times New Roman"/>
          <w:b/>
          <w:bCs/>
          <w:color w:val="1F4E79"/>
          <w:sz w:val="32"/>
          <w:szCs w:val="32"/>
        </w:rPr>
      </w:pPr>
      <w:r>
        <w:rPr>
          <w:rFonts w:ascii="Times New Roman" w:eastAsia="Times New Roman" w:hAnsi="Times New Roman" w:cs="Times New Roman"/>
          <w:b/>
          <w:bCs/>
          <w:color w:val="1F4E79"/>
          <w:sz w:val="32"/>
          <w:szCs w:val="32"/>
        </w:rPr>
        <w:br/>
      </w:r>
      <w:r>
        <w:br w:type="page"/>
      </w:r>
    </w:p>
    <w:p w14:paraId="000000EE" w14:textId="77777777" w:rsidR="002F1325" w:rsidRDefault="00EA6B03">
      <w:pPr>
        <w:pStyle w:val="Heading1"/>
        <w:rPr>
          <w:rFonts w:ascii="Times New Roman" w:eastAsia="Times New Roman" w:hAnsi="Times New Roman" w:cs="Times New Roman"/>
        </w:rPr>
      </w:pPr>
      <w:bookmarkStart w:id="18" w:name="_heading=h.y1dsxcjjqr3c" w:colFirst="0" w:colLast="0"/>
      <w:bookmarkEnd w:id="18"/>
      <w:r>
        <w:rPr>
          <w:rFonts w:ascii="Times New Roman" w:eastAsia="Times New Roman" w:hAnsi="Times New Roman" w:cs="Times New Roman"/>
          <w:sz w:val="32"/>
          <w:szCs w:val="32"/>
        </w:rPr>
        <w:t>References</w:t>
      </w:r>
    </w:p>
    <w:p w14:paraId="000000EF"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 P. Mell and T. Grance, “The NIST Definition of Cloud Computing,” NIST Special Public</w:t>
      </w:r>
      <w:r>
        <w:rPr>
          <w:rFonts w:ascii="Times New Roman" w:eastAsia="Times New Roman" w:hAnsi="Times New Roman" w:cs="Times New Roman"/>
        </w:rPr>
        <w:t>ation 800-145, 2011. [Online]. Available:</w:t>
      </w:r>
      <w:hyperlink r:id="rId15">
        <w:r>
          <w:rPr>
            <w:rFonts w:ascii="Times New Roman" w:eastAsia="Times New Roman" w:hAnsi="Times New Roman" w:cs="Times New Roman"/>
          </w:rPr>
          <w:t xml:space="preserve"> </w:t>
        </w:r>
      </w:hyperlink>
      <w:hyperlink r:id="rId16">
        <w:r>
          <w:rPr>
            <w:rFonts w:ascii="Times New Roman" w:eastAsia="Times New Roman" w:hAnsi="Times New Roman" w:cs="Times New Roman"/>
            <w:color w:val="1155CC"/>
            <w:u w:val="single"/>
          </w:rPr>
          <w:t>https://nvlpubs.nist</w:t>
        </w:r>
        <w:r>
          <w:rPr>
            <w:rFonts w:ascii="Times New Roman" w:eastAsia="Times New Roman" w:hAnsi="Times New Roman" w:cs="Times New Roman"/>
            <w:color w:val="1155CC"/>
            <w:u w:val="single"/>
          </w:rPr>
          <w:t>.gov/nistpubs/Legacy/SP/nistspecialpublication800-145.pdf</w:t>
        </w:r>
      </w:hyperlink>
      <w:r>
        <w:rPr>
          <w:rFonts w:ascii="Times New Roman" w:eastAsia="Times New Roman" w:hAnsi="Times New Roman" w:cs="Times New Roman"/>
        </w:rPr>
        <w:t>. Accessed: April 11, 2026.</w:t>
      </w:r>
    </w:p>
    <w:p w14:paraId="000000F0"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 xml:space="preserve">[2] M. Armbrust et al., “A View of Cloud Computing,” </w:t>
      </w:r>
      <w:r>
        <w:rPr>
          <w:rFonts w:ascii="Times New Roman" w:eastAsia="Times New Roman" w:hAnsi="Times New Roman" w:cs="Times New Roman"/>
          <w:i/>
          <w:iCs/>
        </w:rPr>
        <w:t>Communications of the ACM</w:t>
      </w:r>
      <w:r>
        <w:rPr>
          <w:rFonts w:ascii="Times New Roman" w:eastAsia="Times New Roman" w:hAnsi="Times New Roman" w:cs="Times New Roman"/>
        </w:rPr>
        <w:t>, vol. 53, no. 4, pp. 50–58, 2010. [Online]. Available:</w:t>
      </w:r>
      <w:hyperlink r:id="rId17">
        <w:r>
          <w:rPr>
            <w:rFonts w:ascii="Times New Roman" w:eastAsia="Times New Roman" w:hAnsi="Times New Roman" w:cs="Times New Roman"/>
          </w:rPr>
          <w:t xml:space="preserve"> </w:t>
        </w:r>
      </w:hyperlink>
      <w:hyperlink r:id="rId18">
        <w:r>
          <w:rPr>
            <w:rFonts w:ascii="Times New Roman" w:eastAsia="Times New Roman" w:hAnsi="Times New Roman" w:cs="Times New Roman"/>
            <w:color w:val="1155CC"/>
            <w:u w:val="single"/>
          </w:rPr>
          <w:t>https://dl.acm.org/doi/10.1145/1721659.1721672</w:t>
        </w:r>
      </w:hyperlink>
      <w:r>
        <w:rPr>
          <w:rFonts w:ascii="Times New Roman" w:eastAsia="Times New Roman" w:hAnsi="Times New Roman" w:cs="Times New Roman"/>
        </w:rPr>
        <w:t>. Accessed: April 11, 2026.</w:t>
      </w:r>
    </w:p>
    <w:p w14:paraId="000000F1"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 xml:space="preserve">[3] D. Merkel, “Docker: Lightweight Linux Containers for Consistent Development and Deployment,” </w:t>
      </w:r>
      <w:r>
        <w:rPr>
          <w:rFonts w:ascii="Times New Roman" w:eastAsia="Times New Roman" w:hAnsi="Times New Roman" w:cs="Times New Roman"/>
          <w:i/>
          <w:iCs/>
        </w:rPr>
        <w:t>Linux Journal</w:t>
      </w:r>
      <w:r>
        <w:rPr>
          <w:rFonts w:ascii="Times New Roman" w:eastAsia="Times New Roman" w:hAnsi="Times New Roman" w:cs="Times New Roman"/>
        </w:rPr>
        <w:t>, no. 239, 2014. [Online]. Available:</w:t>
      </w:r>
      <w:hyperlink r:id="rId19">
        <w:r>
          <w:rPr>
            <w:rFonts w:ascii="Times New Roman" w:eastAsia="Times New Roman" w:hAnsi="Times New Roman" w:cs="Times New Roman"/>
          </w:rPr>
          <w:t xml:space="preserve"> </w:t>
        </w:r>
      </w:hyperlink>
      <w:hyperlink r:id="rId20">
        <w:r>
          <w:rPr>
            <w:rFonts w:ascii="Times New Roman" w:eastAsia="Times New Roman" w:hAnsi="Times New Roman" w:cs="Times New Roman"/>
            <w:color w:val="1155CC"/>
            <w:u w:val="single"/>
          </w:rPr>
          <w:t>https://www.linuxjournal.com/content/docker-lightweight-linux-containers-con</w:t>
        </w:r>
        <w:r>
          <w:rPr>
            <w:rFonts w:ascii="Times New Roman" w:eastAsia="Times New Roman" w:hAnsi="Times New Roman" w:cs="Times New Roman"/>
            <w:color w:val="1155CC"/>
            <w:u w:val="single"/>
          </w:rPr>
          <w:t>sistent-development-and-deployment</w:t>
        </w:r>
      </w:hyperlink>
      <w:r>
        <w:rPr>
          <w:rFonts w:ascii="Times New Roman" w:eastAsia="Times New Roman" w:hAnsi="Times New Roman" w:cs="Times New Roman"/>
        </w:rPr>
        <w:t>. Accessed: April 11, 2026.</w:t>
      </w:r>
    </w:p>
    <w:p w14:paraId="000000F2"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 xml:space="preserve">[4] R. Morabito, J. </w:t>
      </w:r>
      <w:proofErr w:type="spellStart"/>
      <w:r>
        <w:rPr>
          <w:rFonts w:ascii="Times New Roman" w:eastAsia="Times New Roman" w:hAnsi="Times New Roman" w:cs="Times New Roman"/>
        </w:rPr>
        <w:t>Kjällman</w:t>
      </w:r>
      <w:proofErr w:type="spellEnd"/>
      <w:r>
        <w:rPr>
          <w:rFonts w:ascii="Times New Roman" w:eastAsia="Times New Roman" w:hAnsi="Times New Roman" w:cs="Times New Roman"/>
        </w:rPr>
        <w:t xml:space="preserve">, and M. </w:t>
      </w:r>
      <w:proofErr w:type="spellStart"/>
      <w:r>
        <w:rPr>
          <w:rFonts w:ascii="Times New Roman" w:eastAsia="Times New Roman" w:hAnsi="Times New Roman" w:cs="Times New Roman"/>
        </w:rPr>
        <w:t>Komu</w:t>
      </w:r>
      <w:proofErr w:type="spellEnd"/>
      <w:r>
        <w:rPr>
          <w:rFonts w:ascii="Times New Roman" w:eastAsia="Times New Roman" w:hAnsi="Times New Roman" w:cs="Times New Roman"/>
        </w:rPr>
        <w:t xml:space="preserve">, “Hypervisors vs. Lightweight Virtualization: A Performance Comparison,” in </w:t>
      </w:r>
      <w:r>
        <w:rPr>
          <w:rFonts w:ascii="Times New Roman" w:eastAsia="Times New Roman" w:hAnsi="Times New Roman" w:cs="Times New Roman"/>
          <w:i/>
          <w:iCs/>
        </w:rPr>
        <w:t>IEEE International Conference on Cloud Engineering</w:t>
      </w:r>
      <w:r>
        <w:rPr>
          <w:rFonts w:ascii="Times New Roman" w:eastAsia="Times New Roman" w:hAnsi="Times New Roman" w:cs="Times New Roman"/>
        </w:rPr>
        <w:t>, 2015. [Online]. Availabl</w:t>
      </w:r>
      <w:r>
        <w:rPr>
          <w:rFonts w:ascii="Times New Roman" w:eastAsia="Times New Roman" w:hAnsi="Times New Roman" w:cs="Times New Roman"/>
        </w:rPr>
        <w:t>e:</w:t>
      </w:r>
      <w:hyperlink r:id="rId21">
        <w:r>
          <w:rPr>
            <w:rFonts w:ascii="Times New Roman" w:eastAsia="Times New Roman" w:hAnsi="Times New Roman" w:cs="Times New Roman"/>
          </w:rPr>
          <w:t xml:space="preserve"> </w:t>
        </w:r>
      </w:hyperlink>
      <w:hyperlink r:id="rId22">
        <w:r>
          <w:rPr>
            <w:rFonts w:ascii="Times New Roman" w:eastAsia="Times New Roman" w:hAnsi="Times New Roman" w:cs="Times New Roman"/>
            <w:color w:val="1155CC"/>
            <w:u w:val="single"/>
          </w:rPr>
          <w:t>https://ieeexplore.ieee.org/document/7123014</w:t>
        </w:r>
      </w:hyperlink>
      <w:r>
        <w:rPr>
          <w:rFonts w:ascii="Times New Roman" w:eastAsia="Times New Roman" w:hAnsi="Times New Roman" w:cs="Times New Roman"/>
        </w:rPr>
        <w:t>. Accessed: April</w:t>
      </w:r>
      <w:r>
        <w:rPr>
          <w:rFonts w:ascii="Times New Roman" w:eastAsia="Times New Roman" w:hAnsi="Times New Roman" w:cs="Times New Roman"/>
        </w:rPr>
        <w:t xml:space="preserve"> 11, 2026.</w:t>
      </w:r>
    </w:p>
    <w:p w14:paraId="000000F3"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 xml:space="preserve">[5] C. Pahl, “Containerization and the PaaS Cloud,” </w:t>
      </w:r>
      <w:r>
        <w:rPr>
          <w:rFonts w:ascii="Times New Roman" w:eastAsia="Times New Roman" w:hAnsi="Times New Roman" w:cs="Times New Roman"/>
          <w:i/>
          <w:iCs/>
        </w:rPr>
        <w:t>IEEE Cloud Computing</w:t>
      </w:r>
      <w:r>
        <w:rPr>
          <w:rFonts w:ascii="Times New Roman" w:eastAsia="Times New Roman" w:hAnsi="Times New Roman" w:cs="Times New Roman"/>
        </w:rPr>
        <w:t>, vol. 2, no. 3, pp. 24–31, 2015. [Online]. Available:</w:t>
      </w:r>
      <w:hyperlink r:id="rId23">
        <w:r>
          <w:rPr>
            <w:rFonts w:ascii="Times New Roman" w:eastAsia="Times New Roman" w:hAnsi="Times New Roman" w:cs="Times New Roman"/>
          </w:rPr>
          <w:t xml:space="preserve"> </w:t>
        </w:r>
      </w:hyperlink>
      <w:hyperlink r:id="rId24">
        <w:r>
          <w:rPr>
            <w:rFonts w:ascii="Times New Roman" w:eastAsia="Times New Roman" w:hAnsi="Times New Roman" w:cs="Times New Roman"/>
            <w:color w:val="1155CC"/>
            <w:u w:val="single"/>
          </w:rPr>
          <w:t>https://ieeexplore.ieee.org/document/7131390</w:t>
        </w:r>
      </w:hyperlink>
      <w:r>
        <w:rPr>
          <w:rFonts w:ascii="Times New Roman" w:eastAsia="Times New Roman" w:hAnsi="Times New Roman" w:cs="Times New Roman"/>
        </w:rPr>
        <w:t>. Accessed: April 11,</w:t>
      </w:r>
      <w:r>
        <w:rPr>
          <w:rFonts w:ascii="Times New Roman" w:eastAsia="Times New Roman" w:hAnsi="Times New Roman" w:cs="Times New Roman"/>
        </w:rPr>
        <w:t xml:space="preserve"> 2026.</w:t>
      </w:r>
    </w:p>
    <w:p w14:paraId="000000F4"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 xml:space="preserve">[6] B. Burns, J. Beda, and K. Hightower, </w:t>
      </w:r>
      <w:r>
        <w:rPr>
          <w:rFonts w:ascii="Times New Roman" w:eastAsia="Times New Roman" w:hAnsi="Times New Roman" w:cs="Times New Roman"/>
          <w:i/>
          <w:iCs/>
        </w:rPr>
        <w:t>Kubernetes: Up and Running</w:t>
      </w:r>
      <w:r>
        <w:rPr>
          <w:rFonts w:ascii="Times New Roman" w:eastAsia="Times New Roman" w:hAnsi="Times New Roman" w:cs="Times New Roman"/>
        </w:rPr>
        <w:t>, 3rd ed. Sebastopol, CA: O’Reilly Media, 2022.</w:t>
      </w:r>
    </w:p>
    <w:p w14:paraId="000000F5"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[7] Docker Inc., “Docker overview,” Docker Engine documentation, 2025. [Online]. Available:</w:t>
      </w:r>
      <w:hyperlink r:id="rId25">
        <w:r>
          <w:rPr>
            <w:rFonts w:ascii="Times New Roman" w:eastAsia="Times New Roman" w:hAnsi="Times New Roman" w:cs="Times New Roman"/>
          </w:rPr>
          <w:t xml:space="preserve"> </w:t>
        </w:r>
      </w:hyperlink>
      <w:hyperlink r:id="rId26">
        <w:r>
          <w:rPr>
            <w:rFonts w:ascii="Times New Roman" w:eastAsia="Times New Roman" w:hAnsi="Times New Roman" w:cs="Times New Roman"/>
            <w:color w:val="1155CC"/>
            <w:u w:val="single"/>
          </w:rPr>
          <w:t>https://docs.docker.com/get-started/docker-overview/</w:t>
        </w:r>
      </w:hyperlink>
      <w:r>
        <w:rPr>
          <w:rFonts w:ascii="Times New Roman" w:eastAsia="Times New Roman" w:hAnsi="Times New Roman" w:cs="Times New Roman"/>
        </w:rPr>
        <w:t>. Accessed: April 11, 2026.</w:t>
      </w:r>
    </w:p>
    <w:p w14:paraId="000000F6"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[8] Docker Inc., “Persisting container data with Docker volumes,” Docker d</w:t>
      </w:r>
      <w:r>
        <w:rPr>
          <w:rFonts w:ascii="Times New Roman" w:eastAsia="Times New Roman" w:hAnsi="Times New Roman" w:cs="Times New Roman"/>
        </w:rPr>
        <w:t>ocumentation, 2025. [Online]. Available:</w:t>
      </w:r>
      <w:hyperlink r:id="rId27">
        <w:r>
          <w:rPr>
            <w:rFonts w:ascii="Times New Roman" w:eastAsia="Times New Roman" w:hAnsi="Times New Roman" w:cs="Times New Roman"/>
          </w:rPr>
          <w:t xml:space="preserve"> </w:t>
        </w:r>
      </w:hyperlink>
      <w:hyperlink r:id="rId28">
        <w:r>
          <w:rPr>
            <w:rFonts w:ascii="Times New Roman" w:eastAsia="Times New Roman" w:hAnsi="Times New Roman" w:cs="Times New Roman"/>
            <w:color w:val="1155CC"/>
            <w:u w:val="single"/>
          </w:rPr>
          <w:t>https://docs.docker.com/engine/storage/volumes/</w:t>
        </w:r>
      </w:hyperlink>
      <w:r>
        <w:rPr>
          <w:rFonts w:ascii="Times New Roman" w:eastAsia="Times New Roman" w:hAnsi="Times New Roman" w:cs="Times New Roman"/>
        </w:rPr>
        <w:t>. Accessed: April 11, 2026.</w:t>
      </w:r>
    </w:p>
    <w:p w14:paraId="000000F7"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[9] Do</w:t>
      </w:r>
      <w:r>
        <w:rPr>
          <w:rFonts w:ascii="Times New Roman" w:eastAsia="Times New Roman" w:hAnsi="Times New Roman" w:cs="Times New Roman"/>
        </w:rPr>
        <w:t>cker Inc., “Networking overview,” Docker documentation, 2025. [Online]. Available:</w:t>
      </w:r>
      <w:hyperlink r:id="rId29">
        <w:r>
          <w:rPr>
            <w:rFonts w:ascii="Times New Roman" w:eastAsia="Times New Roman" w:hAnsi="Times New Roman" w:cs="Times New Roman"/>
          </w:rPr>
          <w:t xml:space="preserve"> </w:t>
        </w:r>
      </w:hyperlink>
      <w:hyperlink r:id="rId30">
        <w:r>
          <w:rPr>
            <w:rFonts w:ascii="Times New Roman" w:eastAsia="Times New Roman" w:hAnsi="Times New Roman" w:cs="Times New Roman"/>
            <w:color w:val="1155CC"/>
            <w:u w:val="single"/>
          </w:rPr>
          <w:t>https://docs.docker.com/engine/network/</w:t>
        </w:r>
      </w:hyperlink>
      <w:r>
        <w:rPr>
          <w:rFonts w:ascii="Times New Roman" w:eastAsia="Times New Roman" w:hAnsi="Times New Roman" w:cs="Times New Roman"/>
        </w:rPr>
        <w:t>. Accessed: April 11, 2026.</w:t>
      </w:r>
    </w:p>
    <w:p w14:paraId="000000F8"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[10] Docker Inc., “docker build, tag and push,” Docker documentation, 2025. [Online]. Available:</w:t>
      </w:r>
      <w:hyperlink r:id="rId31">
        <w:r>
          <w:rPr>
            <w:rFonts w:ascii="Times New Roman" w:eastAsia="Times New Roman" w:hAnsi="Times New Roman" w:cs="Times New Roman"/>
          </w:rPr>
          <w:t xml:space="preserve"> </w:t>
        </w:r>
      </w:hyperlink>
      <w:hyperlink r:id="rId32">
        <w:r>
          <w:rPr>
            <w:rFonts w:ascii="Times New Roman" w:eastAsia="Times New Roman" w:hAnsi="Times New Roman" w:cs="Times New Roman"/>
            <w:color w:val="1155CC"/>
            <w:u w:val="single"/>
          </w:rPr>
          <w:t>https://docs.docker.com/get-started/docker-concepts/building-images/build-tag-and-publish-an-image/</w:t>
        </w:r>
      </w:hyperlink>
      <w:r>
        <w:rPr>
          <w:rFonts w:ascii="Times New Roman" w:eastAsia="Times New Roman" w:hAnsi="Times New Roman" w:cs="Times New Roman"/>
        </w:rPr>
        <w:t>. Accessed: April 11, 2026.</w:t>
      </w:r>
    </w:p>
    <w:p w14:paraId="000000F9"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[11] NIST, “Applicatio</w:t>
      </w:r>
      <w:r>
        <w:rPr>
          <w:rFonts w:ascii="Times New Roman" w:eastAsia="Times New Roman" w:hAnsi="Times New Roman" w:cs="Times New Roman"/>
        </w:rPr>
        <w:t>n Container Security Guide,” NIST Special Publication 800-190, 2017. [Online]. Available:</w:t>
      </w:r>
      <w:hyperlink r:id="rId33">
        <w:r>
          <w:rPr>
            <w:rFonts w:ascii="Times New Roman" w:eastAsia="Times New Roman" w:hAnsi="Times New Roman" w:cs="Times New Roman"/>
          </w:rPr>
          <w:t xml:space="preserve"> </w:t>
        </w:r>
      </w:hyperlink>
      <w:hyperlink r:id="rId34">
        <w:r>
          <w:rPr>
            <w:rFonts w:ascii="Times New Roman" w:eastAsia="Times New Roman" w:hAnsi="Times New Roman" w:cs="Times New Roman"/>
            <w:color w:val="1155CC"/>
            <w:u w:val="single"/>
          </w:rPr>
          <w:t>https://nvlpubs.nist.gov/nistpubs/SpecialPublications/NIST.SP.800-190.pdf</w:t>
        </w:r>
      </w:hyperlink>
      <w:r>
        <w:rPr>
          <w:rFonts w:ascii="Times New Roman" w:eastAsia="Times New Roman" w:hAnsi="Times New Roman" w:cs="Times New Roman"/>
        </w:rPr>
        <w:t>. Accessed: April 11, 2026.</w:t>
      </w:r>
    </w:p>
    <w:p w14:paraId="000000FA"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[12] Amazon Web Services, “AWS Lambda Developer Guide,” 2025. [Online]. Available:</w:t>
      </w:r>
      <w:hyperlink r:id="rId35">
        <w:r>
          <w:rPr>
            <w:rFonts w:ascii="Times New Roman" w:eastAsia="Times New Roman" w:hAnsi="Times New Roman" w:cs="Times New Roman"/>
          </w:rPr>
          <w:t xml:space="preserve"> </w:t>
        </w:r>
      </w:hyperlink>
      <w:hyperlink r:id="rId36">
        <w:r>
          <w:rPr>
            <w:rFonts w:ascii="Times New Roman" w:eastAsia="Times New Roman" w:hAnsi="Times New Roman" w:cs="Times New Roman"/>
            <w:color w:val="1155CC"/>
            <w:u w:val="single"/>
          </w:rPr>
          <w:t>https://docs.aws.amazon.com/lambda/latest/dg/welcome.html</w:t>
        </w:r>
      </w:hyperlink>
      <w:r>
        <w:rPr>
          <w:rFonts w:ascii="Times New Roman" w:eastAsia="Times New Roman" w:hAnsi="Times New Roman" w:cs="Times New Roman"/>
        </w:rPr>
        <w:t>. Accessed: April 11, 2026.</w:t>
      </w:r>
    </w:p>
    <w:p w14:paraId="000000FB"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[13] Microsoft, “Azure Functions documentation,” 2025. [Online]. Avai</w:t>
      </w:r>
      <w:r>
        <w:rPr>
          <w:rFonts w:ascii="Times New Roman" w:eastAsia="Times New Roman" w:hAnsi="Times New Roman" w:cs="Times New Roman"/>
        </w:rPr>
        <w:t>lable:</w:t>
      </w:r>
      <w:hyperlink r:id="rId37">
        <w:r>
          <w:rPr>
            <w:rFonts w:ascii="Times New Roman" w:eastAsia="Times New Roman" w:hAnsi="Times New Roman" w:cs="Times New Roman"/>
          </w:rPr>
          <w:t xml:space="preserve"> </w:t>
        </w:r>
      </w:hyperlink>
      <w:hyperlink r:id="rId38">
        <w:r>
          <w:rPr>
            <w:rFonts w:ascii="Times New Roman" w:eastAsia="Times New Roman" w:hAnsi="Times New Roman" w:cs="Times New Roman"/>
            <w:color w:val="1155CC"/>
            <w:u w:val="single"/>
          </w:rPr>
          <w:t>https://learn.microsoft.com/en-us/azure/azure-functions/</w:t>
        </w:r>
      </w:hyperlink>
      <w:r>
        <w:rPr>
          <w:rFonts w:ascii="Times New Roman" w:eastAsia="Times New Roman" w:hAnsi="Times New Roman" w:cs="Times New Roman"/>
        </w:rPr>
        <w:t>. Accessed: April 11, 2026.</w:t>
      </w:r>
    </w:p>
    <w:p w14:paraId="000000FC"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[14] Microsof</w:t>
      </w:r>
      <w:r>
        <w:rPr>
          <w:rFonts w:ascii="Times New Roman" w:eastAsia="Times New Roman" w:hAnsi="Times New Roman" w:cs="Times New Roman"/>
        </w:rPr>
        <w:t>t, “Azure Application Gateway documentation,” 2025. [Online]. Available:</w:t>
      </w:r>
      <w:hyperlink r:id="rId39">
        <w:r>
          <w:rPr>
            <w:rFonts w:ascii="Times New Roman" w:eastAsia="Times New Roman" w:hAnsi="Times New Roman" w:cs="Times New Roman"/>
          </w:rPr>
          <w:t xml:space="preserve"> </w:t>
        </w:r>
      </w:hyperlink>
      <w:hyperlink r:id="rId40">
        <w:r>
          <w:rPr>
            <w:rFonts w:ascii="Times New Roman" w:eastAsia="Times New Roman" w:hAnsi="Times New Roman" w:cs="Times New Roman"/>
            <w:color w:val="1155CC"/>
            <w:u w:val="single"/>
          </w:rPr>
          <w:t>https://learn.microsoft</w:t>
        </w:r>
        <w:r>
          <w:rPr>
            <w:rFonts w:ascii="Times New Roman" w:eastAsia="Times New Roman" w:hAnsi="Times New Roman" w:cs="Times New Roman"/>
            <w:color w:val="1155CC"/>
            <w:u w:val="single"/>
          </w:rPr>
          <w:t>.com/en-us/azure/application-gateway/</w:t>
        </w:r>
      </w:hyperlink>
      <w:r>
        <w:rPr>
          <w:rFonts w:ascii="Times New Roman" w:eastAsia="Times New Roman" w:hAnsi="Times New Roman" w:cs="Times New Roman"/>
        </w:rPr>
        <w:t>. Accessed: April 11, 2026.</w:t>
      </w:r>
    </w:p>
    <w:p w14:paraId="000000FD"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[15] Microsoft, “Azure Load Balancer documentation,” 2025. [Online]. Available:</w:t>
      </w:r>
      <w:hyperlink r:id="rId41">
        <w:r>
          <w:rPr>
            <w:rFonts w:ascii="Times New Roman" w:eastAsia="Times New Roman" w:hAnsi="Times New Roman" w:cs="Times New Roman"/>
          </w:rPr>
          <w:t xml:space="preserve"> </w:t>
        </w:r>
      </w:hyperlink>
      <w:hyperlink r:id="rId42">
        <w:r>
          <w:rPr>
            <w:rFonts w:ascii="Times New Roman" w:eastAsia="Times New Roman" w:hAnsi="Times New Roman" w:cs="Times New Roman"/>
            <w:color w:val="1155CC"/>
            <w:u w:val="single"/>
          </w:rPr>
          <w:t>https://learn.microsoft.com/en-us/azure/load-balancer/</w:t>
        </w:r>
      </w:hyperlink>
      <w:r>
        <w:rPr>
          <w:rFonts w:ascii="Times New Roman" w:eastAsia="Times New Roman" w:hAnsi="Times New Roman" w:cs="Times New Roman"/>
        </w:rPr>
        <w:t>. Accessed: April 11, 2026.</w:t>
      </w:r>
    </w:p>
    <w:p w14:paraId="000000FE"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[16] Microsoft, “Azure Kubernetes Service (AKS) documentation,” 2025. [Online]. Available:</w:t>
      </w:r>
      <w:hyperlink r:id="rId43">
        <w:r>
          <w:rPr>
            <w:rFonts w:ascii="Times New Roman" w:eastAsia="Times New Roman" w:hAnsi="Times New Roman" w:cs="Times New Roman"/>
          </w:rPr>
          <w:t xml:space="preserve"> </w:t>
        </w:r>
      </w:hyperlink>
      <w:hyperlink r:id="rId44">
        <w:r>
          <w:rPr>
            <w:rFonts w:ascii="Times New Roman" w:eastAsia="Times New Roman" w:hAnsi="Times New Roman" w:cs="Times New Roman"/>
            <w:color w:val="1155CC"/>
            <w:u w:val="single"/>
          </w:rPr>
          <w:t>https://learn.microsoft.com/en-us/azure/aks/</w:t>
        </w:r>
      </w:hyperlink>
      <w:r>
        <w:rPr>
          <w:rFonts w:ascii="Times New Roman" w:eastAsia="Times New Roman" w:hAnsi="Times New Roman" w:cs="Times New Roman"/>
        </w:rPr>
        <w:t>. Accessed: April 11, 2026.</w:t>
      </w:r>
    </w:p>
    <w:p w14:paraId="000000FF" w14:textId="77777777" w:rsidR="002F1325" w:rsidRDefault="00EA6B03">
      <w:pPr>
        <w:spacing w:before="240" w:after="240"/>
        <w:ind w:left="316" w:hanging="316"/>
        <w:rPr>
          <w:rFonts w:ascii="Times New Roman" w:eastAsia="Times New Roman" w:hAnsi="Times New Roman" w:cs="Times New Roman"/>
        </w:rPr>
      </w:pPr>
      <w:r>
        <w:rPr>
          <w:rFonts w:ascii="Times New Roman" w:eastAsia="Times New Roman" w:hAnsi="Times New Roman" w:cs="Times New Roman"/>
        </w:rPr>
        <w:t>[17] Microsoft, “Scale applications in Azure Kubernetes Service (AKS),” 2025. [Online]. Available:</w:t>
      </w:r>
      <w:hyperlink r:id="rId45">
        <w:r>
          <w:rPr>
            <w:rFonts w:ascii="Times New Roman" w:eastAsia="Times New Roman" w:hAnsi="Times New Roman" w:cs="Times New Roman"/>
          </w:rPr>
          <w:t xml:space="preserve"> </w:t>
        </w:r>
      </w:hyperlink>
      <w:hyperlink r:id="rId46">
        <w:r>
          <w:rPr>
            <w:rFonts w:ascii="Times New Roman" w:eastAsia="Times New Roman" w:hAnsi="Times New Roman" w:cs="Times New Roman"/>
            <w:color w:val="1155CC"/>
            <w:u w:val="single"/>
          </w:rPr>
          <w:t>https://learn.microsoft.com/en-us/azure/aks/tutorial-kubernetes-scale</w:t>
        </w:r>
      </w:hyperlink>
      <w:r>
        <w:rPr>
          <w:rFonts w:ascii="Times New Roman" w:eastAsia="Times New Roman" w:hAnsi="Times New Roman" w:cs="Times New Roman"/>
        </w:rPr>
        <w:t>. Accessed: April 11, 2026.</w:t>
      </w:r>
    </w:p>
    <w:p w14:paraId="00000100" w14:textId="77777777" w:rsidR="002F1325" w:rsidRDefault="00EA6B03">
      <w:pPr>
        <w:pBdr>
          <w:top w:val="nil"/>
          <w:left w:val="nil"/>
          <w:bottom w:val="nil"/>
          <w:right w:val="nil"/>
          <w:between w:val="nil"/>
        </w:pBdr>
        <w:rPr>
          <w:rFonts w:ascii="Times New Roman" w:eastAsia="Times New Roman" w:hAnsi="Times New Roman" w:cs="Times New Roman"/>
          <w:color w:val="000000"/>
        </w:rPr>
      </w:pPr>
      <w:r>
        <w:br w:type="page"/>
      </w:r>
    </w:p>
    <w:p w14:paraId="00000101" w14:textId="77777777" w:rsidR="002F1325" w:rsidRDefault="00EA6B03">
      <w:pPr>
        <w:pStyle w:val="Heading1"/>
        <w:rPr>
          <w:rFonts w:ascii="Times New Roman" w:eastAsia="Times New Roman" w:hAnsi="Times New Roman" w:cs="Times New Roman"/>
          <w:sz w:val="32"/>
          <w:szCs w:val="32"/>
        </w:rPr>
      </w:pPr>
      <w:bookmarkStart w:id="19" w:name="_heading=h.mrle1gjqfsgg" w:colFirst="0" w:colLast="0"/>
      <w:bookmarkEnd w:id="19"/>
      <w:r>
        <w:rPr>
          <w:rFonts w:ascii="Times New Roman" w:eastAsia="Times New Roman" w:hAnsi="Times New Roman" w:cs="Times New Roman"/>
          <w:sz w:val="32"/>
          <w:szCs w:val="32"/>
        </w:rPr>
        <w:t>Appendix A</w:t>
      </w:r>
    </w:p>
    <w:p w14:paraId="00000102" w14:textId="77777777" w:rsidR="002F1325" w:rsidRDefault="00EA6B03">
      <w:pPr>
        <w:rPr>
          <w:rFonts w:ascii="Times New Roman" w:eastAsia="Times New Roman" w:hAnsi="Times New Roman" w:cs="Times New Roman"/>
        </w:rPr>
      </w:pPr>
      <w:r>
        <w:rPr>
          <w:rFonts w:ascii="Times New Roman" w:eastAsia="Times New Roman" w:hAnsi="Times New Roman" w:cs="Times New Roman"/>
        </w:rPr>
        <w:t>These screenshots are included as supporting appendix evide</w:t>
      </w:r>
      <w:r>
        <w:rPr>
          <w:rFonts w:ascii="Times New Roman" w:eastAsia="Times New Roman" w:hAnsi="Times New Roman" w:cs="Times New Roman"/>
        </w:rPr>
        <w:t>nce for the Docker practical workflow. They are kept separate from the main discussion to avoid interrupting the report flow while still preserving the full practical record.</w:t>
      </w:r>
    </w:p>
    <w:p w14:paraId="00000103" w14:textId="77777777" w:rsidR="002F1325" w:rsidRDefault="00EA6B03">
      <w:pPr>
        <w:spacing w:before="120" w:after="160"/>
        <w:rPr>
          <w:rFonts w:ascii="Times New Roman" w:eastAsia="Times New Roman" w:hAnsi="Times New Roman" w:cs="Times New Roman"/>
        </w:rPr>
      </w:pPr>
      <w:r>
        <w:rPr>
          <w:rFonts w:ascii="Times New Roman" w:eastAsia="Times New Roman" w:hAnsi="Times New Roman" w:cs="Times New Roman"/>
          <w:b/>
          <w:bCs/>
          <w:color w:val="1F4E79"/>
          <w:sz w:val="26"/>
          <w:szCs w:val="26"/>
        </w:rPr>
        <w:t xml:space="preserve">A.1 Supplementary screenshot </w:t>
      </w:r>
      <w:r>
        <w:rPr>
          <w:rFonts w:ascii="Times New Roman" w:eastAsia="Times New Roman" w:hAnsi="Times New Roman" w:cs="Times New Roman"/>
          <w:noProof/>
        </w:rPr>
        <w:drawing>
          <wp:inline distT="0" distB="0" distL="114300" distR="114300">
            <wp:extent cx="5976620" cy="2873136"/>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7"/>
                    <a:srcRect/>
                    <a:stretch>
                      <a:fillRect/>
                    </a:stretch>
                  </pic:blipFill>
                  <pic:spPr>
                    <a:xfrm>
                      <a:off x="0" y="0"/>
                      <a:ext cx="5976620" cy="2873136"/>
                    </a:xfrm>
                    <a:prstGeom prst="rect">
                      <a:avLst/>
                    </a:prstGeom>
                    <a:ln/>
                  </pic:spPr>
                </pic:pic>
              </a:graphicData>
            </a:graphic>
          </wp:inline>
        </w:drawing>
      </w:r>
    </w:p>
    <w:p w14:paraId="00000104" w14:textId="77777777" w:rsidR="002F1325" w:rsidRDefault="00EA6B03">
      <w:pPr>
        <w:spacing w:after="240"/>
        <w:jc w:val="center"/>
        <w:rPr>
          <w:rFonts w:ascii="Times New Roman" w:eastAsia="Times New Roman" w:hAnsi="Times New Roman" w:cs="Times New Roman"/>
        </w:rPr>
      </w:pPr>
      <w:r>
        <w:rPr>
          <w:rFonts w:ascii="Times New Roman" w:eastAsia="Times New Roman" w:hAnsi="Times New Roman" w:cs="Times New Roman"/>
          <w:i/>
          <w:iCs/>
          <w:sz w:val="21"/>
          <w:szCs w:val="21"/>
        </w:rPr>
        <w:t>Appendix Figure A1. Named Docker volume 'keepstore</w:t>
      </w:r>
      <w:r>
        <w:rPr>
          <w:rFonts w:ascii="Times New Roman" w:eastAsia="Times New Roman" w:hAnsi="Times New Roman" w:cs="Times New Roman"/>
          <w:i/>
          <w:iCs/>
          <w:sz w:val="21"/>
          <w:szCs w:val="21"/>
        </w:rPr>
        <w:t>3' created, listed, and attached to the running container 'persistbox3', with the container state verified through docker ps.</w:t>
      </w:r>
    </w:p>
    <w:p w14:paraId="00000105" w14:textId="77777777" w:rsidR="002F1325" w:rsidRDefault="00EA6B03">
      <w:pPr>
        <w:spacing w:before="120" w:after="160"/>
        <w:rPr>
          <w:rFonts w:ascii="Times New Roman" w:eastAsia="Times New Roman" w:hAnsi="Times New Roman" w:cs="Times New Roman"/>
        </w:rPr>
      </w:pPr>
      <w:r>
        <w:rPr>
          <w:rFonts w:ascii="Times New Roman" w:eastAsia="Times New Roman" w:hAnsi="Times New Roman" w:cs="Times New Roman"/>
          <w:b/>
          <w:bCs/>
          <w:color w:val="1F4E79"/>
          <w:sz w:val="26"/>
          <w:szCs w:val="26"/>
        </w:rPr>
        <w:t xml:space="preserve">A.2 Supplementary screenshot </w:t>
      </w:r>
      <w:r>
        <w:rPr>
          <w:rFonts w:ascii="Times New Roman" w:eastAsia="Times New Roman" w:hAnsi="Times New Roman" w:cs="Times New Roman"/>
          <w:noProof/>
        </w:rPr>
        <w:drawing>
          <wp:inline distT="0" distB="0" distL="114300" distR="114300">
            <wp:extent cx="5976620" cy="2873136"/>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8"/>
                    <a:srcRect/>
                    <a:stretch>
                      <a:fillRect/>
                    </a:stretch>
                  </pic:blipFill>
                  <pic:spPr>
                    <a:xfrm>
                      <a:off x="0" y="0"/>
                      <a:ext cx="5976620" cy="2873136"/>
                    </a:xfrm>
                    <a:prstGeom prst="rect">
                      <a:avLst/>
                    </a:prstGeom>
                    <a:ln/>
                  </pic:spPr>
                </pic:pic>
              </a:graphicData>
            </a:graphic>
          </wp:inline>
        </w:drawing>
      </w:r>
    </w:p>
    <w:p w14:paraId="00000106" w14:textId="77777777" w:rsidR="002F1325" w:rsidRDefault="00EA6B03">
      <w:pPr>
        <w:spacing w:after="240"/>
        <w:jc w:val="center"/>
        <w:rPr>
          <w:rFonts w:ascii="Times New Roman" w:eastAsia="Times New Roman" w:hAnsi="Times New Roman" w:cs="Times New Roman"/>
        </w:rPr>
      </w:pPr>
      <w:r>
        <w:rPr>
          <w:rFonts w:ascii="Times New Roman" w:eastAsia="Times New Roman" w:hAnsi="Times New Roman" w:cs="Times New Roman"/>
          <w:i/>
          <w:iCs/>
          <w:sz w:val="21"/>
          <w:szCs w:val="21"/>
        </w:rPr>
        <w:t>Appendix Figure A2. Intermediate networking step showing command correction during connection of th</w:t>
      </w:r>
      <w:r>
        <w:rPr>
          <w:rFonts w:ascii="Times New Roman" w:eastAsia="Times New Roman" w:hAnsi="Times New Roman" w:cs="Times New Roman"/>
          <w:i/>
          <w:iCs/>
          <w:sz w:val="21"/>
          <w:szCs w:val="21"/>
        </w:rPr>
        <w:t>e 'persistbox3' container to the custom bridge network 'routezone4'.</w:t>
      </w:r>
    </w:p>
    <w:p w14:paraId="00000107" w14:textId="77777777" w:rsidR="002F1325" w:rsidRDefault="00EA6B03">
      <w:pPr>
        <w:spacing w:before="120" w:after="160"/>
        <w:rPr>
          <w:rFonts w:ascii="Times New Roman" w:eastAsia="Times New Roman" w:hAnsi="Times New Roman" w:cs="Times New Roman"/>
        </w:rPr>
      </w:pPr>
      <w:r>
        <w:rPr>
          <w:rFonts w:ascii="Times New Roman" w:eastAsia="Times New Roman" w:hAnsi="Times New Roman" w:cs="Times New Roman"/>
          <w:b/>
          <w:bCs/>
          <w:color w:val="1F4E79"/>
          <w:sz w:val="26"/>
          <w:szCs w:val="26"/>
        </w:rPr>
        <w:t>A.3 Supplementary screenshot</w:t>
      </w:r>
      <w:r>
        <w:rPr>
          <w:rFonts w:ascii="Times New Roman" w:eastAsia="Times New Roman" w:hAnsi="Times New Roman" w:cs="Times New Roman"/>
          <w:noProof/>
        </w:rPr>
        <w:drawing>
          <wp:inline distT="0" distB="0" distL="114300" distR="114300">
            <wp:extent cx="5976620" cy="2873136"/>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9"/>
                    <a:srcRect/>
                    <a:stretch>
                      <a:fillRect/>
                    </a:stretch>
                  </pic:blipFill>
                  <pic:spPr>
                    <a:xfrm>
                      <a:off x="0" y="0"/>
                      <a:ext cx="5976620" cy="2873136"/>
                    </a:xfrm>
                    <a:prstGeom prst="rect">
                      <a:avLst/>
                    </a:prstGeom>
                    <a:ln/>
                  </pic:spPr>
                </pic:pic>
              </a:graphicData>
            </a:graphic>
          </wp:inline>
        </w:drawing>
      </w:r>
    </w:p>
    <w:p w14:paraId="00000108" w14:textId="77777777" w:rsidR="002F1325" w:rsidRDefault="00EA6B03">
      <w:pPr>
        <w:spacing w:after="240"/>
        <w:jc w:val="center"/>
        <w:rPr>
          <w:rFonts w:ascii="Times New Roman" w:eastAsia="Times New Roman" w:hAnsi="Times New Roman" w:cs="Times New Roman"/>
        </w:rPr>
      </w:pPr>
      <w:r>
        <w:rPr>
          <w:rFonts w:ascii="Times New Roman" w:eastAsia="Times New Roman" w:hAnsi="Times New Roman" w:cs="Times New Roman"/>
          <w:i/>
          <w:iCs/>
          <w:sz w:val="21"/>
          <w:szCs w:val="21"/>
        </w:rPr>
        <w:t>Appendix Figure A3. Additional container 'routebox4' launched directly on the custom network 'routezone4', followed by container-state verification using docker ps.</w:t>
      </w:r>
    </w:p>
    <w:p w14:paraId="00000109" w14:textId="77777777" w:rsidR="002F1325" w:rsidRDefault="00EA6B03">
      <w:pPr>
        <w:spacing w:before="120" w:after="160"/>
      </w:pPr>
      <w:r>
        <w:rPr>
          <w:rFonts w:ascii="Times New Roman" w:eastAsia="Times New Roman" w:hAnsi="Times New Roman" w:cs="Times New Roman"/>
          <w:b/>
          <w:bCs/>
          <w:color w:val="1F4E79"/>
          <w:sz w:val="26"/>
          <w:szCs w:val="26"/>
        </w:rPr>
        <w:t xml:space="preserve">A.4 Supplementary screenshot </w:t>
      </w:r>
      <w:r>
        <w:rPr>
          <w:rFonts w:ascii="Times New Roman" w:eastAsia="Times New Roman" w:hAnsi="Times New Roman" w:cs="Times New Roman"/>
          <w:b/>
          <w:bCs/>
          <w:i/>
          <w:iCs/>
          <w:color w:val="1F4E79"/>
          <w:sz w:val="26"/>
          <w:szCs w:val="26"/>
        </w:rPr>
        <w:t>(see Appendix Figure A4)</w:t>
      </w:r>
    </w:p>
    <w:p w14:paraId="0000010A" w14:textId="77777777" w:rsidR="002F1325" w:rsidRDefault="00EA6B03">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114300" distR="114300">
            <wp:extent cx="5976620" cy="287313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9"/>
                    <a:srcRect/>
                    <a:stretch>
                      <a:fillRect/>
                    </a:stretch>
                  </pic:blipFill>
                  <pic:spPr>
                    <a:xfrm>
                      <a:off x="0" y="0"/>
                      <a:ext cx="5976620" cy="2873136"/>
                    </a:xfrm>
                    <a:prstGeom prst="rect">
                      <a:avLst/>
                    </a:prstGeom>
                    <a:ln/>
                  </pic:spPr>
                </pic:pic>
              </a:graphicData>
            </a:graphic>
          </wp:inline>
        </w:drawing>
      </w:r>
    </w:p>
    <w:p w14:paraId="0000010B" w14:textId="77777777" w:rsidR="002F1325" w:rsidRDefault="00EA6B03">
      <w:pPr>
        <w:spacing w:after="240"/>
        <w:jc w:val="center"/>
        <w:rPr>
          <w:rFonts w:ascii="Times New Roman" w:eastAsia="Times New Roman" w:hAnsi="Times New Roman" w:cs="Times New Roman"/>
        </w:rPr>
      </w:pPr>
      <w:r>
        <w:rPr>
          <w:rFonts w:ascii="Times New Roman" w:eastAsia="Times New Roman" w:hAnsi="Times New Roman" w:cs="Times New Roman"/>
          <w:i/>
          <w:iCs/>
          <w:sz w:val="21"/>
          <w:szCs w:val="21"/>
        </w:rPr>
        <w:t>Appendix Figure A4. Follow-up verification capture confirming that both 'routebox4' and 'persistbox3' remained active after the network-based deployment step.</w:t>
      </w:r>
    </w:p>
    <w:p w14:paraId="0000010C" w14:textId="77777777" w:rsidR="002F1325" w:rsidRDefault="002F1325">
      <w:pPr>
        <w:spacing w:after="200"/>
        <w:jc w:val="center"/>
        <w:rPr>
          <w:rFonts w:ascii="Times New Roman" w:eastAsia="Times New Roman" w:hAnsi="Times New Roman" w:cs="Times New Roman"/>
        </w:rPr>
      </w:pPr>
    </w:p>
    <w:p w14:paraId="0000010D" w14:textId="77777777" w:rsidR="002F1325" w:rsidRDefault="002F1325">
      <w:pPr>
        <w:pBdr>
          <w:top w:val="nil"/>
          <w:left w:val="nil"/>
          <w:bottom w:val="nil"/>
          <w:right w:val="nil"/>
          <w:between w:val="nil"/>
        </w:pBdr>
        <w:rPr>
          <w:rFonts w:ascii="Times New Roman" w:eastAsia="Times New Roman" w:hAnsi="Times New Roman" w:cs="Times New Roman"/>
        </w:rPr>
      </w:pPr>
    </w:p>
    <w:sectPr w:rsidR="002F1325">
      <w:headerReference w:type="default" r:id="rId50"/>
      <w:footerReference w:type="default" r:id="rId51"/>
      <w:pgSz w:w="11909" w:h="16834"/>
      <w:pgMar w:top="1152" w:right="1152" w:bottom="1008" w:left="1296" w:header="504" w:footer="50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4741A" w14:textId="77777777" w:rsidR="00EA6B03" w:rsidRDefault="00EA6B03">
      <w:pPr>
        <w:spacing w:after="0" w:line="240" w:lineRule="auto"/>
      </w:pPr>
      <w:r>
        <w:separator/>
      </w:r>
    </w:p>
  </w:endnote>
  <w:endnote w:type="continuationSeparator" w:id="0">
    <w:p w14:paraId="378432FC" w14:textId="77777777" w:rsidR="00EA6B03" w:rsidRDefault="00EA6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5B9C4A06-283A-42F4-A65B-C32F90B75384}"/>
  </w:font>
  <w:font w:name="Calibri">
    <w:panose1 w:val="020F0502020204030204"/>
    <w:charset w:val="00"/>
    <w:family w:val="swiss"/>
    <w:pitch w:val="variable"/>
    <w:sig w:usb0="E4002EFF" w:usb1="C200247B" w:usb2="00000009" w:usb3="00000000" w:csb0="000001FF" w:csb1="00000000"/>
    <w:embedRegular r:id="rId2" w:fontKey="{688E51F4-82BD-4032-8012-9CAE9319220C}"/>
    <w:embedBold r:id="rId3" w:fontKey="{45B4F72E-08F4-4AC4-8CE4-B5ED543C9CB5}"/>
    <w:embedItalic r:id="rId4" w:fontKey="{D37D6F15-7306-4F8B-8C98-6BBD4FF88505}"/>
    <w:embedBoldItalic r:id="rId5" w:fontKey="{36690534-39FB-4DF5-9D2A-EC1EC559AD8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5A8CBA74-840D-42BB-B8D9-95372F81E4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0F" w14:textId="77777777" w:rsidR="002F1325" w:rsidRDefault="002F1325">
    <w:pPr>
      <w:pBdr>
        <w:top w:val="nil"/>
        <w:left w:val="nil"/>
        <w:bottom w:val="nil"/>
        <w:right w:val="nil"/>
        <w:between w:val="nil"/>
      </w:pBdr>
      <w:tabs>
        <w:tab w:val="center" w:pos="4680"/>
        <w:tab w:val="right" w:pos="9360"/>
      </w:tabs>
      <w:spacing w:after="0" w:line="240" w:lineRule="auto"/>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6BED9" w14:textId="77777777" w:rsidR="00EA6B03" w:rsidRDefault="00EA6B03">
      <w:pPr>
        <w:spacing w:after="0" w:line="240" w:lineRule="auto"/>
      </w:pPr>
      <w:r>
        <w:separator/>
      </w:r>
    </w:p>
  </w:footnote>
  <w:footnote w:type="continuationSeparator" w:id="0">
    <w:p w14:paraId="522BD43F" w14:textId="77777777" w:rsidR="00EA6B03" w:rsidRDefault="00EA6B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0E" w14:textId="77777777" w:rsidR="002F1325" w:rsidRDefault="002F1325">
    <w:pPr>
      <w:pBdr>
        <w:top w:val="nil"/>
        <w:left w:val="nil"/>
        <w:bottom w:val="nil"/>
        <w:right w:val="nil"/>
        <w:between w:val="nil"/>
      </w:pBdr>
      <w:tabs>
        <w:tab w:val="center" w:pos="4680"/>
        <w:tab w:val="right" w:pos="9360"/>
      </w:tabs>
      <w:spacing w:after="0" w:line="240" w:lineRule="auto"/>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433D6"/>
    <w:multiLevelType w:val="multilevel"/>
    <w:tmpl w:val="BC30FA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0C40BD"/>
    <w:multiLevelType w:val="multilevel"/>
    <w:tmpl w:val="C824BE82"/>
    <w:lvl w:ilvl="0">
      <w:start w:val="1"/>
      <w:numFmt w:val="decimal"/>
      <w:lvlText w:val="%1."/>
      <w:lvlJc w:val="left"/>
      <w:pPr>
        <w:ind w:left="360" w:hanging="360"/>
      </w:pPr>
      <w:rPr>
        <w:rFonts w:ascii="Noto Sans Symbols" w:eastAsia="Noto Sans Symbols" w:hAnsi="Noto Sans Symbols" w:cs="Noto Sans Symbols"/>
      </w:rPr>
    </w:lvl>
    <w:lvl w:ilvl="1">
      <w:start w:val="1"/>
      <w:numFmt w:val="lowerLetter"/>
      <w:lvlText w:val="%2."/>
      <w:lvlJc w:val="left"/>
      <w:pPr>
        <w:ind w:left="0" w:firstLine="0"/>
      </w:pPr>
    </w:lvl>
    <w:lvl w:ilvl="2">
      <w:start w:val="1"/>
      <w:numFmt w:val="lowerRoman"/>
      <w:lvlText w:val="%3."/>
      <w:lvlJc w:val="right"/>
      <w:pPr>
        <w:ind w:left="0" w:firstLine="0"/>
      </w:p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325"/>
    <w:rsid w:val="002F1325"/>
    <w:rsid w:val="003F7462"/>
    <w:rsid w:val="00EA6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3C7EB"/>
  <w15:docId w15:val="{C7DD66BD-CE9A-4417-9117-1CF1D5606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color w:val="366091"/>
      <w:sz w:val="28"/>
      <w:szCs w:val="28"/>
    </w:rPr>
  </w:style>
  <w:style w:type="paragraph" w:styleId="Heading2">
    <w:name w:val="heading 2"/>
    <w:basedOn w:val="Normal"/>
    <w:next w:val="Normal"/>
    <w:uiPriority w:val="9"/>
    <w:unhideWhenUsed/>
    <w:qFormat/>
    <w:pPr>
      <w:keepNext/>
      <w:keepLines/>
      <w:spacing w:before="200" w:after="0"/>
      <w:outlineLvl w:val="1"/>
    </w:pPr>
    <w:rPr>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b/>
      <w:bCs/>
      <w:color w:val="4F81BD"/>
    </w:rPr>
  </w:style>
  <w:style w:type="paragraph" w:styleId="Heading4">
    <w:name w:val="heading 4"/>
    <w:basedOn w:val="Normal"/>
    <w:next w:val="Normal"/>
    <w:uiPriority w:val="9"/>
    <w:semiHidden/>
    <w:unhideWhenUsed/>
    <w:qFormat/>
    <w:pPr>
      <w:keepNext/>
      <w:keepLines/>
      <w:spacing w:before="200" w:after="0"/>
      <w:outlineLvl w:val="3"/>
    </w:pPr>
    <w:rPr>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color w:val="243F61"/>
    </w:rPr>
  </w:style>
  <w:style w:type="paragraph" w:styleId="Heading6">
    <w:name w:val="heading 6"/>
    <w:basedOn w:val="Normal"/>
    <w:next w:val="Normal"/>
    <w:uiPriority w:val="9"/>
    <w:semiHidden/>
    <w:unhideWhenUsed/>
    <w:qFormat/>
    <w:pPr>
      <w:keepNext/>
      <w:keepLines/>
      <w:spacing w:before="200" w:after="0"/>
      <w:outlineLvl w:val="5"/>
    </w:pPr>
    <w:rPr>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color w:val="17365D"/>
      <w:sz w:val="52"/>
      <w:szCs w:val="52"/>
    </w:rPr>
  </w:style>
  <w:style w:type="paragraph" w:styleId="Subtitle">
    <w:name w:val="Subtitle"/>
    <w:basedOn w:val="Normal"/>
    <w:next w:val="Normal"/>
    <w:uiPriority w:val="11"/>
    <w:qFormat/>
    <w:rPr>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ogle.com/search?q=https://dl.acm.org/doi/10.1145/1721659.1721672" TargetMode="External"/><Relationship Id="rId26" Type="http://schemas.openxmlformats.org/officeDocument/2006/relationships/hyperlink" Target="https://docs.docker.com/get-started/docker-overview/" TargetMode="External"/><Relationship Id="rId39" Type="http://schemas.openxmlformats.org/officeDocument/2006/relationships/hyperlink" Target="https://learn.microsoft.com/en-us/azure/application-gateway/" TargetMode="External"/><Relationship Id="rId21" Type="http://schemas.openxmlformats.org/officeDocument/2006/relationships/hyperlink" Target="https://www.google.com/search?q=https://ieeexplore.ieee.org/document/7123014" TargetMode="External"/><Relationship Id="rId34" Type="http://schemas.openxmlformats.org/officeDocument/2006/relationships/hyperlink" Target="https://nvlpubs.nist.gov/nistpubs/SpecialPublications/NIST.SP.800-190.pdf" TargetMode="External"/><Relationship Id="rId42" Type="http://schemas.openxmlformats.org/officeDocument/2006/relationships/hyperlink" Target="https://learn.microsoft.com/en-us/azure/load-balancer/" TargetMode="External"/><Relationship Id="rId47" Type="http://schemas.openxmlformats.org/officeDocument/2006/relationships/image" Target="media/image8.pn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vlpubs.nist.gov/nistpubs/Legacy/SP/nistspecialpublication800-145.pdf" TargetMode="External"/><Relationship Id="rId29" Type="http://schemas.openxmlformats.org/officeDocument/2006/relationships/hyperlink" Target="https://docs.docker.com/engine/network/" TargetMode="External"/><Relationship Id="rId11" Type="http://schemas.openxmlformats.org/officeDocument/2006/relationships/image" Target="media/image4.png"/><Relationship Id="rId24" Type="http://schemas.openxmlformats.org/officeDocument/2006/relationships/hyperlink" Target="https://www.google.com/search?q=https://ieeexplore.ieee.org/document/7131390" TargetMode="External"/><Relationship Id="rId32" Type="http://schemas.openxmlformats.org/officeDocument/2006/relationships/hyperlink" Target="https://docs.docker.com/get-started/docker-concepts/building-images/build-tag-and-publish-an-image/" TargetMode="External"/><Relationship Id="rId37" Type="http://schemas.openxmlformats.org/officeDocument/2006/relationships/hyperlink" Target="https://learn.microsoft.com/en-us/azure/azure-functions/" TargetMode="External"/><Relationship Id="rId40" Type="http://schemas.openxmlformats.org/officeDocument/2006/relationships/hyperlink" Target="https://learn.microsoft.com/en-us/azure/application-gateway/" TargetMode="External"/><Relationship Id="rId45" Type="http://schemas.openxmlformats.org/officeDocument/2006/relationships/hyperlink" Target="https://learn.microsoft.com/en-us/azure/aks/tutorial-kubernetes-scale"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linuxjournal.com/content/docker-lightweight-linux-containers-consistent-development-and-deployment" TargetMode="External"/><Relationship Id="rId31" Type="http://schemas.openxmlformats.org/officeDocument/2006/relationships/hyperlink" Target="https://docs.docker.com/get-started/docker-concepts/building-images/build-tag-and-publish-an-image/" TargetMode="External"/><Relationship Id="rId44" Type="http://schemas.openxmlformats.org/officeDocument/2006/relationships/hyperlink" Target="https://learn.microsoft.com/en-us/azure/ak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m/search?q=https://ieeexplore.ieee.org/document/7123014" TargetMode="External"/><Relationship Id="rId27" Type="http://schemas.openxmlformats.org/officeDocument/2006/relationships/hyperlink" Target="https://docs.docker.com/engine/storage/volumes/" TargetMode="External"/><Relationship Id="rId30" Type="http://schemas.openxmlformats.org/officeDocument/2006/relationships/hyperlink" Target="https://docs.docker.com/engine/network/" TargetMode="External"/><Relationship Id="rId35" Type="http://schemas.openxmlformats.org/officeDocument/2006/relationships/hyperlink" Target="https://docs.aws.amazon.com/lambda/latest/dg/welcome.html" TargetMode="External"/><Relationship Id="rId43" Type="http://schemas.openxmlformats.org/officeDocument/2006/relationships/hyperlink" Target="https://learn.microsoft.com/en-us/azure/aks/" TargetMode="External"/><Relationship Id="rId48" Type="http://schemas.openxmlformats.org/officeDocument/2006/relationships/image" Target="media/image9.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google.com/search?q=https://dl.acm.org/doi/10.1145/1721659.1721672" TargetMode="External"/><Relationship Id="rId25" Type="http://schemas.openxmlformats.org/officeDocument/2006/relationships/hyperlink" Target="https://docs.docker.com/get-started/docker-overview/" TargetMode="External"/><Relationship Id="rId33" Type="http://schemas.openxmlformats.org/officeDocument/2006/relationships/hyperlink" Target="https://nvlpubs.nist.gov/nistpubs/SpecialPublications/NIST.SP.800-190.pdf" TargetMode="External"/><Relationship Id="rId38" Type="http://schemas.openxmlformats.org/officeDocument/2006/relationships/hyperlink" Target="https://learn.microsoft.com/en-us/azure/azure-functions/" TargetMode="External"/><Relationship Id="rId46" Type="http://schemas.openxmlformats.org/officeDocument/2006/relationships/hyperlink" Target="https://learn.microsoft.com/en-us/azure/aks/tutorial-kubernetes-scale" TargetMode="External"/><Relationship Id="rId20" Type="http://schemas.openxmlformats.org/officeDocument/2006/relationships/hyperlink" Target="https://www.linuxjournal.com/content/docker-lightweight-linux-containers-consistent-development-and-deployment" TargetMode="External"/><Relationship Id="rId41" Type="http://schemas.openxmlformats.org/officeDocument/2006/relationships/hyperlink" Target="https://learn.microsoft.com/en-us/azure/load-balanc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nvlpubs.nist.gov/nistpubs/Legacy/SP/nistspecialpublication800-145.pdf" TargetMode="External"/><Relationship Id="rId23" Type="http://schemas.openxmlformats.org/officeDocument/2006/relationships/hyperlink" Target="https://www.google.com/search?q=https://ieeexplore.ieee.org/document/7131390" TargetMode="External"/><Relationship Id="rId28" Type="http://schemas.openxmlformats.org/officeDocument/2006/relationships/hyperlink" Target="https://docs.docker.com/engine/storage/volumes/" TargetMode="External"/><Relationship Id="rId36" Type="http://schemas.openxmlformats.org/officeDocument/2006/relationships/hyperlink" Target="https://docs.aws.amazon.com/lambda/latest/dg/welcome.html" TargetMode="External"/><Relationship Id="rId49"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5mMZMT2yGumrL8B0vjkCTjf/oA==">CgMxLjAyDmgucWZodmMzYjhoYnl4Mg1oLjVrd3hlcHN4ejQ5Mg5oLmkxdmkxbzlubmQ0MzINaC5qdm85eWJ3OGxtczIOaC5zNWVidXY4M3VtZTUyDWguNmV1MGZwbHk0MGYyDmguMmhmZThwZGpkZmR3Mg5oLnQyMjQwY3Bza3JkYzIOaC52b3Vzb205MTFod2YyDmgueWloZGpteWk2dWExMg5oLnhrM2YzYnE0YmswMzIOaC5ydHY1OTRmanZuc2syDmgucjRlbGZlYjVnYmttMg5oLndtZHhyZWJiZGQzbDIOaC5lMTQzYnA4b2VsZzEyDmgubWJtc2JheXZnMHJvMg5oLmhmbHJ6ZnZ4M3pqcTIOaC5oNzEycW10ZWRwdzgyDmgueTFkc3hjampxcjNjMg5oLm1ybGUxZ2pxZnNnZzgAciExVWNCeEFoVDZZMS1EX3ZZalNhVzJOaWgwWFBuOEQ1d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5672</Words>
  <Characters>32333</Characters>
  <Application>Microsoft Office Word</Application>
  <DocSecurity>0</DocSecurity>
  <Lines>269</Lines>
  <Paragraphs>75</Paragraphs>
  <ScaleCrop>false</ScaleCrop>
  <Company/>
  <LinksUpToDate>false</LinksUpToDate>
  <CharactersWithSpaces>37930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Zannatul Mawya Priya</cp:lastModifiedBy>
  <cp:revision>2</cp:revision>
  <dcterms:created xsi:type="dcterms:W3CDTF">2026-04-27T14:15:00Z</dcterms:created>
  <dcterms:modified xsi:type="dcterms:W3CDTF">2026-04-27T14:16:00Z</dcterms:modified>
</cp:coreProperties>
</file>