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FF0AC" w14:textId="77777777" w:rsidR="000025A9" w:rsidRDefault="000025A9" w:rsidP="00701EBE"/>
    <w:p w14:paraId="296304CE" w14:textId="77777777" w:rsidR="009A7A01" w:rsidRDefault="009A7A01" w:rsidP="009A7A01">
      <w:pPr>
        <w:spacing w:line="360" w:lineRule="auto"/>
        <w:jc w:val="center"/>
        <w:rPr>
          <w:rFonts w:ascii="Arial" w:hAnsi="Arial" w:cs="Arial"/>
          <w:b/>
          <w:bCs/>
        </w:rPr>
      </w:pPr>
      <w:r>
        <w:rPr>
          <w:noProof/>
        </w:rPr>
        <w:drawing>
          <wp:inline distT="0" distB="0" distL="0" distR="0" wp14:anchorId="7460270F" wp14:editId="27C75320">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56BC2EFF" w14:textId="77777777" w:rsidR="009A7A01" w:rsidRPr="000F6387" w:rsidRDefault="009A7A01" w:rsidP="009A7A01">
      <w:pPr>
        <w:spacing w:line="360" w:lineRule="auto"/>
        <w:jc w:val="center"/>
        <w:rPr>
          <w:rFonts w:ascii="Arial" w:hAnsi="Arial" w:cs="Arial"/>
          <w:b/>
          <w:bCs/>
        </w:rPr>
      </w:pPr>
      <w:r w:rsidRPr="000F6387">
        <w:rPr>
          <w:rFonts w:ascii="Arial" w:hAnsi="Arial" w:cs="Arial"/>
          <w:b/>
          <w:bCs/>
        </w:rPr>
        <w:t>University of Wales Trinity Saint David Birmingham</w:t>
      </w:r>
    </w:p>
    <w:p w14:paraId="0C63D684" w14:textId="77777777" w:rsidR="009A7A01" w:rsidRPr="000F6387" w:rsidRDefault="009A7A01" w:rsidP="009A7A01">
      <w:pPr>
        <w:spacing w:line="360" w:lineRule="auto"/>
        <w:jc w:val="center"/>
        <w:rPr>
          <w:rFonts w:ascii="Arial" w:hAnsi="Arial" w:cs="Arial"/>
          <w:b/>
          <w:bCs/>
        </w:rPr>
      </w:pPr>
    </w:p>
    <w:p w14:paraId="6D292C50" w14:textId="4CEE0EA2" w:rsidR="009A7A01" w:rsidRPr="002A2D2C" w:rsidRDefault="009A7A01" w:rsidP="009A7A01">
      <w:pPr>
        <w:spacing w:line="360" w:lineRule="auto"/>
        <w:jc w:val="center"/>
        <w:rPr>
          <w:rFonts w:ascii="Arial" w:hAnsi="Arial" w:cs="Arial"/>
          <w:b/>
          <w:bCs/>
          <w:color w:val="000000" w:themeColor="text1"/>
        </w:rPr>
      </w:pPr>
      <w:r w:rsidRPr="000F6387">
        <w:rPr>
          <w:rFonts w:ascii="Arial" w:hAnsi="Arial" w:cs="Arial"/>
          <w:b/>
          <w:bCs/>
        </w:rPr>
        <w:t>Module:</w:t>
      </w:r>
      <w:r w:rsidRPr="002A2D2C">
        <w:rPr>
          <w:rFonts w:ascii="Arial" w:hAnsi="Arial" w:cs="Arial"/>
          <w:b/>
          <w:bCs/>
          <w:color w:val="000000" w:themeColor="text1"/>
        </w:rPr>
        <w:t xml:space="preserve"> </w:t>
      </w:r>
      <w:hyperlink r:id="rId12" w:history="1">
        <w:r w:rsidR="002A2D2C" w:rsidRPr="002A2D2C">
          <w:rPr>
            <w:rStyle w:val="multiline"/>
            <w:rFonts w:ascii="Segoe UI" w:hAnsi="Segoe UI" w:cs="Segoe UI"/>
            <w:b/>
            <w:bCs/>
            <w:color w:val="000000" w:themeColor="text1"/>
          </w:rPr>
          <w:t>Introduction to Health and Social Care</w:t>
        </w:r>
      </w:hyperlink>
    </w:p>
    <w:p w14:paraId="5F95F943" w14:textId="1F0EF82E" w:rsidR="009A7A01" w:rsidRPr="000F6387" w:rsidRDefault="009A7A01" w:rsidP="009A7A01">
      <w:pPr>
        <w:spacing w:line="360" w:lineRule="auto"/>
        <w:jc w:val="center"/>
        <w:rPr>
          <w:rFonts w:ascii="Arial" w:hAnsi="Arial" w:cs="Arial"/>
          <w:b/>
          <w:bCs/>
        </w:rPr>
      </w:pPr>
      <w:r w:rsidRPr="000F6387">
        <w:rPr>
          <w:rFonts w:ascii="Arial" w:hAnsi="Arial" w:cs="Arial"/>
          <w:b/>
          <w:bCs/>
        </w:rPr>
        <w:t>Module Code: LCHS400</w:t>
      </w:r>
      <w:r w:rsidR="00195EB6">
        <w:rPr>
          <w:rFonts w:ascii="Arial" w:hAnsi="Arial" w:cs="Arial"/>
          <w:b/>
          <w:bCs/>
        </w:rPr>
        <w:t>3</w:t>
      </w:r>
    </w:p>
    <w:p w14:paraId="351A8054" w14:textId="76CBE4CC" w:rsidR="009A7A01" w:rsidRPr="000F6387" w:rsidRDefault="008D1A58" w:rsidP="00195EB6">
      <w:pPr>
        <w:spacing w:line="360" w:lineRule="auto"/>
        <w:jc w:val="center"/>
        <w:rPr>
          <w:rFonts w:ascii="Arial" w:hAnsi="Arial" w:cs="Arial"/>
          <w:b/>
          <w:bCs/>
        </w:rPr>
      </w:pPr>
      <w:r>
        <w:rPr>
          <w:rFonts w:ascii="TimesNewRomanPS-BoldMT" w:hAnsi="TimesNewRomanPS-BoldMT"/>
          <w:b/>
          <w:bCs/>
          <w:color w:val="242424"/>
          <w:sz w:val="27"/>
          <w:szCs w:val="27"/>
          <w:shd w:val="clear" w:color="auto" w:fill="FFFFFF"/>
        </w:rPr>
        <w:t>Community Mental Health Services</w:t>
      </w:r>
    </w:p>
    <w:p w14:paraId="54B9E2CB" w14:textId="77777777" w:rsidR="009A7A01" w:rsidRPr="000F6387" w:rsidRDefault="009A7A01" w:rsidP="009A7A01">
      <w:pPr>
        <w:spacing w:line="360" w:lineRule="auto"/>
        <w:jc w:val="center"/>
        <w:rPr>
          <w:rFonts w:ascii="Arial" w:hAnsi="Arial" w:cs="Arial"/>
          <w:b/>
          <w:bCs/>
        </w:rPr>
      </w:pPr>
      <w:r w:rsidRPr="000F6387">
        <w:rPr>
          <w:rFonts w:ascii="Arial" w:hAnsi="Arial" w:cs="Arial"/>
          <w:b/>
          <w:bCs/>
        </w:rPr>
        <w:t>Submitted by</w:t>
      </w:r>
    </w:p>
    <w:p w14:paraId="7A3E5C23" w14:textId="55440862" w:rsidR="009A7A01" w:rsidRPr="000F6387" w:rsidRDefault="009A7A01" w:rsidP="009A7A01">
      <w:pPr>
        <w:spacing w:line="360" w:lineRule="auto"/>
        <w:jc w:val="center"/>
        <w:rPr>
          <w:rFonts w:ascii="Arial" w:hAnsi="Arial" w:cs="Arial"/>
          <w:b/>
          <w:bCs/>
        </w:rPr>
      </w:pPr>
      <w:r w:rsidRPr="000F6387">
        <w:rPr>
          <w:rFonts w:ascii="Arial" w:hAnsi="Arial" w:cs="Arial"/>
          <w:b/>
          <w:bCs/>
        </w:rPr>
        <w:t>Name of the student:</w:t>
      </w:r>
      <w:r>
        <w:rPr>
          <w:rFonts w:ascii="Arial" w:hAnsi="Arial" w:cs="Arial"/>
          <w:b/>
          <w:bCs/>
        </w:rPr>
        <w:t xml:space="preserve"> Hina </w:t>
      </w:r>
      <w:r w:rsidR="00D03603">
        <w:rPr>
          <w:rFonts w:ascii="Arial" w:hAnsi="Arial" w:cs="Arial"/>
          <w:b/>
          <w:bCs/>
        </w:rPr>
        <w:t>Ilyas</w:t>
      </w:r>
    </w:p>
    <w:p w14:paraId="4561951D" w14:textId="2C23A3F1" w:rsidR="009A7A01" w:rsidRPr="000F6387" w:rsidRDefault="009A7A01" w:rsidP="009A7A01">
      <w:pPr>
        <w:spacing w:line="360" w:lineRule="auto"/>
        <w:jc w:val="center"/>
        <w:rPr>
          <w:rFonts w:ascii="Arial" w:hAnsi="Arial" w:cs="Arial"/>
          <w:b/>
          <w:bCs/>
        </w:rPr>
      </w:pPr>
      <w:r w:rsidRPr="000F6387">
        <w:rPr>
          <w:rFonts w:ascii="Arial" w:hAnsi="Arial" w:cs="Arial"/>
          <w:b/>
          <w:bCs/>
        </w:rPr>
        <w:t>ID number:</w:t>
      </w:r>
      <w:r>
        <w:rPr>
          <w:rFonts w:ascii="Arial" w:hAnsi="Arial" w:cs="Arial"/>
          <w:b/>
          <w:bCs/>
        </w:rPr>
        <w:t xml:space="preserve"> </w:t>
      </w:r>
      <w:r w:rsidR="00D03603">
        <w:rPr>
          <w:rFonts w:ascii="Arial" w:hAnsi="Arial" w:cs="Arial"/>
          <w:b/>
          <w:bCs/>
        </w:rPr>
        <w:t>2511486</w:t>
      </w:r>
    </w:p>
    <w:p w14:paraId="4BA250AD" w14:textId="77777777" w:rsidR="009A7A01" w:rsidRPr="000F6387" w:rsidRDefault="009A7A01" w:rsidP="009A7A01">
      <w:pPr>
        <w:spacing w:line="360" w:lineRule="auto"/>
        <w:jc w:val="center"/>
        <w:rPr>
          <w:rFonts w:ascii="Arial" w:hAnsi="Arial" w:cs="Arial"/>
          <w:b/>
          <w:bCs/>
        </w:rPr>
      </w:pPr>
    </w:p>
    <w:p w14:paraId="2CFDE034" w14:textId="77777777" w:rsidR="009A7A01" w:rsidRPr="000F6387" w:rsidRDefault="009A7A01" w:rsidP="009A7A01">
      <w:pPr>
        <w:spacing w:line="360" w:lineRule="auto"/>
        <w:jc w:val="center"/>
        <w:rPr>
          <w:rFonts w:ascii="Arial" w:hAnsi="Arial" w:cs="Arial"/>
          <w:b/>
          <w:bCs/>
        </w:rPr>
      </w:pPr>
      <w:r w:rsidRPr="000F6387">
        <w:rPr>
          <w:rFonts w:ascii="Arial" w:hAnsi="Arial" w:cs="Arial"/>
          <w:b/>
          <w:bCs/>
        </w:rPr>
        <w:t>Submitted to</w:t>
      </w:r>
    </w:p>
    <w:p w14:paraId="62E0952C" w14:textId="3BF2A487" w:rsidR="009A7A01" w:rsidRPr="000F6387" w:rsidRDefault="009A7A01" w:rsidP="009A7A01">
      <w:pPr>
        <w:spacing w:line="360" w:lineRule="auto"/>
        <w:jc w:val="center"/>
        <w:rPr>
          <w:rFonts w:ascii="Arial" w:hAnsi="Arial" w:cs="Arial"/>
          <w:b/>
          <w:bCs/>
        </w:rPr>
      </w:pPr>
      <w:r w:rsidRPr="000F6387">
        <w:rPr>
          <w:rFonts w:ascii="Arial" w:hAnsi="Arial" w:cs="Arial"/>
          <w:b/>
          <w:bCs/>
        </w:rPr>
        <w:t xml:space="preserve">Name of the lecturer: </w:t>
      </w:r>
      <w:r w:rsidR="00195EB6">
        <w:rPr>
          <w:rFonts w:ascii="Arial" w:hAnsi="Arial" w:cs="Arial"/>
          <w:b/>
          <w:bCs/>
        </w:rPr>
        <w:t xml:space="preserve">Mumtaz </w:t>
      </w:r>
      <w:r w:rsidR="004A73CA">
        <w:rPr>
          <w:rFonts w:ascii="Arial" w:hAnsi="Arial" w:cs="Arial"/>
          <w:b/>
          <w:bCs/>
        </w:rPr>
        <w:t>Goolam</w:t>
      </w:r>
    </w:p>
    <w:p w14:paraId="5CC7B6CA" w14:textId="77777777" w:rsidR="009A7A01" w:rsidRPr="000F6387" w:rsidRDefault="009A7A01" w:rsidP="009A7A01">
      <w:pPr>
        <w:spacing w:line="360" w:lineRule="auto"/>
        <w:jc w:val="center"/>
        <w:rPr>
          <w:rFonts w:ascii="Arial" w:hAnsi="Arial" w:cs="Arial"/>
          <w:b/>
          <w:bCs/>
        </w:rPr>
      </w:pPr>
      <w:r w:rsidRPr="000F6387">
        <w:rPr>
          <w:rFonts w:ascii="Arial" w:hAnsi="Arial" w:cs="Arial"/>
          <w:b/>
          <w:bCs/>
        </w:rPr>
        <w:t>Submitted on</w:t>
      </w:r>
    </w:p>
    <w:p w14:paraId="74BC3C3F" w14:textId="02A790C4" w:rsidR="00F42603" w:rsidRDefault="009A7A01" w:rsidP="009A7A01">
      <w:pPr>
        <w:spacing w:line="360" w:lineRule="auto"/>
        <w:jc w:val="center"/>
        <w:rPr>
          <w:rFonts w:ascii="Arial" w:hAnsi="Arial" w:cs="Arial"/>
          <w:b/>
          <w:bCs/>
        </w:rPr>
      </w:pPr>
      <w:r>
        <w:rPr>
          <w:rFonts w:ascii="Arial" w:hAnsi="Arial" w:cs="Arial"/>
          <w:b/>
          <w:bCs/>
        </w:rPr>
        <w:t xml:space="preserve">Date: </w:t>
      </w:r>
      <w:r w:rsidR="009722C4">
        <w:rPr>
          <w:rFonts w:ascii="Arial" w:hAnsi="Arial" w:cs="Arial"/>
          <w:b/>
          <w:bCs/>
        </w:rPr>
        <w:t xml:space="preserve">22 </w:t>
      </w:r>
      <w:r w:rsidR="00B12B49">
        <w:rPr>
          <w:rFonts w:ascii="Arial" w:hAnsi="Arial" w:cs="Arial"/>
          <w:b/>
          <w:bCs/>
        </w:rPr>
        <w:t>February 2026</w:t>
      </w:r>
    </w:p>
    <w:p w14:paraId="3BA2F461" w14:textId="77777777" w:rsidR="00F42603" w:rsidRDefault="00F42603">
      <w:pPr>
        <w:rPr>
          <w:rFonts w:ascii="Arial" w:hAnsi="Arial" w:cs="Arial"/>
          <w:b/>
          <w:bCs/>
        </w:rPr>
      </w:pPr>
      <w:r>
        <w:rPr>
          <w:rFonts w:ascii="Arial" w:hAnsi="Arial" w:cs="Arial"/>
          <w:b/>
          <w:bCs/>
        </w:rPr>
        <w:br w:type="page"/>
      </w:r>
    </w:p>
    <w:p w14:paraId="4EB212F4" w14:textId="77777777" w:rsidR="00EC24A3" w:rsidRPr="00EC24A3" w:rsidRDefault="00EC24A3" w:rsidP="00EC24A3">
      <w:pPr>
        <w:spacing w:line="360" w:lineRule="auto"/>
        <w:rPr>
          <w:rFonts w:ascii="Arial" w:hAnsi="Arial" w:cs="Arial"/>
        </w:rPr>
      </w:pPr>
    </w:p>
    <w:p w14:paraId="390E6D3E" w14:textId="77777777" w:rsidR="00EC24A3" w:rsidRDefault="00EC24A3" w:rsidP="00EC24A3">
      <w:pPr>
        <w:spacing w:line="360" w:lineRule="auto"/>
        <w:jc w:val="center"/>
        <w:rPr>
          <w:rFonts w:ascii="Arial" w:hAnsi="Arial" w:cs="Arial"/>
          <w:b/>
          <w:bCs/>
        </w:rPr>
      </w:pPr>
      <w:r>
        <w:rPr>
          <w:rFonts w:ascii="Arial" w:hAnsi="Arial" w:cs="Arial"/>
          <w:b/>
          <w:bCs/>
        </w:rPr>
        <w:t xml:space="preserve">Table of contents </w:t>
      </w:r>
    </w:p>
    <w:p w14:paraId="0FA99137" w14:textId="48023AA0" w:rsidR="00EC24A3" w:rsidRPr="00EC24A3" w:rsidRDefault="00EC24A3" w:rsidP="00EC24A3">
      <w:pPr>
        <w:spacing w:line="360" w:lineRule="auto"/>
        <w:rPr>
          <w:rFonts w:ascii="Arial" w:hAnsi="Arial" w:cs="Arial"/>
        </w:rPr>
      </w:pPr>
    </w:p>
    <w:p w14:paraId="52B2869E" w14:textId="188FE8F7" w:rsidR="00EC24A3" w:rsidRPr="00EC24A3" w:rsidRDefault="00EC24A3" w:rsidP="00EC24A3">
      <w:pPr>
        <w:spacing w:line="360" w:lineRule="auto"/>
        <w:rPr>
          <w:rFonts w:ascii="Arial" w:hAnsi="Arial" w:cs="Arial"/>
        </w:rPr>
      </w:pPr>
      <w:r w:rsidRPr="00EC24A3">
        <w:rPr>
          <w:rFonts w:ascii="Arial" w:hAnsi="Arial" w:cs="Arial"/>
          <w:b/>
          <w:bCs/>
        </w:rPr>
        <w:t>1.</w:t>
      </w:r>
      <w:r w:rsidRPr="00EC24A3">
        <w:rPr>
          <w:rFonts w:ascii="Arial" w:hAnsi="Arial" w:cs="Arial"/>
        </w:rPr>
        <w:t>Task 1</w:t>
      </w:r>
      <w:r w:rsidRPr="00EC24A3">
        <w:rPr>
          <w:rFonts w:ascii="Arial" w:hAnsi="Arial" w:cs="Arial"/>
          <w:b/>
          <w:bCs/>
        </w:rPr>
        <w:t>:</w:t>
      </w:r>
      <w:r w:rsidRPr="00EC24A3">
        <w:rPr>
          <w:rFonts w:ascii="Arial" w:hAnsi="Arial" w:cs="Arial"/>
        </w:rPr>
        <w:t xml:space="preserve"> Make Poster (900 words equivalent)</w:t>
      </w:r>
    </w:p>
    <w:p w14:paraId="441FD9A5" w14:textId="5E080E68" w:rsidR="00EC24A3" w:rsidRPr="00EC24A3" w:rsidRDefault="00EC24A3" w:rsidP="00EC24A3">
      <w:pPr>
        <w:spacing w:line="360" w:lineRule="auto"/>
        <w:rPr>
          <w:rFonts w:ascii="Arial" w:hAnsi="Arial" w:cs="Arial"/>
        </w:rPr>
      </w:pPr>
      <w:r w:rsidRPr="00EC24A3">
        <w:rPr>
          <w:rFonts w:ascii="Arial" w:hAnsi="Arial" w:cs="Arial"/>
          <w:b/>
          <w:bCs/>
        </w:rPr>
        <w:t>1.2.</w:t>
      </w:r>
      <w:r w:rsidRPr="00EC24A3">
        <w:rPr>
          <w:rFonts w:ascii="Arial" w:hAnsi="Arial" w:cs="Arial"/>
        </w:rPr>
        <w:t xml:space="preserve"> Include</w:t>
      </w:r>
      <w:r w:rsidRPr="00EC24A3">
        <w:rPr>
          <w:rFonts w:ascii="Arial" w:hAnsi="Arial" w:cs="Arial"/>
        </w:rPr>
        <w:t xml:space="preserve"> a clear explanation of the chosen service.</w:t>
      </w:r>
    </w:p>
    <w:p w14:paraId="14ED6470" w14:textId="1F3F9939" w:rsidR="00EC24A3" w:rsidRPr="00EC24A3" w:rsidRDefault="00EC24A3" w:rsidP="00EC24A3">
      <w:pPr>
        <w:spacing w:line="360" w:lineRule="auto"/>
        <w:rPr>
          <w:rFonts w:ascii="Arial" w:hAnsi="Arial" w:cs="Arial"/>
        </w:rPr>
      </w:pPr>
      <w:r w:rsidRPr="00EC24A3">
        <w:rPr>
          <w:rFonts w:ascii="Arial" w:hAnsi="Arial" w:cs="Arial"/>
          <w:b/>
          <w:bCs/>
        </w:rPr>
        <w:t>1.3.</w:t>
      </w:r>
      <w:r w:rsidRPr="00EC24A3">
        <w:rPr>
          <w:rFonts w:ascii="Arial" w:hAnsi="Arial" w:cs="Arial"/>
        </w:rPr>
        <w:t xml:space="preserve"> Provide</w:t>
      </w:r>
      <w:r w:rsidRPr="00EC24A3">
        <w:rPr>
          <w:rFonts w:ascii="Arial" w:hAnsi="Arial" w:cs="Arial"/>
        </w:rPr>
        <w:t xml:space="preserve"> a brief history of the service.</w:t>
      </w:r>
    </w:p>
    <w:p w14:paraId="7232D9D4" w14:textId="31B66BC3" w:rsidR="00EC24A3" w:rsidRPr="00EC24A3" w:rsidRDefault="00EC24A3" w:rsidP="00EC24A3">
      <w:pPr>
        <w:spacing w:line="360" w:lineRule="auto"/>
        <w:rPr>
          <w:rFonts w:ascii="Arial" w:hAnsi="Arial" w:cs="Arial"/>
        </w:rPr>
      </w:pPr>
      <w:r w:rsidRPr="00EC24A3">
        <w:rPr>
          <w:rFonts w:ascii="Arial" w:hAnsi="Arial" w:cs="Arial"/>
          <w:b/>
          <w:bCs/>
        </w:rPr>
        <w:t>1.4.</w:t>
      </w:r>
      <w:r w:rsidRPr="00EC24A3">
        <w:rPr>
          <w:rFonts w:ascii="Arial" w:hAnsi="Arial" w:cs="Arial"/>
        </w:rPr>
        <w:t xml:space="preserve"> Describe</w:t>
      </w:r>
      <w:r w:rsidRPr="00EC24A3">
        <w:rPr>
          <w:rFonts w:ascii="Arial" w:hAnsi="Arial" w:cs="Arial"/>
        </w:rPr>
        <w:t xml:space="preserve"> the current functioning of the service.</w:t>
      </w:r>
    </w:p>
    <w:p w14:paraId="23DB7C40" w14:textId="3243B444" w:rsidR="00EC24A3" w:rsidRDefault="00EC24A3" w:rsidP="00EC24A3">
      <w:pPr>
        <w:spacing w:line="360" w:lineRule="auto"/>
        <w:rPr>
          <w:rFonts w:ascii="Arial" w:hAnsi="Arial" w:cs="Arial"/>
        </w:rPr>
      </w:pPr>
      <w:r w:rsidRPr="00EC24A3">
        <w:rPr>
          <w:rFonts w:ascii="Arial" w:hAnsi="Arial" w:cs="Arial"/>
          <w:b/>
          <w:bCs/>
        </w:rPr>
        <w:t>1.5.</w:t>
      </w:r>
      <w:r>
        <w:rPr>
          <w:rFonts w:ascii="Arial" w:hAnsi="Arial" w:cs="Arial"/>
        </w:rPr>
        <w:t xml:space="preserve"> </w:t>
      </w:r>
      <w:r w:rsidRPr="00EC24A3">
        <w:rPr>
          <w:rFonts w:ascii="Arial" w:hAnsi="Arial" w:cs="Arial"/>
        </w:rPr>
        <w:t>Identify and explain two challenges face by the service.</w:t>
      </w:r>
    </w:p>
    <w:p w14:paraId="1BC4397F" w14:textId="77777777" w:rsidR="009722C4" w:rsidRDefault="009722C4" w:rsidP="00EC24A3">
      <w:pPr>
        <w:spacing w:line="360" w:lineRule="auto"/>
        <w:rPr>
          <w:rFonts w:ascii="Arial" w:hAnsi="Arial" w:cs="Arial"/>
        </w:rPr>
      </w:pPr>
    </w:p>
    <w:p w14:paraId="0AC3E806" w14:textId="6E987EB2" w:rsidR="00EC24A3" w:rsidRDefault="00EC24A3" w:rsidP="00EC24A3">
      <w:pPr>
        <w:spacing w:line="360" w:lineRule="auto"/>
        <w:rPr>
          <w:rFonts w:ascii="Arial" w:hAnsi="Arial" w:cs="Arial"/>
        </w:rPr>
      </w:pPr>
      <w:r w:rsidRPr="00EC24A3">
        <w:rPr>
          <w:rFonts w:ascii="Arial" w:hAnsi="Arial" w:cs="Arial"/>
          <w:b/>
          <w:bCs/>
        </w:rPr>
        <w:t>2.</w:t>
      </w:r>
      <w:r>
        <w:rPr>
          <w:rFonts w:ascii="Arial" w:hAnsi="Arial" w:cs="Arial"/>
        </w:rPr>
        <w:t xml:space="preserve"> Task 2</w:t>
      </w:r>
      <w:r w:rsidRPr="00EC24A3">
        <w:rPr>
          <w:rFonts w:ascii="Arial" w:hAnsi="Arial" w:cs="Arial"/>
          <w:b/>
          <w:bCs/>
        </w:rPr>
        <w:t>:</w:t>
      </w:r>
      <w:r>
        <w:rPr>
          <w:rFonts w:ascii="Arial" w:hAnsi="Arial" w:cs="Arial"/>
          <w:b/>
          <w:bCs/>
        </w:rPr>
        <w:t xml:space="preserve"> </w:t>
      </w:r>
      <w:r>
        <w:rPr>
          <w:rFonts w:ascii="Arial" w:hAnsi="Arial" w:cs="Arial"/>
        </w:rPr>
        <w:t>Essay (600 words)</w:t>
      </w:r>
    </w:p>
    <w:p w14:paraId="2D6C316F" w14:textId="5FF73A1B" w:rsidR="00EC24A3" w:rsidRDefault="00EC24A3" w:rsidP="00EC24A3">
      <w:pPr>
        <w:spacing w:line="360" w:lineRule="auto"/>
        <w:rPr>
          <w:rFonts w:ascii="Arial" w:hAnsi="Arial" w:cs="Arial"/>
        </w:rPr>
      </w:pPr>
      <w:r w:rsidRPr="00EC24A3">
        <w:rPr>
          <w:rFonts w:ascii="Arial" w:hAnsi="Arial" w:cs="Arial"/>
          <w:b/>
          <w:bCs/>
        </w:rPr>
        <w:t>2.</w:t>
      </w:r>
      <w:r w:rsidR="009722C4" w:rsidRPr="00EC24A3">
        <w:rPr>
          <w:rFonts w:ascii="Arial" w:hAnsi="Arial" w:cs="Arial"/>
          <w:b/>
          <w:bCs/>
        </w:rPr>
        <w:t>1.</w:t>
      </w:r>
      <w:r w:rsidR="009722C4">
        <w:rPr>
          <w:rFonts w:ascii="Arial" w:hAnsi="Arial" w:cs="Arial"/>
        </w:rPr>
        <w:t xml:space="preserve"> Investigate</w:t>
      </w:r>
      <w:r>
        <w:rPr>
          <w:rFonts w:ascii="Arial" w:hAnsi="Arial" w:cs="Arial"/>
        </w:rPr>
        <w:t xml:space="preserve"> the origins of the service and explore</w:t>
      </w:r>
      <w:r w:rsidR="009722C4">
        <w:rPr>
          <w:rFonts w:ascii="Arial" w:hAnsi="Arial" w:cs="Arial"/>
        </w:rPr>
        <w:t xml:space="preserve"> the historical context that shaped its development:</w:t>
      </w:r>
    </w:p>
    <w:p w14:paraId="4F8533DD" w14:textId="6A12900B" w:rsidR="00EC24A3" w:rsidRDefault="009722C4" w:rsidP="00EC24A3">
      <w:pPr>
        <w:spacing w:line="360" w:lineRule="auto"/>
        <w:rPr>
          <w:rFonts w:ascii="Arial" w:hAnsi="Arial" w:cs="Arial"/>
        </w:rPr>
      </w:pPr>
      <w:r w:rsidRPr="009722C4">
        <w:rPr>
          <w:rFonts w:ascii="Arial" w:hAnsi="Arial" w:cs="Arial"/>
          <w:b/>
          <w:bCs/>
        </w:rPr>
        <w:t>2.2.</w:t>
      </w:r>
      <w:r>
        <w:rPr>
          <w:rFonts w:ascii="Arial" w:hAnsi="Arial" w:cs="Arial"/>
        </w:rPr>
        <w:t xml:space="preserve"> critically evaluate how the service functions today.</w:t>
      </w:r>
    </w:p>
    <w:p w14:paraId="0544BE5D" w14:textId="46E6974C" w:rsidR="009722C4" w:rsidRDefault="009722C4" w:rsidP="00EC24A3">
      <w:pPr>
        <w:spacing w:line="360" w:lineRule="auto"/>
        <w:rPr>
          <w:rFonts w:ascii="Arial" w:hAnsi="Arial" w:cs="Arial"/>
        </w:rPr>
      </w:pPr>
      <w:r w:rsidRPr="009722C4">
        <w:rPr>
          <w:rFonts w:ascii="Arial" w:hAnsi="Arial" w:cs="Arial"/>
          <w:b/>
          <w:bCs/>
        </w:rPr>
        <w:t>2.3.</w:t>
      </w:r>
      <w:r>
        <w:rPr>
          <w:rFonts w:ascii="Arial" w:hAnsi="Arial" w:cs="Arial"/>
        </w:rPr>
        <w:t xml:space="preserve"> Discuss its significance in enhancing the quality of life of service users.</w:t>
      </w:r>
    </w:p>
    <w:p w14:paraId="613EFE6A" w14:textId="77777777" w:rsidR="009722C4" w:rsidRDefault="009722C4" w:rsidP="00EC24A3">
      <w:pPr>
        <w:spacing w:line="360" w:lineRule="auto"/>
        <w:rPr>
          <w:rFonts w:ascii="Arial" w:hAnsi="Arial" w:cs="Arial"/>
        </w:rPr>
      </w:pPr>
    </w:p>
    <w:p w14:paraId="1B6188F9" w14:textId="05A293CE" w:rsidR="009722C4" w:rsidRDefault="009722C4" w:rsidP="00EC24A3">
      <w:pPr>
        <w:spacing w:line="360" w:lineRule="auto"/>
        <w:rPr>
          <w:rFonts w:ascii="Arial" w:hAnsi="Arial" w:cs="Arial"/>
        </w:rPr>
      </w:pPr>
      <w:r w:rsidRPr="009722C4">
        <w:rPr>
          <w:rFonts w:ascii="Arial" w:hAnsi="Arial" w:cs="Arial"/>
          <w:b/>
          <w:bCs/>
        </w:rPr>
        <w:t>3.</w:t>
      </w:r>
      <w:r>
        <w:rPr>
          <w:rFonts w:ascii="Arial" w:hAnsi="Arial" w:cs="Arial"/>
        </w:rPr>
        <w:t xml:space="preserve"> Referencing Requirements.</w:t>
      </w:r>
    </w:p>
    <w:p w14:paraId="507A70F9" w14:textId="77777777" w:rsidR="00EC24A3" w:rsidRDefault="00EC24A3" w:rsidP="00EC24A3">
      <w:pPr>
        <w:spacing w:line="360" w:lineRule="auto"/>
        <w:rPr>
          <w:rFonts w:ascii="Arial" w:hAnsi="Arial" w:cs="Arial"/>
        </w:rPr>
      </w:pPr>
    </w:p>
    <w:p w14:paraId="16E31ECE" w14:textId="77777777" w:rsidR="00EC24A3" w:rsidRDefault="00EC24A3" w:rsidP="00EC24A3">
      <w:pPr>
        <w:spacing w:line="360" w:lineRule="auto"/>
        <w:rPr>
          <w:rFonts w:ascii="Arial" w:hAnsi="Arial" w:cs="Arial"/>
        </w:rPr>
      </w:pPr>
    </w:p>
    <w:p w14:paraId="7B2AEE8C" w14:textId="3984149E" w:rsidR="00EC24A3" w:rsidRPr="00EC24A3" w:rsidRDefault="00EC24A3" w:rsidP="00EC24A3">
      <w:pPr>
        <w:spacing w:line="360" w:lineRule="auto"/>
        <w:rPr>
          <w:rFonts w:ascii="Arial" w:hAnsi="Arial" w:cs="Arial"/>
        </w:rPr>
      </w:pPr>
    </w:p>
    <w:p w14:paraId="2EA55C50" w14:textId="77777777" w:rsidR="006B69DF" w:rsidRDefault="006B69DF" w:rsidP="009A7A01">
      <w:pPr>
        <w:spacing w:line="360" w:lineRule="auto"/>
        <w:jc w:val="center"/>
        <w:rPr>
          <w:rFonts w:ascii="Arial" w:hAnsi="Arial" w:cs="Arial"/>
          <w:b/>
          <w:bCs/>
        </w:rPr>
      </w:pPr>
    </w:p>
    <w:p w14:paraId="22F992A9" w14:textId="2B0C3349" w:rsidR="003A0491" w:rsidRDefault="000025A9">
      <w:r>
        <w:br w:type="page"/>
      </w:r>
    </w:p>
    <w:p w14:paraId="07217EDA" w14:textId="1D577ED7" w:rsidR="000025A9" w:rsidRDefault="0021494E">
      <w:r>
        <w:rPr>
          <w:noProof/>
        </w:rPr>
        <w:lastRenderedPageBreak/>
        <w:drawing>
          <wp:anchor distT="0" distB="0" distL="114300" distR="114300" simplePos="0" relativeHeight="251658246" behindDoc="0" locked="0" layoutInCell="1" allowOverlap="1" wp14:anchorId="00C4D52D" wp14:editId="1DA6D9F3">
            <wp:simplePos x="0" y="0"/>
            <wp:positionH relativeFrom="margin">
              <wp:posOffset>-873760</wp:posOffset>
            </wp:positionH>
            <wp:positionV relativeFrom="margin">
              <wp:posOffset>5739130</wp:posOffset>
            </wp:positionV>
            <wp:extent cx="3575685" cy="3115310"/>
            <wp:effectExtent l="0" t="0" r="5715" b="8890"/>
            <wp:wrapTopAndBottom/>
            <wp:docPr id="1023492481" name="Picture 4" descr="A person sitting i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492481" name="Picture 4" descr="A person sitting in a chai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75685" cy="31153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6439" behindDoc="0" locked="0" layoutInCell="1" allowOverlap="1" wp14:anchorId="4BE09B6B" wp14:editId="4A4AA493">
                <wp:simplePos x="0" y="0"/>
                <wp:positionH relativeFrom="page">
                  <wp:align>right</wp:align>
                </wp:positionH>
                <wp:positionV relativeFrom="paragraph">
                  <wp:posOffset>5730511</wp:posOffset>
                </wp:positionV>
                <wp:extent cx="3926840" cy="3111047"/>
                <wp:effectExtent l="0" t="0" r="16510" b="13335"/>
                <wp:wrapSquare wrapText="bothSides"/>
                <wp:docPr id="17798103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6840" cy="3111047"/>
                        </a:xfrm>
                        <a:prstGeom prst="rect">
                          <a:avLst/>
                        </a:prstGeom>
                        <a:solidFill>
                          <a:srgbClr val="FFFFFF"/>
                        </a:solidFill>
                        <a:ln w="9525">
                          <a:solidFill>
                            <a:srgbClr val="000000"/>
                          </a:solidFill>
                          <a:miter lim="800000"/>
                          <a:headEnd/>
                          <a:tailEnd/>
                        </a:ln>
                      </wps:spPr>
                      <wps:txbx>
                        <w:txbxContent>
                          <w:p w14:paraId="50973C69" w14:textId="77777777" w:rsidR="0021494E" w:rsidRPr="00AD1AF6"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AD1AF6">
                              <w:rPr>
                                <w:rFonts w:ascii="TimesNewRomanPS-BoldMT" w:eastAsia="Times New Roman" w:hAnsi="TimesNewRomanPS-BoldMT" w:cs="Times New Roman"/>
                                <w:b/>
                                <w:bCs/>
                                <w:color w:val="242424"/>
                                <w:kern w:val="0"/>
                                <w:sz w:val="16"/>
                                <w:szCs w:val="16"/>
                                <w:bdr w:val="none" w:sz="0" w:space="0" w:color="auto" w:frame="1"/>
                                <w:lang w:eastAsia="en-GB"/>
                                <w14:ligatures w14:val="none"/>
                              </w:rPr>
                              <w:t>Funding Constraints and Resource Shortages</w:t>
                            </w:r>
                          </w:p>
                          <w:p w14:paraId="54F55EB0"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Community mental health services often operate with limited funding, which can lead to staff shortages, long waiting lists, and reduced service availability.</w:t>
                            </w:r>
                          </w:p>
                          <w:p w14:paraId="643E57E8"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As demand for mental health support increases, funding has not always kept pace. This can result in:</w:t>
                            </w:r>
                          </w:p>
                          <w:p w14:paraId="46BF548B" w14:textId="77777777" w:rsidR="0021494E" w:rsidRPr="00FF4658"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High caseloads for staff</w:t>
                            </w:r>
                          </w:p>
                          <w:p w14:paraId="351B3C9A" w14:textId="77777777" w:rsidR="0021494E" w:rsidRPr="00FF4658"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Burnout among professionals</w:t>
                            </w:r>
                          </w:p>
                          <w:p w14:paraId="70F0AD32" w14:textId="77777777" w:rsidR="0021494E" w:rsidRPr="00FF4658"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Delays in assessment and treatment</w:t>
                            </w:r>
                          </w:p>
                          <w:p w14:paraId="5C313B6B" w14:textId="77777777" w:rsidR="0021494E" w:rsidRPr="009212B3"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Limited access to specialist therapies</w:t>
                            </w:r>
                            <w:r>
                              <w:rPr>
                                <w:rFonts w:ascii="inherit" w:eastAsia="Times New Roman" w:hAnsi="inherit" w:cs="Times New Roman"/>
                                <w:color w:val="242424"/>
                                <w:kern w:val="0"/>
                                <w:sz w:val="16"/>
                                <w:szCs w:val="16"/>
                                <w:bdr w:val="none" w:sz="0" w:space="0" w:color="auto" w:frame="1"/>
                                <w:lang w:eastAsia="en-GB"/>
                                <w14:ligatures w14:val="none"/>
                              </w:rPr>
                              <w:t xml:space="preserve"> </w:t>
                            </w:r>
                          </w:p>
                          <w:p w14:paraId="67C15335" w14:textId="77777777" w:rsidR="0021494E" w:rsidRPr="00FF4658"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p>
                          <w:p w14:paraId="7EA20233"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Within the </w:t>
                            </w:r>
                            <w:r w:rsidRPr="00FF4658">
                              <w:rPr>
                                <w:rFonts w:ascii="inherit" w:eastAsia="Times New Roman" w:hAnsi="inherit" w:cs="Times New Roman"/>
                                <w:color w:val="000000" w:themeColor="text1"/>
                                <w:kern w:val="0"/>
                                <w:sz w:val="16"/>
                                <w:szCs w:val="16"/>
                                <w:bdr w:val="none" w:sz="0" w:space="0" w:color="auto" w:frame="1"/>
                                <w:lang w:eastAsia="en-GB"/>
                                <w14:ligatures w14:val="none"/>
                              </w:rPr>
                              <w:t>National Health Service </w:t>
                            </w:r>
                            <w:r w:rsidRPr="00FF4658">
                              <w:rPr>
                                <w:rFonts w:ascii="inherit" w:eastAsia="Times New Roman" w:hAnsi="inherit" w:cs="Times New Roman"/>
                                <w:color w:val="242424"/>
                                <w:kern w:val="0"/>
                                <w:sz w:val="16"/>
                                <w:szCs w:val="16"/>
                                <w:bdr w:val="none" w:sz="0" w:space="0" w:color="auto" w:frame="1"/>
                                <w:lang w:eastAsia="en-GB"/>
                                <w14:ligatures w14:val="none"/>
                              </w:rPr>
                              <w:t xml:space="preserve">(NHS), many Community Mental Health Teams report </w:t>
                            </w:r>
                          </w:p>
                          <w:p w14:paraId="283B5896" w14:textId="77777777" w:rsidR="0021494E" w:rsidRDefault="0021494E" w:rsidP="0021494E">
                            <w:pPr>
                              <w:shd w:val="clear" w:color="auto" w:fill="FFFFFF"/>
                              <w:spacing w:after="0" w:line="240" w:lineRule="auto"/>
                              <w:rPr>
                                <w:rFonts w:ascii="inherit" w:eastAsia="Times New Roman" w:hAnsi="inherit" w:cs="Times New Roman"/>
                                <w:color w:val="242424"/>
                                <w:kern w:val="0"/>
                                <w:sz w:val="16"/>
                                <w:szCs w:val="16"/>
                                <w:bdr w:val="none" w:sz="0" w:space="0" w:color="auto" w:frame="1"/>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long waiting times for psychological therapies due to workforce shortages. A person referred for therapy for moderate depression may wait several months before starting treatment, which can worsen symptoms and increase the risk of crisis or hospital admission.</w:t>
                            </w:r>
                          </w:p>
                          <w:p w14:paraId="07C2484A"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p>
                          <w:p w14:paraId="435BF189"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TimesNewRomanPS-BoldMT" w:eastAsia="Times New Roman" w:hAnsi="TimesNewRomanPS-BoldMT" w:cs="Times New Roman"/>
                                <w:b/>
                                <w:bCs/>
                                <w:color w:val="242424"/>
                                <w:kern w:val="0"/>
                                <w:sz w:val="16"/>
                                <w:szCs w:val="16"/>
                                <w:bdr w:val="none" w:sz="0" w:space="0" w:color="auto" w:frame="1"/>
                                <w:lang w:eastAsia="en-GB"/>
                                <w14:ligatures w14:val="none"/>
                              </w:rPr>
                              <w:t xml:space="preserve"> Fragmentation and Lack of Service Coordination</w:t>
                            </w:r>
                          </w:p>
                          <w:p w14:paraId="394DE684"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Community mental health services sometimes struggle with coordination between different agencies, such as health services, social services, housing providers, and voluntary organizations.</w:t>
                            </w:r>
                          </w:p>
                          <w:p w14:paraId="7C91364F"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People with complex mental health needs often require support in multiple areas (e.g., housing, employment, physical health). Poor communication between services can lead to:</w:t>
                            </w:r>
                          </w:p>
                          <w:p w14:paraId="61E4D1E4" w14:textId="58372CD9" w:rsidR="0021494E" w:rsidRDefault="0021494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E09B6B" id="_x0000_t202" coordsize="21600,21600" o:spt="202" path="m,l,21600r21600,l21600,xe">
                <v:stroke joinstyle="miter"/>
                <v:path gradientshapeok="t" o:connecttype="rect"/>
              </v:shapetype>
              <v:shape id="Text Box 2" o:spid="_x0000_s1026" type="#_x0000_t202" style="position:absolute;margin-left:258pt;margin-top:451.2pt;width:309.2pt;height:244.95pt;z-index:251666439;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">
                <v:textbox>
                  <w:txbxContent>
                    <w:p w14:paraId="50973C69" w14:textId="77777777" w:rsidR="0021494E" w:rsidRPr="00AD1AF6"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AD1AF6">
                        <w:rPr>
                          <w:rFonts w:ascii="TimesNewRomanPS-BoldMT" w:eastAsia="Times New Roman" w:hAnsi="TimesNewRomanPS-BoldMT" w:cs="Times New Roman"/>
                          <w:b/>
                          <w:bCs/>
                          <w:color w:val="242424"/>
                          <w:kern w:val="0"/>
                          <w:sz w:val="16"/>
                          <w:szCs w:val="16"/>
                          <w:bdr w:val="none" w:sz="0" w:space="0" w:color="auto" w:frame="1"/>
                          <w:lang w:eastAsia="en-GB"/>
                          <w14:ligatures w14:val="none"/>
                        </w:rPr>
                        <w:t>Funding Constraints and Resource Shortages</w:t>
                      </w:r>
                    </w:p>
                    <w:p w14:paraId="54F55EB0"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Community mental health services often operate with limited funding, which can lead to staff shortages, long waiting lists, and reduced service availability.</w:t>
                      </w:r>
                    </w:p>
                    <w:p w14:paraId="643E57E8"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As demand for mental health support increases, funding has not always kept pace. This can result in:</w:t>
                      </w:r>
                    </w:p>
                    <w:p w14:paraId="46BF548B" w14:textId="77777777" w:rsidR="0021494E" w:rsidRPr="00FF4658"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High caseloads for staff</w:t>
                      </w:r>
                    </w:p>
                    <w:p w14:paraId="351B3C9A" w14:textId="77777777" w:rsidR="0021494E" w:rsidRPr="00FF4658"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Burnout among professionals</w:t>
                      </w:r>
                    </w:p>
                    <w:p w14:paraId="70F0AD32" w14:textId="77777777" w:rsidR="0021494E" w:rsidRPr="00FF4658"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Delays in assessment and treatment</w:t>
                      </w:r>
                    </w:p>
                    <w:p w14:paraId="5C313B6B" w14:textId="77777777" w:rsidR="0021494E" w:rsidRPr="009212B3"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Limited access to specialist therapies</w:t>
                      </w:r>
                      <w:r>
                        <w:rPr>
                          <w:rFonts w:ascii="inherit" w:eastAsia="Times New Roman" w:hAnsi="inherit" w:cs="Times New Roman"/>
                          <w:color w:val="242424"/>
                          <w:kern w:val="0"/>
                          <w:sz w:val="16"/>
                          <w:szCs w:val="16"/>
                          <w:bdr w:val="none" w:sz="0" w:space="0" w:color="auto" w:frame="1"/>
                          <w:lang w:eastAsia="en-GB"/>
                          <w14:ligatures w14:val="none"/>
                        </w:rPr>
                        <w:t xml:space="preserve"> </w:t>
                      </w:r>
                    </w:p>
                    <w:p w14:paraId="67C15335" w14:textId="77777777" w:rsidR="0021494E" w:rsidRPr="00FF4658" w:rsidRDefault="0021494E" w:rsidP="0021494E">
                      <w:pPr>
                        <w:numPr>
                          <w:ilvl w:val="0"/>
                          <w:numId w:val="4"/>
                        </w:num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p>
                    <w:p w14:paraId="7EA20233"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Within the </w:t>
                      </w:r>
                      <w:r w:rsidRPr="00FF4658">
                        <w:rPr>
                          <w:rFonts w:ascii="inherit" w:eastAsia="Times New Roman" w:hAnsi="inherit" w:cs="Times New Roman"/>
                          <w:color w:val="000000" w:themeColor="text1"/>
                          <w:kern w:val="0"/>
                          <w:sz w:val="16"/>
                          <w:szCs w:val="16"/>
                          <w:bdr w:val="none" w:sz="0" w:space="0" w:color="auto" w:frame="1"/>
                          <w:lang w:eastAsia="en-GB"/>
                          <w14:ligatures w14:val="none"/>
                        </w:rPr>
                        <w:t>National Health Service </w:t>
                      </w:r>
                      <w:r w:rsidRPr="00FF4658">
                        <w:rPr>
                          <w:rFonts w:ascii="inherit" w:eastAsia="Times New Roman" w:hAnsi="inherit" w:cs="Times New Roman"/>
                          <w:color w:val="242424"/>
                          <w:kern w:val="0"/>
                          <w:sz w:val="16"/>
                          <w:szCs w:val="16"/>
                          <w:bdr w:val="none" w:sz="0" w:space="0" w:color="auto" w:frame="1"/>
                          <w:lang w:eastAsia="en-GB"/>
                          <w14:ligatures w14:val="none"/>
                        </w:rPr>
                        <w:t xml:space="preserve">(NHS), many Community Mental Health Teams report </w:t>
                      </w:r>
                    </w:p>
                    <w:p w14:paraId="283B5896" w14:textId="77777777" w:rsidR="0021494E" w:rsidRDefault="0021494E" w:rsidP="0021494E">
                      <w:pPr>
                        <w:shd w:val="clear" w:color="auto" w:fill="FFFFFF"/>
                        <w:spacing w:after="0" w:line="240" w:lineRule="auto"/>
                        <w:rPr>
                          <w:rFonts w:ascii="inherit" w:eastAsia="Times New Roman" w:hAnsi="inherit" w:cs="Times New Roman"/>
                          <w:color w:val="242424"/>
                          <w:kern w:val="0"/>
                          <w:sz w:val="16"/>
                          <w:szCs w:val="16"/>
                          <w:bdr w:val="none" w:sz="0" w:space="0" w:color="auto" w:frame="1"/>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long waiting times for psychological therapies due to workforce shortages. A person referred for therapy for moderate depression may wait several months before starting treatment, which can worsen symptoms and increase the risk of crisis or hospital admission.</w:t>
                      </w:r>
                    </w:p>
                    <w:p w14:paraId="07C2484A"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p>
                    <w:p w14:paraId="435BF189"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TimesNewRomanPS-BoldMT" w:eastAsia="Times New Roman" w:hAnsi="TimesNewRomanPS-BoldMT" w:cs="Times New Roman"/>
                          <w:b/>
                          <w:bCs/>
                          <w:color w:val="242424"/>
                          <w:kern w:val="0"/>
                          <w:sz w:val="16"/>
                          <w:szCs w:val="16"/>
                          <w:bdr w:val="none" w:sz="0" w:space="0" w:color="auto" w:frame="1"/>
                          <w:lang w:eastAsia="en-GB"/>
                          <w14:ligatures w14:val="none"/>
                        </w:rPr>
                        <w:t xml:space="preserve"> Fragmentation and Lack of Service Coordination</w:t>
                      </w:r>
                    </w:p>
                    <w:p w14:paraId="394DE684"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Community mental health services sometimes struggle with coordination between different agencies, such as health services, social services, housing providers, and voluntary organizations.</w:t>
                      </w:r>
                    </w:p>
                    <w:p w14:paraId="7C91364F" w14:textId="77777777" w:rsidR="0021494E" w:rsidRPr="00FF4658"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FF4658">
                        <w:rPr>
                          <w:rFonts w:ascii="inherit" w:eastAsia="Times New Roman" w:hAnsi="inherit" w:cs="Times New Roman"/>
                          <w:color w:val="242424"/>
                          <w:kern w:val="0"/>
                          <w:sz w:val="16"/>
                          <w:szCs w:val="16"/>
                          <w:bdr w:val="none" w:sz="0" w:space="0" w:color="auto" w:frame="1"/>
                          <w:lang w:eastAsia="en-GB"/>
                          <w14:ligatures w14:val="none"/>
                        </w:rPr>
                        <w:t>People with complex mental health needs often require support in multiple areas (e.g., housing, employment, physical health). Poor communication between services can lead to:</w:t>
                      </w:r>
                    </w:p>
                    <w:p w14:paraId="61E4D1E4" w14:textId="58372CD9" w:rsidR="0021494E" w:rsidRDefault="0021494E"/>
                  </w:txbxContent>
                </v:textbox>
                <w10:wrap type="square" anchorx="page"/>
              </v:shape>
            </w:pict>
          </mc:Fallback>
        </mc:AlternateContent>
      </w:r>
      <w:r>
        <w:rPr>
          <w:noProof/>
        </w:rPr>
        <w:drawing>
          <wp:anchor distT="0" distB="0" distL="114300" distR="114300" simplePos="0" relativeHeight="251658240" behindDoc="1" locked="0" layoutInCell="1" allowOverlap="1" wp14:anchorId="69CE8282" wp14:editId="7CF2D692">
            <wp:simplePos x="0" y="0"/>
            <wp:positionH relativeFrom="page">
              <wp:align>right</wp:align>
            </wp:positionH>
            <wp:positionV relativeFrom="paragraph">
              <wp:posOffset>3637008</wp:posOffset>
            </wp:positionV>
            <wp:extent cx="3517841" cy="2097677"/>
            <wp:effectExtent l="0" t="0" r="6985" b="0"/>
            <wp:wrapNone/>
            <wp:docPr id="1534735220" name="Picture 3" descr="A green ribbo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35220" name="Picture 3" descr="A green ribbon with white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25174" cy="21020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4391" behindDoc="0" locked="0" layoutInCell="1" allowOverlap="1" wp14:anchorId="64C65D88" wp14:editId="06D11D29">
                <wp:simplePos x="0" y="0"/>
                <wp:positionH relativeFrom="column">
                  <wp:posOffset>-881743</wp:posOffset>
                </wp:positionH>
                <wp:positionV relativeFrom="paragraph">
                  <wp:posOffset>3665764</wp:posOffset>
                </wp:positionV>
                <wp:extent cx="3983990" cy="2065202"/>
                <wp:effectExtent l="0" t="0" r="16510" b="11430"/>
                <wp:wrapSquare wrapText="bothSides"/>
                <wp:docPr id="7876701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3990" cy="2065202"/>
                        </a:xfrm>
                        <a:prstGeom prst="rect">
                          <a:avLst/>
                        </a:prstGeom>
                        <a:solidFill>
                          <a:srgbClr val="FFFFFF"/>
                        </a:solidFill>
                        <a:ln w="9525">
                          <a:solidFill>
                            <a:srgbClr val="000000"/>
                          </a:solidFill>
                          <a:miter lim="800000"/>
                          <a:headEnd/>
                          <a:tailEnd/>
                        </a:ln>
                      </wps:spPr>
                      <wps:txbx>
                        <w:txbxContent>
                          <w:p w14:paraId="1B2E0D08"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TimesNewRomanPS-BoldMT" w:eastAsia="Times New Roman" w:hAnsi="TimesNewRomanPS-BoldMT" w:cs="Times New Roman"/>
                                <w:b/>
                                <w:bCs/>
                                <w:color w:val="242424"/>
                                <w:kern w:val="0"/>
                                <w:sz w:val="16"/>
                                <w:szCs w:val="16"/>
                                <w:bdr w:val="none" w:sz="0" w:space="0" w:color="auto" w:frame="1"/>
                                <w:lang w:eastAsia="en-GB"/>
                                <w14:ligatures w14:val="none"/>
                              </w:rPr>
                              <w:t>Current Functioning of the Service</w:t>
                            </w:r>
                          </w:p>
                          <w:p w14:paraId="50B69BB6"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inherit" w:eastAsia="Times New Roman" w:hAnsi="inherit" w:cs="Times New Roman"/>
                                <w:color w:val="242424"/>
                                <w:kern w:val="0"/>
                                <w:sz w:val="16"/>
                                <w:szCs w:val="16"/>
                                <w:bdr w:val="none" w:sz="0" w:space="0" w:color="auto" w:frame="1"/>
                                <w:lang w:eastAsia="en-GB"/>
                                <w14:ligatures w14:val="none"/>
                              </w:rPr>
                              <w:t>Today, community mental health services are an important part of the healthcare system.</w:t>
                            </w:r>
                          </w:p>
                          <w:p w14:paraId="08806A9D"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inherit" w:eastAsia="Times New Roman" w:hAnsi="inherit" w:cs="Times New Roman"/>
                                <w:color w:val="242424"/>
                                <w:kern w:val="0"/>
                                <w:sz w:val="16"/>
                                <w:szCs w:val="16"/>
                                <w:bdr w:val="none" w:sz="0" w:space="0" w:color="auto" w:frame="1"/>
                                <w:lang w:eastAsia="en-GB"/>
                                <w14:ligatures w14:val="none"/>
                              </w:rPr>
                              <w:t>People can be referred through</w:t>
                            </w:r>
                            <w:r>
                              <w:rPr>
                                <w:rFonts w:ascii="inherit" w:eastAsia="Times New Roman" w:hAnsi="inherit" w:cs="Times New Roman"/>
                                <w:color w:val="242424"/>
                                <w:kern w:val="0"/>
                                <w:sz w:val="16"/>
                                <w:szCs w:val="16"/>
                                <w:bdr w:val="none" w:sz="0" w:space="0" w:color="auto" w:frame="1"/>
                                <w:lang w:eastAsia="en-GB"/>
                                <w14:ligatures w14:val="none"/>
                              </w:rPr>
                              <w:t xml:space="preserve"> t</w:t>
                            </w:r>
                            <w:r w:rsidRPr="00150153">
                              <w:rPr>
                                <w:rFonts w:ascii="inherit" w:eastAsia="Times New Roman" w:hAnsi="inherit" w:cs="Times New Roman"/>
                                <w:color w:val="242424"/>
                                <w:kern w:val="0"/>
                                <w:sz w:val="16"/>
                                <w:szCs w:val="16"/>
                                <w:bdr w:val="none" w:sz="0" w:space="0" w:color="auto" w:frame="1"/>
                                <w:lang w:eastAsia="en-GB"/>
                                <w14:ligatures w14:val="none"/>
                              </w:rPr>
                              <w:t>heir GP</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Hospital staff after discharge</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Social services</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In some areas, self-referral</w:t>
                            </w:r>
                          </w:p>
                          <w:p w14:paraId="4186C62D"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inherit" w:eastAsia="Times New Roman" w:hAnsi="inherit" w:cs="Times New Roman"/>
                                <w:color w:val="242424"/>
                                <w:kern w:val="0"/>
                                <w:sz w:val="16"/>
                                <w:szCs w:val="16"/>
                                <w:bdr w:val="none" w:sz="0" w:space="0" w:color="auto" w:frame="1"/>
                                <w:lang w:eastAsia="en-GB"/>
                                <w14:ligatures w14:val="none"/>
                              </w:rPr>
                              <w:t>After referral, a mental health professional meets with the person to understand their needs. This includes discussing symptoms, personal history, risks (such as self-harm), and social circumstances. Together, they create a care plan.</w:t>
                            </w:r>
                            <w:r>
                              <w:rPr>
                                <w:rFonts w:ascii="inherit" w:eastAsia="Times New Roman" w:hAnsi="inherit" w:cs="Times New Roman"/>
                                <w:color w:val="242424"/>
                                <w:kern w:val="0"/>
                                <w:sz w:val="16"/>
                                <w:szCs w:val="16"/>
                                <w:bdr w:val="none" w:sz="0" w:space="0" w:color="auto" w:frame="1"/>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Regular appointments with a nurse or psychiatrist</w:t>
                            </w:r>
                            <w:r>
                              <w:rPr>
                                <w:rFonts w:ascii="Times New Roman" w:eastAsia="Times New Roman" w:hAnsi="Times New Roman" w:cs="Times New Roman"/>
                                <w:color w:val="242424"/>
                                <w:kern w:val="0"/>
                                <w:sz w:val="16"/>
                                <w:szCs w:val="16"/>
                                <w:lang w:eastAsia="en-GB"/>
                                <w14:ligatures w14:val="none"/>
                              </w:rPr>
                              <w:t>.</w:t>
                            </w:r>
                            <w:r w:rsidRPr="00150153">
                              <w:rPr>
                                <w:rFonts w:ascii="inherit" w:eastAsia="Times New Roman" w:hAnsi="inherit" w:cs="Times New Roman"/>
                                <w:color w:val="242424"/>
                                <w:kern w:val="0"/>
                                <w:sz w:val="16"/>
                                <w:szCs w:val="16"/>
                                <w:bdr w:val="none" w:sz="0" w:space="0" w:color="auto" w:frame="1"/>
                                <w:lang w:eastAsia="en-GB"/>
                                <w14:ligatures w14:val="none"/>
                              </w:rPr>
                              <w:t xml:space="preserve"> Talking therapy sessions</w:t>
                            </w:r>
                            <w:r>
                              <w:rPr>
                                <w:rFonts w:ascii="Times New Roman" w:eastAsia="Times New Roman" w:hAnsi="Times New Roman" w:cs="Times New Roman"/>
                                <w:color w:val="242424"/>
                                <w:kern w:val="0"/>
                                <w:sz w:val="16"/>
                                <w:szCs w:val="16"/>
                                <w:lang w:eastAsia="en-GB"/>
                                <w14:ligatures w14:val="none"/>
                              </w:rPr>
                              <w:t>.</w:t>
                            </w:r>
                            <w:r w:rsidRPr="00150153">
                              <w:rPr>
                                <w:rFonts w:ascii="inherit" w:eastAsia="Times New Roman" w:hAnsi="inherit" w:cs="Times New Roman"/>
                                <w:color w:val="242424"/>
                                <w:kern w:val="0"/>
                                <w:sz w:val="16"/>
                                <w:szCs w:val="16"/>
                                <w:bdr w:val="none" w:sz="0" w:space="0" w:color="auto" w:frame="1"/>
                                <w:lang w:eastAsia="en-GB"/>
                                <w14:ligatures w14:val="none"/>
                              </w:rPr>
                              <w:t xml:space="preserve"> Home visits for people who need extra support</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Crisis teams for urgent situation</w:t>
                            </w:r>
                            <w:r>
                              <w:rPr>
                                <w:rFonts w:ascii="inherit" w:eastAsia="Times New Roman" w:hAnsi="inherit" w:cs="Times New Roman"/>
                                <w:color w:val="242424"/>
                                <w:kern w:val="0"/>
                                <w:sz w:val="16"/>
                                <w:szCs w:val="16"/>
                                <w:bdr w:val="none" w:sz="0" w:space="0" w:color="auto" w:frame="1"/>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Group sessions focused on recovery and wellbeing</w:t>
                            </w:r>
                          </w:p>
                          <w:p w14:paraId="6A6D8E94"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inherit" w:eastAsia="Times New Roman" w:hAnsi="inherit" w:cs="Times New Roman"/>
                                <w:color w:val="242424"/>
                                <w:kern w:val="0"/>
                                <w:sz w:val="16"/>
                                <w:szCs w:val="16"/>
                                <w:bdr w:val="none" w:sz="0" w:space="0" w:color="auto" w:frame="1"/>
                                <w:lang w:eastAsia="en-GB"/>
                                <w14:ligatures w14:val="none"/>
                              </w:rPr>
                              <w:t>Different professionals meet regularly to review progress and adjust care plans. The person receiving support is encouraged to be involved in decisions about their treatment. Supporting recovery</w:t>
                            </w:r>
                            <w:r>
                              <w:rPr>
                                <w:rFonts w:ascii="inherit" w:eastAsia="Times New Roman" w:hAnsi="inherit" w:cs="Times New Roman"/>
                                <w:color w:val="242424"/>
                                <w:kern w:val="0"/>
                                <w:sz w:val="16"/>
                                <w:szCs w:val="16"/>
                                <w:bdr w:val="none" w:sz="0" w:space="0" w:color="auto" w:frame="1"/>
                                <w:lang w:eastAsia="en-GB"/>
                                <w14:ligatures w14:val="none"/>
                              </w:rPr>
                              <w:t>.</w:t>
                            </w:r>
                            <w:r w:rsidRPr="00150153">
                              <w:rPr>
                                <w:rFonts w:ascii="inherit" w:eastAsia="Times New Roman" w:hAnsi="inherit" w:cs="Times New Roman"/>
                                <w:color w:val="242424"/>
                                <w:kern w:val="0"/>
                                <w:sz w:val="16"/>
                                <w:szCs w:val="16"/>
                                <w:bdr w:val="none" w:sz="0" w:space="0" w:color="auto" w:frame="1"/>
                                <w:lang w:eastAsia="en-GB"/>
                                <w14:ligatures w14:val="none"/>
                              </w:rPr>
                              <w:t xml:space="preserve"> Early help, especially for psychosis</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Preventing unnecessary hospital admissions</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Helping people stay connected to society</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Reducing stigma around mental illness</w:t>
                            </w:r>
                          </w:p>
                          <w:p w14:paraId="1E275E1A" w14:textId="30A2DF66" w:rsidR="0021494E" w:rsidRDefault="0021494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65D88" id="_x0000_s1027" type="#_x0000_t202" style="position:absolute;margin-left:-69.45pt;margin-top:288.65pt;width:313.7pt;height:162.6pt;z-index:2516643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">
                <v:textbox>
                  <w:txbxContent>
                    <w:p w14:paraId="1B2E0D08"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TimesNewRomanPS-BoldMT" w:eastAsia="Times New Roman" w:hAnsi="TimesNewRomanPS-BoldMT" w:cs="Times New Roman"/>
                          <w:b/>
                          <w:bCs/>
                          <w:color w:val="242424"/>
                          <w:kern w:val="0"/>
                          <w:sz w:val="16"/>
                          <w:szCs w:val="16"/>
                          <w:bdr w:val="none" w:sz="0" w:space="0" w:color="auto" w:frame="1"/>
                          <w:lang w:eastAsia="en-GB"/>
                          <w14:ligatures w14:val="none"/>
                        </w:rPr>
                        <w:t>Current Functioning of the Service</w:t>
                      </w:r>
                    </w:p>
                    <w:p w14:paraId="50B69BB6"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inherit" w:eastAsia="Times New Roman" w:hAnsi="inherit" w:cs="Times New Roman"/>
                          <w:color w:val="242424"/>
                          <w:kern w:val="0"/>
                          <w:sz w:val="16"/>
                          <w:szCs w:val="16"/>
                          <w:bdr w:val="none" w:sz="0" w:space="0" w:color="auto" w:frame="1"/>
                          <w:lang w:eastAsia="en-GB"/>
                          <w14:ligatures w14:val="none"/>
                        </w:rPr>
                        <w:t>Today, community mental health services are an important part of the healthcare system.</w:t>
                      </w:r>
                    </w:p>
                    <w:p w14:paraId="08806A9D"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inherit" w:eastAsia="Times New Roman" w:hAnsi="inherit" w:cs="Times New Roman"/>
                          <w:color w:val="242424"/>
                          <w:kern w:val="0"/>
                          <w:sz w:val="16"/>
                          <w:szCs w:val="16"/>
                          <w:bdr w:val="none" w:sz="0" w:space="0" w:color="auto" w:frame="1"/>
                          <w:lang w:eastAsia="en-GB"/>
                          <w14:ligatures w14:val="none"/>
                        </w:rPr>
                        <w:t>People can be referred through</w:t>
                      </w:r>
                      <w:r>
                        <w:rPr>
                          <w:rFonts w:ascii="inherit" w:eastAsia="Times New Roman" w:hAnsi="inherit" w:cs="Times New Roman"/>
                          <w:color w:val="242424"/>
                          <w:kern w:val="0"/>
                          <w:sz w:val="16"/>
                          <w:szCs w:val="16"/>
                          <w:bdr w:val="none" w:sz="0" w:space="0" w:color="auto" w:frame="1"/>
                          <w:lang w:eastAsia="en-GB"/>
                          <w14:ligatures w14:val="none"/>
                        </w:rPr>
                        <w:t xml:space="preserve"> t</w:t>
                      </w:r>
                      <w:r w:rsidRPr="00150153">
                        <w:rPr>
                          <w:rFonts w:ascii="inherit" w:eastAsia="Times New Roman" w:hAnsi="inherit" w:cs="Times New Roman"/>
                          <w:color w:val="242424"/>
                          <w:kern w:val="0"/>
                          <w:sz w:val="16"/>
                          <w:szCs w:val="16"/>
                          <w:bdr w:val="none" w:sz="0" w:space="0" w:color="auto" w:frame="1"/>
                          <w:lang w:eastAsia="en-GB"/>
                          <w14:ligatures w14:val="none"/>
                        </w:rPr>
                        <w:t>heir GP</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Hospital staff after discharge</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Social services</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In some areas, self-referral</w:t>
                      </w:r>
                    </w:p>
                    <w:p w14:paraId="4186C62D"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inherit" w:eastAsia="Times New Roman" w:hAnsi="inherit" w:cs="Times New Roman"/>
                          <w:color w:val="242424"/>
                          <w:kern w:val="0"/>
                          <w:sz w:val="16"/>
                          <w:szCs w:val="16"/>
                          <w:bdr w:val="none" w:sz="0" w:space="0" w:color="auto" w:frame="1"/>
                          <w:lang w:eastAsia="en-GB"/>
                          <w14:ligatures w14:val="none"/>
                        </w:rPr>
                        <w:t>After referral, a mental health professional meets with the person to understand their needs. This includes discussing symptoms, personal history, risks (such as self-harm), and social circumstances. Together, they create a care plan.</w:t>
                      </w:r>
                      <w:r>
                        <w:rPr>
                          <w:rFonts w:ascii="inherit" w:eastAsia="Times New Roman" w:hAnsi="inherit" w:cs="Times New Roman"/>
                          <w:color w:val="242424"/>
                          <w:kern w:val="0"/>
                          <w:sz w:val="16"/>
                          <w:szCs w:val="16"/>
                          <w:bdr w:val="none" w:sz="0" w:space="0" w:color="auto" w:frame="1"/>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Regular appointments with a nurse or psychiatrist</w:t>
                      </w:r>
                      <w:r>
                        <w:rPr>
                          <w:rFonts w:ascii="Times New Roman" w:eastAsia="Times New Roman" w:hAnsi="Times New Roman" w:cs="Times New Roman"/>
                          <w:color w:val="242424"/>
                          <w:kern w:val="0"/>
                          <w:sz w:val="16"/>
                          <w:szCs w:val="16"/>
                          <w:lang w:eastAsia="en-GB"/>
                          <w14:ligatures w14:val="none"/>
                        </w:rPr>
                        <w:t>.</w:t>
                      </w:r>
                      <w:r w:rsidRPr="00150153">
                        <w:rPr>
                          <w:rFonts w:ascii="inherit" w:eastAsia="Times New Roman" w:hAnsi="inherit" w:cs="Times New Roman"/>
                          <w:color w:val="242424"/>
                          <w:kern w:val="0"/>
                          <w:sz w:val="16"/>
                          <w:szCs w:val="16"/>
                          <w:bdr w:val="none" w:sz="0" w:space="0" w:color="auto" w:frame="1"/>
                          <w:lang w:eastAsia="en-GB"/>
                          <w14:ligatures w14:val="none"/>
                        </w:rPr>
                        <w:t xml:space="preserve"> Talking therapy sessions</w:t>
                      </w:r>
                      <w:r>
                        <w:rPr>
                          <w:rFonts w:ascii="Times New Roman" w:eastAsia="Times New Roman" w:hAnsi="Times New Roman" w:cs="Times New Roman"/>
                          <w:color w:val="242424"/>
                          <w:kern w:val="0"/>
                          <w:sz w:val="16"/>
                          <w:szCs w:val="16"/>
                          <w:lang w:eastAsia="en-GB"/>
                          <w14:ligatures w14:val="none"/>
                        </w:rPr>
                        <w:t>.</w:t>
                      </w:r>
                      <w:r w:rsidRPr="00150153">
                        <w:rPr>
                          <w:rFonts w:ascii="inherit" w:eastAsia="Times New Roman" w:hAnsi="inherit" w:cs="Times New Roman"/>
                          <w:color w:val="242424"/>
                          <w:kern w:val="0"/>
                          <w:sz w:val="16"/>
                          <w:szCs w:val="16"/>
                          <w:bdr w:val="none" w:sz="0" w:space="0" w:color="auto" w:frame="1"/>
                          <w:lang w:eastAsia="en-GB"/>
                          <w14:ligatures w14:val="none"/>
                        </w:rPr>
                        <w:t xml:space="preserve"> Home visits for people who need extra support</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Crisis teams for urgent situation</w:t>
                      </w:r>
                      <w:r>
                        <w:rPr>
                          <w:rFonts w:ascii="inherit" w:eastAsia="Times New Roman" w:hAnsi="inherit" w:cs="Times New Roman"/>
                          <w:color w:val="242424"/>
                          <w:kern w:val="0"/>
                          <w:sz w:val="16"/>
                          <w:szCs w:val="16"/>
                          <w:bdr w:val="none" w:sz="0" w:space="0" w:color="auto" w:frame="1"/>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Group sessions focused on recovery and wellbeing</w:t>
                      </w:r>
                    </w:p>
                    <w:p w14:paraId="6A6D8E94" w14:textId="77777777" w:rsidR="0021494E" w:rsidRPr="00150153" w:rsidRDefault="0021494E" w:rsidP="0021494E">
                      <w:pPr>
                        <w:shd w:val="clear" w:color="auto" w:fill="FFFFFF"/>
                        <w:spacing w:after="0" w:line="240" w:lineRule="auto"/>
                        <w:rPr>
                          <w:rFonts w:ascii="Times New Roman" w:eastAsia="Times New Roman" w:hAnsi="Times New Roman" w:cs="Times New Roman"/>
                          <w:color w:val="242424"/>
                          <w:kern w:val="0"/>
                          <w:sz w:val="16"/>
                          <w:szCs w:val="16"/>
                          <w:lang w:eastAsia="en-GB"/>
                          <w14:ligatures w14:val="none"/>
                        </w:rPr>
                      </w:pPr>
                      <w:r w:rsidRPr="00150153">
                        <w:rPr>
                          <w:rFonts w:ascii="inherit" w:eastAsia="Times New Roman" w:hAnsi="inherit" w:cs="Times New Roman"/>
                          <w:color w:val="242424"/>
                          <w:kern w:val="0"/>
                          <w:sz w:val="16"/>
                          <w:szCs w:val="16"/>
                          <w:bdr w:val="none" w:sz="0" w:space="0" w:color="auto" w:frame="1"/>
                          <w:lang w:eastAsia="en-GB"/>
                          <w14:ligatures w14:val="none"/>
                        </w:rPr>
                        <w:t>Different professionals meet regularly to review progress and adjust care plans. The person receiving support is encouraged to be involved in decisions about their treatment. Supporting recovery</w:t>
                      </w:r>
                      <w:r>
                        <w:rPr>
                          <w:rFonts w:ascii="inherit" w:eastAsia="Times New Roman" w:hAnsi="inherit" w:cs="Times New Roman"/>
                          <w:color w:val="242424"/>
                          <w:kern w:val="0"/>
                          <w:sz w:val="16"/>
                          <w:szCs w:val="16"/>
                          <w:bdr w:val="none" w:sz="0" w:space="0" w:color="auto" w:frame="1"/>
                          <w:lang w:eastAsia="en-GB"/>
                          <w14:ligatures w14:val="none"/>
                        </w:rPr>
                        <w:t>.</w:t>
                      </w:r>
                      <w:r w:rsidRPr="00150153">
                        <w:rPr>
                          <w:rFonts w:ascii="inherit" w:eastAsia="Times New Roman" w:hAnsi="inherit" w:cs="Times New Roman"/>
                          <w:color w:val="242424"/>
                          <w:kern w:val="0"/>
                          <w:sz w:val="16"/>
                          <w:szCs w:val="16"/>
                          <w:bdr w:val="none" w:sz="0" w:space="0" w:color="auto" w:frame="1"/>
                          <w:lang w:eastAsia="en-GB"/>
                          <w14:ligatures w14:val="none"/>
                        </w:rPr>
                        <w:t xml:space="preserve"> Early help, especially for psychosis</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Preventing unnecessary hospital admissions</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Helping people stay connected to society</w:t>
                      </w:r>
                      <w:r>
                        <w:rPr>
                          <w:rFonts w:ascii="Times New Roman" w:eastAsia="Times New Roman" w:hAnsi="Times New Roman" w:cs="Times New Roman"/>
                          <w:color w:val="242424"/>
                          <w:kern w:val="0"/>
                          <w:sz w:val="16"/>
                          <w:szCs w:val="16"/>
                          <w:lang w:eastAsia="en-GB"/>
                          <w14:ligatures w14:val="none"/>
                        </w:rPr>
                        <w:t xml:space="preserve">. </w:t>
                      </w:r>
                      <w:r w:rsidRPr="00150153">
                        <w:rPr>
                          <w:rFonts w:ascii="inherit" w:eastAsia="Times New Roman" w:hAnsi="inherit" w:cs="Times New Roman"/>
                          <w:color w:val="242424"/>
                          <w:kern w:val="0"/>
                          <w:sz w:val="16"/>
                          <w:szCs w:val="16"/>
                          <w:bdr w:val="none" w:sz="0" w:space="0" w:color="auto" w:frame="1"/>
                          <w:lang w:eastAsia="en-GB"/>
                          <w14:ligatures w14:val="none"/>
                        </w:rPr>
                        <w:t>Reducing stigma around mental illness</w:t>
                      </w:r>
                    </w:p>
                    <w:p w14:paraId="1E275E1A" w14:textId="30A2DF66" w:rsidR="0021494E" w:rsidRDefault="0021494E"/>
                  </w:txbxContent>
                </v:textbox>
                <w10:wrap type="square"/>
              </v:shape>
            </w:pict>
          </mc:Fallback>
        </mc:AlternateContent>
      </w:r>
      <w:r>
        <w:rPr>
          <w:noProof/>
        </w:rPr>
        <w:drawing>
          <wp:anchor distT="0" distB="0" distL="114300" distR="114300" simplePos="0" relativeHeight="251658247" behindDoc="1" locked="0" layoutInCell="1" allowOverlap="1" wp14:anchorId="51235703" wp14:editId="535C7CAA">
            <wp:simplePos x="0" y="0"/>
            <wp:positionH relativeFrom="page">
              <wp:posOffset>136978</wp:posOffset>
            </wp:positionH>
            <wp:positionV relativeFrom="paragraph">
              <wp:posOffset>1756410</wp:posOffset>
            </wp:positionV>
            <wp:extent cx="2114550" cy="1803400"/>
            <wp:effectExtent l="0" t="0" r="0" b="6350"/>
            <wp:wrapNone/>
            <wp:docPr id="829887176" name="Picture 2" descr="A cover of a book with a person holding their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887176" name="Picture 2" descr="A cover of a book with a person holding their head&#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114550" cy="18034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2343" behindDoc="0" locked="0" layoutInCell="1" allowOverlap="1" wp14:anchorId="3BF165EF" wp14:editId="3543CDBF">
                <wp:simplePos x="0" y="0"/>
                <wp:positionH relativeFrom="page">
                  <wp:posOffset>2407920</wp:posOffset>
                </wp:positionH>
                <wp:positionV relativeFrom="paragraph">
                  <wp:posOffset>1697990</wp:posOffset>
                </wp:positionV>
                <wp:extent cx="5126990" cy="1950720"/>
                <wp:effectExtent l="0" t="0" r="16510" b="11430"/>
                <wp:wrapSquare wrapText="bothSides"/>
                <wp:docPr id="402317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90" cy="1950720"/>
                        </a:xfrm>
                        <a:prstGeom prst="rect">
                          <a:avLst/>
                        </a:prstGeom>
                        <a:solidFill>
                          <a:srgbClr val="FFFFFF"/>
                        </a:solidFill>
                        <a:ln w="9525">
                          <a:solidFill>
                            <a:srgbClr val="000000"/>
                          </a:solidFill>
                          <a:miter lim="800000"/>
                          <a:headEnd/>
                          <a:tailEnd/>
                        </a:ln>
                      </wps:spPr>
                      <wps:txbx>
                        <w:txbxContent>
                          <w:p w14:paraId="322A567A"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b/>
                                <w:bCs/>
                                <w:color w:val="242424"/>
                                <w:kern w:val="0"/>
                                <w:sz w:val="16"/>
                                <w:szCs w:val="16"/>
                                <w:bdr w:val="none" w:sz="0" w:space="0" w:color="auto" w:frame="1"/>
                                <w:lang w:eastAsia="en-GB"/>
                                <w14:ligatures w14:val="none"/>
                              </w:rPr>
                              <w:t>Brief History of Community Mental Health Services</w:t>
                            </w:r>
                          </w:p>
                          <w:p w14:paraId="1D444EA1"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In the past, most mental health care was provided in large psychiatric hospitals, sometimes called asylums. During the 19th and early 20th centuries, many people with severe mental illness lived in these institutions for long periods, often separated from their families and communities.</w:t>
                            </w:r>
                          </w:p>
                          <w:p w14:paraId="608934D4" w14:textId="77777777" w:rsidR="0021494E"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Things began to change in the mid-1900s. Important developments included:</w:t>
                            </w:r>
                          </w:p>
                          <w:p w14:paraId="0ABC87A7"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New psychiatric medications in the 1950s</w:t>
                            </w:r>
                          </w:p>
                          <w:p w14:paraId="7DACD4F3"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Greater awareness of patients’ rights</w:t>
                            </w:r>
                          </w:p>
                          <w:p w14:paraId="6A7272D3"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Concerns about poor conditions in some hospitals</w:t>
                            </w:r>
                          </w:p>
                          <w:p w14:paraId="43ABEEEE"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Government policies promoting care in the community</w:t>
                            </w:r>
                          </w:p>
                          <w:p w14:paraId="35F9F7FA"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In the UK, the </w:t>
                            </w:r>
                            <w:r w:rsidRPr="00FF2B34">
                              <w:rPr>
                                <w:rFonts w:ascii="Arial" w:eastAsia="Times New Roman" w:hAnsi="Arial" w:cs="Arial"/>
                                <w:color w:val="000000" w:themeColor="text1"/>
                                <w:kern w:val="0"/>
                                <w:sz w:val="16"/>
                                <w:szCs w:val="16"/>
                                <w:bdr w:val="none" w:sz="0" w:space="0" w:color="auto" w:frame="1"/>
                                <w:lang w:eastAsia="en-GB"/>
                                <w14:ligatures w14:val="none"/>
                              </w:rPr>
                              <w:t>Mental Health Act 1959 </w:t>
                            </w:r>
                            <w:r w:rsidRPr="00FF2B34">
                              <w:rPr>
                                <w:rFonts w:ascii="Arial" w:eastAsia="Times New Roman" w:hAnsi="Arial" w:cs="Arial"/>
                                <w:color w:val="242424"/>
                                <w:kern w:val="0"/>
                                <w:sz w:val="16"/>
                                <w:szCs w:val="16"/>
                                <w:bdr w:val="none" w:sz="0" w:space="0" w:color="auto" w:frame="1"/>
                                <w:lang w:eastAsia="en-GB"/>
                                <w14:ligatures w14:val="none"/>
                              </w:rPr>
                              <w:t>encouraged treatment outside long-stay hospitals. Later, the</w:t>
                            </w:r>
                            <w:r w:rsidRPr="00FF2B34">
                              <w:rPr>
                                <w:rFonts w:ascii="Arial" w:eastAsia="Times New Roman" w:hAnsi="Arial" w:cs="Arial"/>
                                <w:color w:val="000000" w:themeColor="text1"/>
                                <w:kern w:val="0"/>
                                <w:sz w:val="16"/>
                                <w:szCs w:val="16"/>
                                <w:bdr w:val="none" w:sz="0" w:space="0" w:color="auto" w:frame="1"/>
                                <w:lang w:eastAsia="en-GB"/>
                                <w14:ligatures w14:val="none"/>
                              </w:rPr>
                              <w:t> Mental Health Act 1983</w:t>
                            </w:r>
                            <w:r w:rsidRPr="00FF2B34">
                              <w:rPr>
                                <w:rFonts w:ascii="Arial" w:eastAsia="Times New Roman" w:hAnsi="Arial" w:cs="Arial"/>
                                <w:color w:val="242424"/>
                                <w:kern w:val="0"/>
                                <w:sz w:val="16"/>
                                <w:szCs w:val="16"/>
                                <w:bdr w:val="none" w:sz="0" w:space="0" w:color="auto" w:frame="1"/>
                                <w:lang w:eastAsia="en-GB"/>
                                <w14:ligatures w14:val="none"/>
                              </w:rPr>
                              <w:t> strengthened patients’ legal rights and clarified how mental health treatment should be provided.</w:t>
                            </w:r>
                          </w:p>
                          <w:p w14:paraId="51AB11A7"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From the 1980s onwards, many large psychiatric hospitals closed. The approach known as “Care in the Community” became central to mental health services. Community Mental Health Teams were created to provide ongoing care and support outside hospital settings.</w:t>
                            </w:r>
                          </w:p>
                          <w:p w14:paraId="6C976ABD" w14:textId="5B08951F" w:rsidR="0021494E" w:rsidRDefault="0021494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F165EF" id="_x0000_s1028" type="#_x0000_t202" style="position:absolute;margin-left:189.6pt;margin-top:133.7pt;width:403.7pt;height:153.6pt;z-index:2516623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">
                <v:textbox>
                  <w:txbxContent>
                    <w:p w14:paraId="322A567A"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b/>
                          <w:bCs/>
                          <w:color w:val="242424"/>
                          <w:kern w:val="0"/>
                          <w:sz w:val="16"/>
                          <w:szCs w:val="16"/>
                          <w:bdr w:val="none" w:sz="0" w:space="0" w:color="auto" w:frame="1"/>
                          <w:lang w:eastAsia="en-GB"/>
                          <w14:ligatures w14:val="none"/>
                        </w:rPr>
                        <w:t>Brief History of Community Mental Health Services</w:t>
                      </w:r>
                    </w:p>
                    <w:p w14:paraId="1D444EA1"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In the past, most mental health care was provided in large psychiatric hospitals, sometimes called asylums. During the 19th and early 20th centuries, many people with severe mental illness lived in these institutions for long periods, often separated from their families and communities.</w:t>
                      </w:r>
                    </w:p>
                    <w:p w14:paraId="608934D4" w14:textId="77777777" w:rsidR="0021494E"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Things began to change in the mid-1900s. Important developments included:</w:t>
                      </w:r>
                    </w:p>
                    <w:p w14:paraId="0ABC87A7"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New psychiatric medications in the 1950s</w:t>
                      </w:r>
                    </w:p>
                    <w:p w14:paraId="7DACD4F3"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Greater awareness of patients’ rights</w:t>
                      </w:r>
                    </w:p>
                    <w:p w14:paraId="6A7272D3"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Concerns about poor conditions in some hospitals</w:t>
                      </w:r>
                    </w:p>
                    <w:p w14:paraId="43ABEEEE"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Government policies promoting care in the community</w:t>
                      </w:r>
                    </w:p>
                    <w:p w14:paraId="35F9F7FA"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In the UK, the </w:t>
                      </w:r>
                      <w:r w:rsidRPr="00FF2B34">
                        <w:rPr>
                          <w:rFonts w:ascii="Arial" w:eastAsia="Times New Roman" w:hAnsi="Arial" w:cs="Arial"/>
                          <w:color w:val="000000" w:themeColor="text1"/>
                          <w:kern w:val="0"/>
                          <w:sz w:val="16"/>
                          <w:szCs w:val="16"/>
                          <w:bdr w:val="none" w:sz="0" w:space="0" w:color="auto" w:frame="1"/>
                          <w:lang w:eastAsia="en-GB"/>
                          <w14:ligatures w14:val="none"/>
                        </w:rPr>
                        <w:t>Mental Health Act 1959 </w:t>
                      </w:r>
                      <w:r w:rsidRPr="00FF2B34">
                        <w:rPr>
                          <w:rFonts w:ascii="Arial" w:eastAsia="Times New Roman" w:hAnsi="Arial" w:cs="Arial"/>
                          <w:color w:val="242424"/>
                          <w:kern w:val="0"/>
                          <w:sz w:val="16"/>
                          <w:szCs w:val="16"/>
                          <w:bdr w:val="none" w:sz="0" w:space="0" w:color="auto" w:frame="1"/>
                          <w:lang w:eastAsia="en-GB"/>
                          <w14:ligatures w14:val="none"/>
                        </w:rPr>
                        <w:t>encouraged treatment outside long-stay hospitals. Later, the</w:t>
                      </w:r>
                      <w:r w:rsidRPr="00FF2B34">
                        <w:rPr>
                          <w:rFonts w:ascii="Arial" w:eastAsia="Times New Roman" w:hAnsi="Arial" w:cs="Arial"/>
                          <w:color w:val="000000" w:themeColor="text1"/>
                          <w:kern w:val="0"/>
                          <w:sz w:val="16"/>
                          <w:szCs w:val="16"/>
                          <w:bdr w:val="none" w:sz="0" w:space="0" w:color="auto" w:frame="1"/>
                          <w:lang w:eastAsia="en-GB"/>
                          <w14:ligatures w14:val="none"/>
                        </w:rPr>
                        <w:t> Mental Health Act 1983</w:t>
                      </w:r>
                      <w:r w:rsidRPr="00FF2B34">
                        <w:rPr>
                          <w:rFonts w:ascii="Arial" w:eastAsia="Times New Roman" w:hAnsi="Arial" w:cs="Arial"/>
                          <w:color w:val="242424"/>
                          <w:kern w:val="0"/>
                          <w:sz w:val="16"/>
                          <w:szCs w:val="16"/>
                          <w:bdr w:val="none" w:sz="0" w:space="0" w:color="auto" w:frame="1"/>
                          <w:lang w:eastAsia="en-GB"/>
                          <w14:ligatures w14:val="none"/>
                        </w:rPr>
                        <w:t> strengthened patients’ legal rights and clarified how mental health treatment should be provided.</w:t>
                      </w:r>
                    </w:p>
                    <w:p w14:paraId="51AB11A7" w14:textId="77777777" w:rsidR="0021494E" w:rsidRPr="00FF2B34" w:rsidRDefault="0021494E" w:rsidP="0021494E">
                      <w:pPr>
                        <w:shd w:val="clear" w:color="auto" w:fill="FFFFFF"/>
                        <w:spacing w:after="0" w:line="240" w:lineRule="auto"/>
                        <w:rPr>
                          <w:rFonts w:ascii="Arial" w:eastAsia="Times New Roman" w:hAnsi="Arial" w:cs="Arial"/>
                          <w:color w:val="242424"/>
                          <w:kern w:val="0"/>
                          <w:sz w:val="16"/>
                          <w:szCs w:val="16"/>
                          <w:lang w:eastAsia="en-GB"/>
                          <w14:ligatures w14:val="none"/>
                        </w:rPr>
                      </w:pPr>
                      <w:r w:rsidRPr="00FF2B34">
                        <w:rPr>
                          <w:rFonts w:ascii="Arial" w:eastAsia="Times New Roman" w:hAnsi="Arial" w:cs="Arial"/>
                          <w:color w:val="242424"/>
                          <w:kern w:val="0"/>
                          <w:sz w:val="16"/>
                          <w:szCs w:val="16"/>
                          <w:bdr w:val="none" w:sz="0" w:space="0" w:color="auto" w:frame="1"/>
                          <w:lang w:eastAsia="en-GB"/>
                          <w14:ligatures w14:val="none"/>
                        </w:rPr>
                        <w:t>From the 1980s onwards, many large psychiatric hospitals closed. The approach known as “Care in the Community” became central to mental health services. Community Mental Health Teams were created to provide ongoing care and support outside hospital settings.</w:t>
                      </w:r>
                    </w:p>
                    <w:p w14:paraId="6C976ABD" w14:textId="5B08951F" w:rsidR="0021494E" w:rsidRDefault="0021494E"/>
                  </w:txbxContent>
                </v:textbox>
                <w10:wrap type="square" anchorx="page"/>
              </v:shape>
            </w:pict>
          </mc:Fallback>
        </mc:AlternateContent>
      </w:r>
      <w:r>
        <w:rPr>
          <w:noProof/>
        </w:rPr>
        <mc:AlternateContent>
          <mc:Choice Requires="wps">
            <w:drawing>
              <wp:anchor distT="45720" distB="45720" distL="114300" distR="114300" simplePos="0" relativeHeight="251660295" behindDoc="0" locked="0" layoutInCell="1" allowOverlap="1" wp14:anchorId="5BC9E0EE" wp14:editId="49D0DC12">
                <wp:simplePos x="0" y="0"/>
                <wp:positionH relativeFrom="column">
                  <wp:posOffset>-865505</wp:posOffset>
                </wp:positionH>
                <wp:positionV relativeFrom="paragraph">
                  <wp:posOffset>0</wp:posOffset>
                </wp:positionV>
                <wp:extent cx="4138930" cy="1657350"/>
                <wp:effectExtent l="0" t="0" r="13970" b="19050"/>
                <wp:wrapSquare wrapText="bothSides"/>
                <wp:docPr id="3322921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8930" cy="1657350"/>
                        </a:xfrm>
                        <a:prstGeom prst="rect">
                          <a:avLst/>
                        </a:prstGeom>
                        <a:solidFill>
                          <a:srgbClr val="FFFFFF"/>
                        </a:solidFill>
                        <a:ln w="9525">
                          <a:solidFill>
                            <a:schemeClr val="accent1"/>
                          </a:solidFill>
                          <a:miter lim="800000"/>
                          <a:headEnd/>
                          <a:tailEnd/>
                        </a:ln>
                      </wps:spPr>
                      <wps:txbx>
                        <w:txbxContent>
                          <w:p w14:paraId="210DBCF5" w14:textId="77777777" w:rsidR="00307EDB" w:rsidRPr="00CD7B92" w:rsidRDefault="00307EDB" w:rsidP="00307EDB">
                            <w:pPr>
                              <w:shd w:val="clear" w:color="auto" w:fill="FFFFFF"/>
                              <w:rPr>
                                <w:rFonts w:ascii="Arial" w:eastAsia="Times New Roman" w:hAnsi="Arial" w:cs="Arial"/>
                                <w:color w:val="242424"/>
                                <w:kern w:val="0"/>
                                <w:sz w:val="16"/>
                                <w:szCs w:val="16"/>
                                <w:lang w:eastAsia="en-GB"/>
                                <w14:ligatures w14:val="none"/>
                              </w:rPr>
                            </w:pPr>
                            <w:r w:rsidRPr="00CD7B92">
                              <w:rPr>
                                <w:rFonts w:ascii="Arial" w:eastAsia="Times New Roman" w:hAnsi="Arial" w:cs="Arial"/>
                                <w:b/>
                                <w:bCs/>
                                <w:color w:val="242424"/>
                                <w:kern w:val="0"/>
                                <w:sz w:val="16"/>
                                <w:szCs w:val="16"/>
                                <w:bdr w:val="none" w:sz="0" w:space="0" w:color="auto" w:frame="1"/>
                                <w:lang w:eastAsia="en-GB"/>
                                <w14:ligatures w14:val="none"/>
                              </w:rPr>
                              <w:t>Clear Explanation of the Service</w:t>
                            </w:r>
                          </w:p>
                          <w:p w14:paraId="2716CEFC" w14:textId="77777777" w:rsidR="00307EDB" w:rsidRPr="00CD7B92" w:rsidRDefault="00307EDB" w:rsidP="00307EDB">
                            <w:pPr>
                              <w:shd w:val="clear" w:color="auto" w:fill="FFFFFF"/>
                              <w:rPr>
                                <w:rFonts w:ascii="Arial" w:eastAsia="Times New Roman" w:hAnsi="Arial" w:cs="Arial"/>
                                <w:color w:val="242424"/>
                                <w:kern w:val="0"/>
                                <w:sz w:val="16"/>
                                <w:szCs w:val="16"/>
                                <w:lang w:eastAsia="en-GB"/>
                                <w14:ligatures w14:val="none"/>
                              </w:rPr>
                            </w:pPr>
                            <w:r w:rsidRPr="00CD7B92">
                              <w:rPr>
                                <w:rFonts w:ascii="Arial" w:eastAsia="Times New Roman" w:hAnsi="Arial" w:cs="Arial"/>
                                <w:color w:val="242424"/>
                                <w:kern w:val="0"/>
                                <w:sz w:val="16"/>
                                <w:szCs w:val="16"/>
                                <w:bdr w:val="none" w:sz="0" w:space="0" w:color="auto" w:frame="1"/>
                                <w:lang w:eastAsia="en-GB"/>
                                <w14:ligatures w14:val="none"/>
                              </w:rPr>
                              <w:t>Community mental health services are local services that support people with mental health difficulties while they live at home and remain part of their community. Instead of staying long-term in psychiatric hospitals, people receive care close to where they live. The aim is to help individuals manage their mental health, stay independent, and maintain relationships, work, and daily routines. These services are run by a team of different professionals, including psychiatrists, psychologists, nurses, social workers, occupational therapists, and support workers. They work together to make sure the person receives the right care. The main idea behind community mental health care is to provide support in the least restrictive way possible. This means helping people stay in their own homes and communities whenever it is safe to do so.</w:t>
                            </w:r>
                          </w:p>
                          <w:p w14:paraId="466555B1" w14:textId="30A8DF52" w:rsidR="00307EDB" w:rsidRDefault="00307ED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C9E0EE" id="_x0000_s1029" type="#_x0000_t202" style="position:absolute;margin-left:-68.15pt;margin-top:0;width:325.9pt;height:130.5pt;z-index:25166029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" strokecolor="#156082 [3204]">
                <v:textbox>
                  <w:txbxContent>
                    <w:p w14:paraId="210DBCF5" w14:textId="77777777" w:rsidR="00307EDB" w:rsidRPr="00CD7B92" w:rsidRDefault="00307EDB" w:rsidP="00307EDB">
                      <w:pPr>
                        <w:shd w:val="clear" w:color="auto" w:fill="FFFFFF"/>
                        <w:rPr>
                          <w:rFonts w:ascii="Arial" w:eastAsia="Times New Roman" w:hAnsi="Arial" w:cs="Arial"/>
                          <w:color w:val="242424"/>
                          <w:kern w:val="0"/>
                          <w:sz w:val="16"/>
                          <w:szCs w:val="16"/>
                          <w:lang w:eastAsia="en-GB"/>
                          <w14:ligatures w14:val="none"/>
                        </w:rPr>
                      </w:pPr>
                      <w:r w:rsidRPr="00CD7B92">
                        <w:rPr>
                          <w:rFonts w:ascii="Arial" w:eastAsia="Times New Roman" w:hAnsi="Arial" w:cs="Arial"/>
                          <w:b/>
                          <w:bCs/>
                          <w:color w:val="242424"/>
                          <w:kern w:val="0"/>
                          <w:sz w:val="16"/>
                          <w:szCs w:val="16"/>
                          <w:bdr w:val="none" w:sz="0" w:space="0" w:color="auto" w:frame="1"/>
                          <w:lang w:eastAsia="en-GB"/>
                          <w14:ligatures w14:val="none"/>
                        </w:rPr>
                        <w:t>Clear Explanation of the Service</w:t>
                      </w:r>
                    </w:p>
                    <w:p w14:paraId="2716CEFC" w14:textId="77777777" w:rsidR="00307EDB" w:rsidRPr="00CD7B92" w:rsidRDefault="00307EDB" w:rsidP="00307EDB">
                      <w:pPr>
                        <w:shd w:val="clear" w:color="auto" w:fill="FFFFFF"/>
                        <w:rPr>
                          <w:rFonts w:ascii="Arial" w:eastAsia="Times New Roman" w:hAnsi="Arial" w:cs="Arial"/>
                          <w:color w:val="242424"/>
                          <w:kern w:val="0"/>
                          <w:sz w:val="16"/>
                          <w:szCs w:val="16"/>
                          <w:lang w:eastAsia="en-GB"/>
                          <w14:ligatures w14:val="none"/>
                        </w:rPr>
                      </w:pPr>
                      <w:r w:rsidRPr="00CD7B92">
                        <w:rPr>
                          <w:rFonts w:ascii="Arial" w:eastAsia="Times New Roman" w:hAnsi="Arial" w:cs="Arial"/>
                          <w:color w:val="242424"/>
                          <w:kern w:val="0"/>
                          <w:sz w:val="16"/>
                          <w:szCs w:val="16"/>
                          <w:bdr w:val="none" w:sz="0" w:space="0" w:color="auto" w:frame="1"/>
                          <w:lang w:eastAsia="en-GB"/>
                          <w14:ligatures w14:val="none"/>
                        </w:rPr>
                        <w:t>Community mental health services are local services that support people with mental health difficulties while they live at home and remain part of their community. Instead of staying long-term in psychiatric hospitals, people receive care close to where they live. The aim is to help individuals manage their mental health, stay independent, and maintain relationships, work, and daily routines. These services are run by a team of different professionals, including psychiatrists, psychologists, nurses, social workers, occupational therapists, and support workers. They work together to make sure the person receives the right care. The main idea behind community mental health care is to provide support in the least restrictive way possible. This means helping people stay in their own homes and communities whenever it is safe to do so.</w:t>
                      </w:r>
                    </w:p>
                    <w:p w14:paraId="466555B1" w14:textId="30A8DF52" w:rsidR="00307EDB" w:rsidRDefault="00307EDB"/>
                  </w:txbxContent>
                </v:textbox>
                <w10:wrap type="square"/>
              </v:shape>
            </w:pict>
          </mc:Fallback>
        </mc:AlternateContent>
      </w:r>
      <w:r w:rsidR="00307EDB">
        <w:rPr>
          <w:noProof/>
        </w:rPr>
        <w:drawing>
          <wp:anchor distT="0" distB="0" distL="114300" distR="114300" simplePos="0" relativeHeight="251658245" behindDoc="1" locked="0" layoutInCell="1" allowOverlap="1" wp14:anchorId="578CC442" wp14:editId="467A4E14">
            <wp:simplePos x="0" y="0"/>
            <wp:positionH relativeFrom="page">
              <wp:align>right</wp:align>
            </wp:positionH>
            <wp:positionV relativeFrom="paragraph">
              <wp:posOffset>-909320</wp:posOffset>
            </wp:positionV>
            <wp:extent cx="3321050" cy="2578100"/>
            <wp:effectExtent l="0" t="0" r="0" b="0"/>
            <wp:wrapNone/>
            <wp:docPr id="479919844" name="Picture 1" descr="A poster of a head with a graphic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19844" name="Picture 1" descr="A poster of a head with a graphic design&#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21050" cy="2578100"/>
                    </a:xfrm>
                    <a:prstGeom prst="rect">
                      <a:avLst/>
                    </a:prstGeom>
                  </pic:spPr>
                </pic:pic>
              </a:graphicData>
            </a:graphic>
            <wp14:sizeRelH relativeFrom="margin">
              <wp14:pctWidth>0</wp14:pctWidth>
            </wp14:sizeRelH>
            <wp14:sizeRelV relativeFrom="margin">
              <wp14:pctHeight>0</wp14:pctHeight>
            </wp14:sizeRelV>
          </wp:anchor>
        </w:drawing>
      </w:r>
      <w:r w:rsidR="003A0491">
        <w:br w:type="page"/>
      </w:r>
    </w:p>
    <w:p w14:paraId="4232A617" w14:textId="2D1F01B0" w:rsidR="000025A9" w:rsidRDefault="000025A9" w:rsidP="00701EBE"/>
    <w:p w14:paraId="430DFDFF" w14:textId="4C5273BB" w:rsidR="00D4270B" w:rsidRDefault="00D4270B" w:rsidP="008C3732">
      <w:pPr>
        <w:pStyle w:val="NormalWeb"/>
        <w:shd w:val="clear" w:color="auto" w:fill="FFFFFF"/>
        <w:spacing w:before="0" w:beforeAutospacing="0" w:after="0" w:afterAutospacing="0"/>
        <w:rPr>
          <w:rFonts w:ascii="Arial" w:hAnsi="Arial" w:cs="Arial"/>
          <w:b/>
          <w:bCs/>
          <w:color w:val="242424"/>
          <w:sz w:val="20"/>
          <w:szCs w:val="20"/>
          <w:bdr w:val="none" w:sz="0" w:space="0" w:color="auto" w:frame="1"/>
        </w:rPr>
      </w:pPr>
    </w:p>
    <w:p w14:paraId="5C3F1685" w14:textId="74565A31" w:rsidR="008C3732" w:rsidRPr="00003F63" w:rsidRDefault="008C3732" w:rsidP="004A294F">
      <w:pPr>
        <w:rPr>
          <w:rFonts w:ascii="Arial" w:hAnsi="Arial" w:cs="Arial"/>
          <w:color w:val="242424"/>
          <w:sz w:val="20"/>
          <w:szCs w:val="20"/>
        </w:rPr>
      </w:pPr>
      <w:r w:rsidRPr="00003F63">
        <w:rPr>
          <w:rFonts w:ascii="Arial" w:hAnsi="Arial" w:cs="Arial"/>
          <w:b/>
          <w:bCs/>
          <w:color w:val="242424"/>
          <w:sz w:val="20"/>
          <w:szCs w:val="20"/>
          <w:bdr w:val="none" w:sz="0" w:space="0" w:color="auto" w:frame="1"/>
        </w:rPr>
        <w:t>Ambulance Service: History, Modern Practice and Impact on Quality of Life</w:t>
      </w:r>
    </w:p>
    <w:p w14:paraId="7B4FCD1F" w14:textId="3E1F9B77"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p>
    <w:p w14:paraId="3F7D122D" w14:textId="6724C66D"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p>
    <w:p w14:paraId="3C2F2230" w14:textId="3B2DB3C7"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r w:rsidRPr="00003F63">
        <w:rPr>
          <w:rFonts w:ascii="Arial" w:hAnsi="Arial" w:cs="Arial"/>
          <w:color w:val="242424"/>
          <w:sz w:val="20"/>
          <w:szCs w:val="20"/>
          <w:bdr w:val="none" w:sz="0" w:space="0" w:color="auto" w:frame="1"/>
        </w:rPr>
        <w:t xml:space="preserve">The ambulance service is now seen as an essential part of modern healthcare, yet its development has been shaped by centuries of social change, war, and public health reform. Originally, ambulances were not medical units but simple methods of transport. In early history, injured individuals were carried by hand or moved in carts with little medical intervention. Organised ambulance systems began to emerge in military contexts, particularly during European conflicts where battlefield casualties required structured evacuation systems. Lateef </w:t>
      </w:r>
      <w:r w:rsidR="00B12B49" w:rsidRPr="00003F63">
        <w:rPr>
          <w:rFonts w:ascii="Arial" w:hAnsi="Arial" w:cs="Arial"/>
          <w:color w:val="242424"/>
          <w:sz w:val="20"/>
          <w:szCs w:val="20"/>
          <w:bdr w:val="none" w:sz="0" w:space="0" w:color="auto" w:frame="1"/>
        </w:rPr>
        <w:t>and</w:t>
      </w:r>
      <w:r w:rsidR="00B12B49">
        <w:rPr>
          <w:rFonts w:ascii="Arial" w:hAnsi="Arial" w:cs="Arial"/>
          <w:color w:val="242424"/>
          <w:sz w:val="20"/>
          <w:szCs w:val="20"/>
          <w:bdr w:val="none" w:sz="0" w:space="0" w:color="auto" w:frame="1"/>
        </w:rPr>
        <w:t xml:space="preserve"> </w:t>
      </w:r>
      <w:proofErr w:type="spellStart"/>
      <w:proofErr w:type="gramStart"/>
      <w:r w:rsidR="00B12B49" w:rsidRPr="00003F63">
        <w:rPr>
          <w:rFonts w:ascii="Arial" w:hAnsi="Arial" w:cs="Arial"/>
          <w:color w:val="242424"/>
          <w:sz w:val="20"/>
          <w:szCs w:val="20"/>
          <w:bdr w:val="none" w:sz="0" w:space="0" w:color="auto" w:frame="1"/>
        </w:rPr>
        <w:t>Nimbkar</w:t>
      </w:r>
      <w:proofErr w:type="spellEnd"/>
      <w:r>
        <w:rPr>
          <w:rFonts w:ascii="Arial" w:hAnsi="Arial" w:cs="Arial"/>
          <w:color w:val="242424"/>
          <w:sz w:val="20"/>
          <w:szCs w:val="20"/>
          <w:bdr w:val="none" w:sz="0" w:space="0" w:color="auto" w:frame="1"/>
        </w:rPr>
        <w:t xml:space="preserve"> </w:t>
      </w:r>
      <w:r w:rsidRPr="00003F63">
        <w:rPr>
          <w:rFonts w:ascii="Arial" w:hAnsi="Arial" w:cs="Arial"/>
          <w:color w:val="242424"/>
          <w:sz w:val="20"/>
          <w:szCs w:val="20"/>
          <w:bdr w:val="none" w:sz="0" w:space="0" w:color="auto" w:frame="1"/>
        </w:rPr>
        <w:t xml:space="preserve"> (</w:t>
      </w:r>
      <w:proofErr w:type="gramEnd"/>
      <w:r w:rsidRPr="00003F63">
        <w:rPr>
          <w:rFonts w:ascii="Arial" w:hAnsi="Arial" w:cs="Arial"/>
          <w:color w:val="242424"/>
          <w:sz w:val="20"/>
          <w:szCs w:val="20"/>
          <w:bdr w:val="none" w:sz="0" w:space="0" w:color="auto" w:frame="1"/>
        </w:rPr>
        <w:t>2005) explain that early horse-drawn ambulances were introduced to improve survival rates among wounded soldiers, marking a significant shift from informal care to coordinated emergency response. These early developments laid the foundation for civilian ambulance services.</w:t>
      </w:r>
    </w:p>
    <w:p w14:paraId="773F5D1B" w14:textId="4B0A78A3"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r w:rsidRPr="00003F63">
        <w:rPr>
          <w:rFonts w:ascii="Arial" w:hAnsi="Arial" w:cs="Arial"/>
          <w:color w:val="242424"/>
          <w:sz w:val="20"/>
          <w:szCs w:val="20"/>
          <w:bdr w:val="none" w:sz="0" w:space="0" w:color="auto" w:frame="1"/>
        </w:rPr>
        <w:t>In the United Kingdom, the late nineteenth century saw voluntary organisations such as St John Ambulance begin offering first aid training and patient transport services (St John Ambulance, n.d.). This was a turning point, as it connected emergency care with community service. However, ambulance provision remained fragmented and inconsistent until the establishment of the National Health Service (NHS) in 1948. The NHS formalised ambulance services as part of publicly funded healthcare, ensuring equal access regardless of income (NHS England, n.d.). Pollock (2012) notes that throughout the twentieth century, the ambulance service gradually evolved from a transport-focused system to a clinical one, reflecting wider changes in medical knowledge and healthcare delivery. As medical technology improved, so too did expectations of what ambulance staff could provide at the scene of an emergency.</w:t>
      </w:r>
    </w:p>
    <w:p w14:paraId="54E3D48F" w14:textId="2FBD48CB"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p>
    <w:p w14:paraId="435E669D" w14:textId="1A3B3E85"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r w:rsidRPr="00003F63">
        <w:rPr>
          <w:rFonts w:ascii="Arial" w:hAnsi="Arial" w:cs="Arial"/>
          <w:color w:val="242424"/>
          <w:sz w:val="20"/>
          <w:szCs w:val="20"/>
          <w:bdr w:val="none" w:sz="0" w:space="0" w:color="auto" w:frame="1"/>
        </w:rPr>
        <w:t xml:space="preserve">Today, ambulance services function as highly specialised pre-hospital care systems. Modern paramedics are trained to assess, diagnose, and treat patients in complex and often unpredictable situations. Ambulances are equipped with advanced life-support equipment, including defibrillators, oxygen therapy, and drug administration capabilities. In England, ambulance trusts respond to 999 emergency calls </w:t>
      </w:r>
      <w:proofErr w:type="gramStart"/>
      <w:r w:rsidRPr="00003F63">
        <w:rPr>
          <w:rFonts w:ascii="Arial" w:hAnsi="Arial" w:cs="Arial"/>
          <w:color w:val="242424"/>
          <w:sz w:val="20"/>
          <w:szCs w:val="20"/>
          <w:bdr w:val="none" w:sz="0" w:space="0" w:color="auto" w:frame="1"/>
        </w:rPr>
        <w:t>and also</w:t>
      </w:r>
      <w:proofErr w:type="gramEnd"/>
      <w:r w:rsidRPr="00003F63">
        <w:rPr>
          <w:rFonts w:ascii="Arial" w:hAnsi="Arial" w:cs="Arial"/>
          <w:color w:val="242424"/>
          <w:sz w:val="20"/>
          <w:szCs w:val="20"/>
          <w:bdr w:val="none" w:sz="0" w:space="0" w:color="auto" w:frame="1"/>
        </w:rPr>
        <w:t xml:space="preserve"> support urgent care through services such as NHS 111 (NHS England, n.d.). This integrated system aims to ensure that patients receive the right level of care without unnecessary hospital admissions.</w:t>
      </w:r>
    </w:p>
    <w:p w14:paraId="179367C2" w14:textId="360D10B3"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p>
    <w:p w14:paraId="0D004556" w14:textId="118A78F8"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r w:rsidRPr="00003F63">
        <w:rPr>
          <w:rFonts w:ascii="Arial" w:hAnsi="Arial" w:cs="Arial"/>
          <w:color w:val="242424"/>
          <w:sz w:val="20"/>
          <w:szCs w:val="20"/>
          <w:bdr w:val="none" w:sz="0" w:space="0" w:color="auto" w:frame="1"/>
        </w:rPr>
        <w:t>However, while the service has advanced significantly, it faces notable challenges. Increasing demand, an ageing population, and delays in hospital handovers have placed considerable strain on ambulance trusts. A recent analysis by The Guardian (2025) highlighted concerns about extended response times during peak pressures, raising questions about sustainability and workforce capacity. Furthermore, Höglund et al. (2024) argue that measuring quality in ambulance services remains complex, particularly when evaluating cases where patients are treated at home rather than transported to hospital. This shift towards non-conveyance demonstrates a more patient-centred approach but also requires careful assessment to ensure safety and accountability. Therefore, while modern ambulance services are clinically advanced, they operate within a healthcare system facing structural pressures.</w:t>
      </w:r>
    </w:p>
    <w:p w14:paraId="5E70AF22" w14:textId="57AF8FF9"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r w:rsidRPr="00003F63">
        <w:rPr>
          <w:rFonts w:ascii="Arial" w:hAnsi="Arial" w:cs="Arial"/>
          <w:color w:val="242424"/>
          <w:sz w:val="20"/>
          <w:szCs w:val="20"/>
          <w:bdr w:val="none" w:sz="0" w:space="0" w:color="auto" w:frame="1"/>
        </w:rPr>
        <w:t>Despite these challenges, the significance of the ambulance service in enhancing quality of life cannot be overstated. Rapid response to cardiac arrest, stroke, trauma, or respiratory distress can dramatically improve survival outcomes and reduce long-term disability (Lateef and Nimbkar, 2005). Beyond life-saving interventions, ambulance professionals provide reassurance, emotional support, and dignity during moments of crisis. For many patients, paramedics are the first healthcare professionals they encounter, shaping their experience of care. Additionally, community-based initiatives and first aid education programmes delivered by organisations such as St John Ambulance contribute to public confidence and resilience (St John Ambulance, n.d.).</w:t>
      </w:r>
    </w:p>
    <w:p w14:paraId="23FBA2B7" w14:textId="5043D087"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p>
    <w:p w14:paraId="079E0786" w14:textId="696F32F6" w:rsidR="008C3732" w:rsidRPr="00003F63" w:rsidRDefault="008C3732" w:rsidP="008C3732">
      <w:pPr>
        <w:pStyle w:val="NormalWeb"/>
        <w:shd w:val="clear" w:color="auto" w:fill="FFFFFF"/>
        <w:spacing w:before="0" w:beforeAutospacing="0" w:after="0" w:afterAutospacing="0"/>
        <w:rPr>
          <w:rFonts w:ascii="Arial" w:hAnsi="Arial" w:cs="Arial"/>
          <w:color w:val="242424"/>
          <w:sz w:val="20"/>
          <w:szCs w:val="20"/>
        </w:rPr>
      </w:pPr>
      <w:r w:rsidRPr="00003F63">
        <w:rPr>
          <w:rFonts w:ascii="Arial" w:hAnsi="Arial" w:cs="Arial"/>
          <w:color w:val="242424"/>
          <w:sz w:val="20"/>
          <w:szCs w:val="20"/>
          <w:bdr w:val="none" w:sz="0" w:space="0" w:color="auto" w:frame="1"/>
        </w:rPr>
        <w:t xml:space="preserve">In conclusion, the ambulance service has transformed from basic transport provision into a sophisticated, life-saving component of modern healthcare. Its origins in military and voluntary systems shaped its development, while integration into the NHS established it as a universal public service. Although contemporary challenges such as demand pressures and workforce strain require ongoing reform, the service remains fundamental in safeguarding lives and improving patient outcomes. </w:t>
      </w:r>
    </w:p>
    <w:p w14:paraId="104D103B" w14:textId="77777777" w:rsidR="00045302" w:rsidRDefault="00045302" w:rsidP="00045302">
      <w:pPr>
        <w:pStyle w:val="NormalWeb"/>
        <w:shd w:val="clear" w:color="auto" w:fill="FFFFFF"/>
        <w:spacing w:before="0" w:beforeAutospacing="0" w:after="0" w:afterAutospacing="0"/>
        <w:rPr>
          <w:rFonts w:ascii="TimesNewRomanPS-BoldMT" w:hAnsi="TimesNewRomanPS-BoldMT"/>
          <w:b/>
          <w:bCs/>
          <w:color w:val="242424"/>
          <w:sz w:val="27"/>
          <w:szCs w:val="27"/>
          <w:bdr w:val="none" w:sz="0" w:space="0" w:color="auto" w:frame="1"/>
        </w:rPr>
      </w:pPr>
      <w:r>
        <w:rPr>
          <w:rFonts w:ascii="TimesNewRomanPS-BoldMT" w:hAnsi="TimesNewRomanPS-BoldMT"/>
          <w:b/>
          <w:bCs/>
          <w:color w:val="242424"/>
          <w:sz w:val="27"/>
          <w:szCs w:val="27"/>
          <w:bdr w:val="none" w:sz="0" w:space="0" w:color="auto" w:frame="1"/>
        </w:rPr>
        <w:lastRenderedPageBreak/>
        <w:br/>
        <w:t>Reference List</w:t>
      </w:r>
    </w:p>
    <w:p w14:paraId="77747415" w14:textId="77777777" w:rsidR="00045302" w:rsidRDefault="00045302" w:rsidP="00045302">
      <w:pPr>
        <w:pStyle w:val="NormalWeb"/>
        <w:shd w:val="clear" w:color="auto" w:fill="FFFFFF"/>
        <w:spacing w:before="0" w:beforeAutospacing="0" w:after="0" w:afterAutospacing="0"/>
        <w:rPr>
          <w:rFonts w:ascii="TimesNewRomanPS-BoldMT" w:hAnsi="TimesNewRomanPS-BoldMT"/>
          <w:b/>
          <w:bCs/>
          <w:color w:val="242424"/>
          <w:sz w:val="27"/>
          <w:szCs w:val="27"/>
          <w:bdr w:val="none" w:sz="0" w:space="0" w:color="auto" w:frame="1"/>
        </w:rPr>
      </w:pPr>
    </w:p>
    <w:p w14:paraId="499642DD"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Care Quality Commission (2023) Community mental health survey 2023. London: CQC. Available at: </w:t>
      </w:r>
      <w:hyperlink r:id="rId17" w:tgtFrame="_blank" w:tooltip="https://www.cqc.org.uk" w:history="1">
        <w:r w:rsidRPr="001B56B1">
          <w:rPr>
            <w:rStyle w:val="Hyperlink"/>
            <w:rFonts w:ascii="Arial" w:eastAsiaTheme="majorEastAsia" w:hAnsi="Arial" w:cs="Arial"/>
            <w:sz w:val="22"/>
            <w:szCs w:val="22"/>
            <w:bdr w:val="none" w:sz="0" w:space="0" w:color="auto" w:frame="1"/>
          </w:rPr>
          <w:t>https://www.cqc.org.uk</w:t>
        </w:r>
      </w:hyperlink>
      <w:r w:rsidRPr="001B56B1">
        <w:rPr>
          <w:rFonts w:ascii="Arial" w:hAnsi="Arial" w:cs="Arial"/>
          <w:color w:val="242424"/>
          <w:sz w:val="22"/>
          <w:szCs w:val="22"/>
          <w:bdr w:val="none" w:sz="0" w:space="0" w:color="auto" w:frame="1"/>
        </w:rPr>
        <w:t> (Accessed: 14 February 2026).</w:t>
      </w:r>
    </w:p>
    <w:p w14:paraId="248FEE3B"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40B30E06"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Department of Health (2011) No health without mental health: A cross-government mental health outcomes strategy for people of all ages. London: The Stationery Office.</w:t>
      </w:r>
    </w:p>
    <w:p w14:paraId="302DC5B0"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6705ABAE"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HM Government (1983) Mental Health Act 1983. London: The Stationery Office.</w:t>
      </w:r>
    </w:p>
    <w:p w14:paraId="5F981BA2"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6969057E"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NHS Confederation (2022) Community mental health services: Evidence to the Health and Social Care Committee. London: NHS Confederation.</w:t>
      </w:r>
    </w:p>
    <w:p w14:paraId="7D04A556"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3647CA08"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National Audit Office (2023) Progress in improving mental health services in England. London: NAO.</w:t>
      </w:r>
    </w:p>
    <w:p w14:paraId="7B1E5D0F"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56E50594"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Trethewey, S.P., Turnbull, M., Redwood, S. and Wheeler, C. (2024) ‘Thinking upstream: Greater investment in community-based mental health support is essential’, BMJ, 386, p. q1802.</w:t>
      </w:r>
    </w:p>
    <w:p w14:paraId="2B13E5CB" w14:textId="77777777" w:rsidR="00045302" w:rsidRPr="001B56B1" w:rsidRDefault="00045302" w:rsidP="00045302">
      <w:pPr>
        <w:pStyle w:val="NormalWeb"/>
        <w:shd w:val="clear" w:color="auto" w:fill="FFFFFF"/>
        <w:spacing w:before="0" w:beforeAutospacing="0" w:after="0" w:afterAutospacing="0"/>
        <w:rPr>
          <w:color w:val="242424"/>
          <w:sz w:val="22"/>
          <w:szCs w:val="22"/>
        </w:rPr>
      </w:pPr>
    </w:p>
    <w:p w14:paraId="35636D38" w14:textId="77777777" w:rsidR="00045302" w:rsidRPr="001B56B1" w:rsidRDefault="00045302" w:rsidP="00045302">
      <w:pPr>
        <w:pStyle w:val="NormalWeb"/>
        <w:shd w:val="clear" w:color="auto" w:fill="FFFFFF"/>
        <w:spacing w:before="0" w:beforeAutospacing="0" w:after="0" w:afterAutospacing="0"/>
        <w:rPr>
          <w:color w:val="242424"/>
          <w:sz w:val="22"/>
          <w:szCs w:val="22"/>
        </w:rPr>
      </w:pPr>
    </w:p>
    <w:p w14:paraId="4261DA54"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 xml:space="preserve">Höglund, E., Magnusson, C., Lederman, J., Spangler, D., </w:t>
      </w:r>
      <w:proofErr w:type="spellStart"/>
      <w:r w:rsidRPr="001B56B1">
        <w:rPr>
          <w:rFonts w:ascii="Arial" w:hAnsi="Arial" w:cs="Arial"/>
          <w:color w:val="242424"/>
          <w:sz w:val="22"/>
          <w:szCs w:val="22"/>
          <w:bdr w:val="none" w:sz="0" w:space="0" w:color="auto" w:frame="1"/>
        </w:rPr>
        <w:t>Vloet</w:t>
      </w:r>
      <w:proofErr w:type="spellEnd"/>
      <w:r w:rsidRPr="001B56B1">
        <w:rPr>
          <w:rFonts w:ascii="Arial" w:hAnsi="Arial" w:cs="Arial"/>
          <w:color w:val="242424"/>
          <w:sz w:val="22"/>
          <w:szCs w:val="22"/>
          <w:bdr w:val="none" w:sz="0" w:space="0" w:color="auto" w:frame="1"/>
        </w:rPr>
        <w:t xml:space="preserve">, L. and Ebben, R. (2024) ‘Ambulance quality and outcome measures for general non-conveyed populations’, </w:t>
      </w:r>
      <w:proofErr w:type="spellStart"/>
      <w:r w:rsidRPr="001B56B1">
        <w:rPr>
          <w:rFonts w:ascii="Arial" w:hAnsi="Arial" w:cs="Arial"/>
          <w:color w:val="242424"/>
          <w:sz w:val="22"/>
          <w:szCs w:val="22"/>
          <w:bdr w:val="none" w:sz="0" w:space="0" w:color="auto" w:frame="1"/>
        </w:rPr>
        <w:t>PLoS</w:t>
      </w:r>
      <w:proofErr w:type="spellEnd"/>
      <w:r w:rsidRPr="001B56B1">
        <w:rPr>
          <w:rFonts w:ascii="Arial" w:hAnsi="Arial" w:cs="Arial"/>
          <w:color w:val="242424"/>
          <w:sz w:val="22"/>
          <w:szCs w:val="22"/>
          <w:bdr w:val="none" w:sz="0" w:space="0" w:color="auto" w:frame="1"/>
        </w:rPr>
        <w:t xml:space="preserve"> ONE, 19(7), e0306341.</w:t>
      </w:r>
    </w:p>
    <w:p w14:paraId="3F01B251"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3F22932F"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 xml:space="preserve">Lateef, F. and </w:t>
      </w:r>
      <w:proofErr w:type="spellStart"/>
      <w:r w:rsidRPr="001B56B1">
        <w:rPr>
          <w:rFonts w:ascii="Arial" w:hAnsi="Arial" w:cs="Arial"/>
          <w:color w:val="242424"/>
          <w:sz w:val="22"/>
          <w:szCs w:val="22"/>
          <w:bdr w:val="none" w:sz="0" w:space="0" w:color="auto" w:frame="1"/>
        </w:rPr>
        <w:t>Nimbkar</w:t>
      </w:r>
      <w:proofErr w:type="spellEnd"/>
      <w:r w:rsidRPr="001B56B1">
        <w:rPr>
          <w:rFonts w:ascii="Arial" w:hAnsi="Arial" w:cs="Arial"/>
          <w:color w:val="242424"/>
          <w:sz w:val="22"/>
          <w:szCs w:val="22"/>
          <w:bdr w:val="none" w:sz="0" w:space="0" w:color="auto" w:frame="1"/>
        </w:rPr>
        <w:t>, N. (2005) ‘Ambulances: From antiquity to modern times’, International Journal of Emergency Medicine, 12(4), pp. 325–330.</w:t>
      </w:r>
    </w:p>
    <w:p w14:paraId="2C755009"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2B8C3A91"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NHS England (n.d.) Ambulance services and urgent and emergency care. Available at: </w:t>
      </w:r>
      <w:hyperlink r:id="rId18" w:tgtFrame="_blank" w:tooltip="https://www.england.nhs.uk/urgent-emergency-care/improving-ambulance-services/" w:history="1">
        <w:r w:rsidRPr="001B56B1">
          <w:rPr>
            <w:rStyle w:val="Hyperlink"/>
            <w:rFonts w:ascii="Arial" w:eastAsiaTheme="majorEastAsia" w:hAnsi="Arial" w:cs="Arial"/>
            <w:sz w:val="22"/>
            <w:szCs w:val="22"/>
            <w:bdr w:val="none" w:sz="0" w:space="0" w:color="auto" w:frame="1"/>
          </w:rPr>
          <w:t>https://www.england.nhs.uk/urgent-emergency-care/improving-ambulance-services/</w:t>
        </w:r>
      </w:hyperlink>
      <w:r w:rsidRPr="001B56B1">
        <w:rPr>
          <w:rFonts w:ascii="Arial" w:hAnsi="Arial" w:cs="Arial"/>
          <w:color w:val="242424"/>
          <w:sz w:val="22"/>
          <w:szCs w:val="22"/>
          <w:bdr w:val="none" w:sz="0" w:space="0" w:color="auto" w:frame="1"/>
        </w:rPr>
        <w:t> (Accessed: 18 February 2026).</w:t>
      </w:r>
    </w:p>
    <w:p w14:paraId="3DAFA996"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1709C253"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Pollock, A. (2012) ‘Ambulance services in London and Great Britain from 1860 until today: A glimpse of history gleaned mainly from the pages of contemporary journals’, Emergency Medicine Journal, 30(3), pp. 218–222.</w:t>
      </w:r>
    </w:p>
    <w:p w14:paraId="6C70B407"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3AB7747E"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St John Ambulance (n.d.) Our history. Available at: </w:t>
      </w:r>
      <w:hyperlink r:id="rId19" w:tgtFrame="_blank" w:tooltip="https://www.sja.org.uk/about-us/our-history/" w:history="1">
        <w:r w:rsidRPr="001B56B1">
          <w:rPr>
            <w:rStyle w:val="Hyperlink"/>
            <w:rFonts w:ascii="Arial" w:eastAsiaTheme="majorEastAsia" w:hAnsi="Arial" w:cs="Arial"/>
            <w:sz w:val="22"/>
            <w:szCs w:val="22"/>
            <w:bdr w:val="none" w:sz="0" w:space="0" w:color="auto" w:frame="1"/>
          </w:rPr>
          <w:t>https://www.sja.org.uk/about-us/our-history/</w:t>
        </w:r>
      </w:hyperlink>
      <w:r w:rsidRPr="001B56B1">
        <w:rPr>
          <w:rFonts w:ascii="Arial" w:hAnsi="Arial" w:cs="Arial"/>
          <w:color w:val="242424"/>
          <w:sz w:val="22"/>
          <w:szCs w:val="22"/>
          <w:bdr w:val="none" w:sz="0" w:space="0" w:color="auto" w:frame="1"/>
        </w:rPr>
        <w:t> (Accessed: 18 February 2026).</w:t>
      </w:r>
    </w:p>
    <w:p w14:paraId="2AFCDAAB"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p>
    <w:p w14:paraId="415DA43E" w14:textId="77777777" w:rsidR="00045302" w:rsidRPr="001B56B1" w:rsidRDefault="00045302" w:rsidP="00045302">
      <w:pPr>
        <w:pStyle w:val="NormalWeb"/>
        <w:shd w:val="clear" w:color="auto" w:fill="FFFFFF"/>
        <w:spacing w:before="0" w:beforeAutospacing="0" w:after="0" w:afterAutospacing="0"/>
        <w:rPr>
          <w:rFonts w:ascii="Arial" w:hAnsi="Arial" w:cs="Arial"/>
          <w:color w:val="242424"/>
          <w:sz w:val="22"/>
          <w:szCs w:val="22"/>
        </w:rPr>
      </w:pPr>
      <w:r w:rsidRPr="001B56B1">
        <w:rPr>
          <w:rFonts w:ascii="Arial" w:hAnsi="Arial" w:cs="Arial"/>
          <w:color w:val="242424"/>
          <w:sz w:val="22"/>
          <w:szCs w:val="22"/>
          <w:bdr w:val="none" w:sz="0" w:space="0" w:color="auto" w:frame="1"/>
        </w:rPr>
        <w:t>The Guardian (2025) ‘NHS data reveals A&amp;E “Uber ambulance crisis” in England, say Lib Dems’, The Guardian, 18 August. Available at: </w:t>
      </w:r>
      <w:hyperlink r:id="rId20" w:tgtFrame="_blank" w:tooltip="https://www.theguardian.com/society/2025/aug/18/figures-gathered-from-nhs-trusts-reveal-uber-ambulance-crisis-in-england" w:history="1">
        <w:r w:rsidRPr="001B56B1">
          <w:rPr>
            <w:rStyle w:val="Hyperlink"/>
            <w:rFonts w:ascii="Arial" w:eastAsiaTheme="majorEastAsia" w:hAnsi="Arial" w:cs="Arial"/>
            <w:sz w:val="22"/>
            <w:szCs w:val="22"/>
            <w:bdr w:val="none" w:sz="0" w:space="0" w:color="auto" w:frame="1"/>
          </w:rPr>
          <w:t>https://www.theguardian.com/society/2025/aug/18/figures-gathered-from-nhs-trusts-reveal-uber-ambulance-crisis-in-england</w:t>
        </w:r>
      </w:hyperlink>
      <w:r w:rsidRPr="001B56B1">
        <w:rPr>
          <w:rFonts w:ascii="Arial" w:hAnsi="Arial" w:cs="Arial"/>
          <w:color w:val="242424"/>
          <w:sz w:val="22"/>
          <w:szCs w:val="22"/>
          <w:bdr w:val="none" w:sz="0" w:space="0" w:color="auto" w:frame="1"/>
        </w:rPr>
        <w:t> (Accessed: 18 February 2026).</w:t>
      </w:r>
    </w:p>
    <w:p w14:paraId="10C8C24D" w14:textId="03153E5E" w:rsidR="000025A9" w:rsidRDefault="000025A9"/>
    <w:p w14:paraId="4799B5AA" w14:textId="2B90C5FF" w:rsidR="00701EBE" w:rsidRDefault="00701EBE" w:rsidP="00701EBE"/>
    <w:p w14:paraId="27A648B9" w14:textId="792973B0" w:rsidR="00B70927" w:rsidRDefault="00B70927"/>
    <w:sectPr w:rsidR="00B709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6D94A" w14:textId="77777777" w:rsidR="00445C07" w:rsidRDefault="00445C07" w:rsidP="00701EBE">
      <w:pPr>
        <w:spacing w:after="0" w:line="240" w:lineRule="auto"/>
      </w:pPr>
      <w:r>
        <w:separator/>
      </w:r>
    </w:p>
  </w:endnote>
  <w:endnote w:type="continuationSeparator" w:id="0">
    <w:p w14:paraId="3E76644D" w14:textId="77777777" w:rsidR="00445C07" w:rsidRDefault="00445C07" w:rsidP="00701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NewRomanPS-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EBD65" w14:textId="77777777" w:rsidR="00445C07" w:rsidRDefault="00445C07" w:rsidP="00701EBE">
      <w:pPr>
        <w:spacing w:after="0" w:line="240" w:lineRule="auto"/>
      </w:pPr>
      <w:r>
        <w:separator/>
      </w:r>
    </w:p>
  </w:footnote>
  <w:footnote w:type="continuationSeparator" w:id="0">
    <w:p w14:paraId="729F8BA6" w14:textId="77777777" w:rsidR="00445C07" w:rsidRDefault="00445C07" w:rsidP="00701E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D429A"/>
    <w:multiLevelType w:val="multilevel"/>
    <w:tmpl w:val="A18AB2B8"/>
    <w:lvl w:ilvl="0">
      <w:start w:val="1"/>
      <w:numFmt w:val="decimal"/>
      <w:lvlText w:val="%1."/>
      <w:lvlJc w:val="left"/>
      <w:pPr>
        <w:ind w:left="400" w:hanging="4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3E26650"/>
    <w:multiLevelType w:val="multilevel"/>
    <w:tmpl w:val="B84CF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5539F"/>
    <w:multiLevelType w:val="multilevel"/>
    <w:tmpl w:val="873EF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854E28"/>
    <w:multiLevelType w:val="multilevel"/>
    <w:tmpl w:val="6B96C2C0"/>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96F289F"/>
    <w:multiLevelType w:val="hybridMultilevel"/>
    <w:tmpl w:val="8E280C66"/>
    <w:lvl w:ilvl="0" w:tplc="BEC060FE">
      <w:start w:val="1"/>
      <w:numFmt w:val="decimal"/>
      <w:lvlText w:val="%1."/>
      <w:lvlJc w:val="left"/>
      <w:pPr>
        <w:ind w:left="720" w:hanging="360"/>
      </w:pPr>
      <w:rPr>
        <w:rFonts w:ascii="TimesNewRomanPS-BoldMT" w:hAnsi="TimesNewRomanPS-BoldMT"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B207D2"/>
    <w:multiLevelType w:val="multilevel"/>
    <w:tmpl w:val="6E88C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785136"/>
    <w:multiLevelType w:val="multilevel"/>
    <w:tmpl w:val="74B22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9F7A4B"/>
    <w:multiLevelType w:val="multilevel"/>
    <w:tmpl w:val="DD34D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1972E2"/>
    <w:multiLevelType w:val="hybridMultilevel"/>
    <w:tmpl w:val="550ACAA8"/>
    <w:lvl w:ilvl="0" w:tplc="8DAA4026">
      <w:start w:val="1"/>
      <w:numFmt w:val="decimal"/>
      <w:lvlText w:val="%1."/>
      <w:lvlJc w:val="left"/>
      <w:pPr>
        <w:ind w:left="720" w:hanging="360"/>
      </w:pPr>
      <w:rPr>
        <w:rFonts w:ascii="TimesNewRomanPS-BoldMT" w:hAnsi="TimesNewRomanPS-BoldMT"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1179870">
    <w:abstractNumId w:val="7"/>
  </w:num>
  <w:num w:numId="2" w16cid:durableId="685639433">
    <w:abstractNumId w:val="1"/>
  </w:num>
  <w:num w:numId="3" w16cid:durableId="1512181645">
    <w:abstractNumId w:val="2"/>
  </w:num>
  <w:num w:numId="4" w16cid:durableId="752504952">
    <w:abstractNumId w:val="6"/>
  </w:num>
  <w:num w:numId="5" w16cid:durableId="169100091">
    <w:abstractNumId w:val="5"/>
  </w:num>
  <w:num w:numId="6" w16cid:durableId="1589928445">
    <w:abstractNumId w:val="4"/>
  </w:num>
  <w:num w:numId="7" w16cid:durableId="1825853390">
    <w:abstractNumId w:val="8"/>
  </w:num>
  <w:num w:numId="8" w16cid:durableId="1574001500">
    <w:abstractNumId w:val="3"/>
  </w:num>
  <w:num w:numId="9" w16cid:durableId="1813979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927"/>
    <w:rsid w:val="000025A9"/>
    <w:rsid w:val="0000707D"/>
    <w:rsid w:val="00021C30"/>
    <w:rsid w:val="000254FE"/>
    <w:rsid w:val="00045302"/>
    <w:rsid w:val="000465D3"/>
    <w:rsid w:val="00086BC6"/>
    <w:rsid w:val="00091D55"/>
    <w:rsid w:val="00145219"/>
    <w:rsid w:val="00195EB6"/>
    <w:rsid w:val="001C58B6"/>
    <w:rsid w:val="001D54F6"/>
    <w:rsid w:val="00203563"/>
    <w:rsid w:val="00210A15"/>
    <w:rsid w:val="0021494E"/>
    <w:rsid w:val="002A2D2C"/>
    <w:rsid w:val="002A5D81"/>
    <w:rsid w:val="002F0BF1"/>
    <w:rsid w:val="00307EDB"/>
    <w:rsid w:val="00313A56"/>
    <w:rsid w:val="003256BB"/>
    <w:rsid w:val="003A0491"/>
    <w:rsid w:val="003B2BEE"/>
    <w:rsid w:val="00412B58"/>
    <w:rsid w:val="00445C07"/>
    <w:rsid w:val="00453FF7"/>
    <w:rsid w:val="004568D1"/>
    <w:rsid w:val="004713B5"/>
    <w:rsid w:val="004A294F"/>
    <w:rsid w:val="004A73CA"/>
    <w:rsid w:val="005D2EC6"/>
    <w:rsid w:val="00636C7F"/>
    <w:rsid w:val="0066331B"/>
    <w:rsid w:val="006B69DF"/>
    <w:rsid w:val="006F73B6"/>
    <w:rsid w:val="00701EBE"/>
    <w:rsid w:val="00715C85"/>
    <w:rsid w:val="00794E6A"/>
    <w:rsid w:val="007A17EF"/>
    <w:rsid w:val="007C3ED4"/>
    <w:rsid w:val="0081434D"/>
    <w:rsid w:val="008272BF"/>
    <w:rsid w:val="008626C3"/>
    <w:rsid w:val="008851BB"/>
    <w:rsid w:val="00895002"/>
    <w:rsid w:val="008A3F49"/>
    <w:rsid w:val="008A6503"/>
    <w:rsid w:val="008C3732"/>
    <w:rsid w:val="008D1794"/>
    <w:rsid w:val="008D1A58"/>
    <w:rsid w:val="00904F3F"/>
    <w:rsid w:val="009212B3"/>
    <w:rsid w:val="0094056A"/>
    <w:rsid w:val="00946EF6"/>
    <w:rsid w:val="009640F7"/>
    <w:rsid w:val="009722C4"/>
    <w:rsid w:val="009A7A01"/>
    <w:rsid w:val="009D36F2"/>
    <w:rsid w:val="009E31A0"/>
    <w:rsid w:val="009E3AA0"/>
    <w:rsid w:val="009E443C"/>
    <w:rsid w:val="00A409F4"/>
    <w:rsid w:val="00AA4096"/>
    <w:rsid w:val="00AD1AF6"/>
    <w:rsid w:val="00AE4DCA"/>
    <w:rsid w:val="00AF7156"/>
    <w:rsid w:val="00B12B49"/>
    <w:rsid w:val="00B2550E"/>
    <w:rsid w:val="00B70927"/>
    <w:rsid w:val="00BA777F"/>
    <w:rsid w:val="00BC41E4"/>
    <w:rsid w:val="00CE16A8"/>
    <w:rsid w:val="00D03603"/>
    <w:rsid w:val="00D27CFF"/>
    <w:rsid w:val="00D4270B"/>
    <w:rsid w:val="00D43117"/>
    <w:rsid w:val="00D6596D"/>
    <w:rsid w:val="00DD7C41"/>
    <w:rsid w:val="00DE364F"/>
    <w:rsid w:val="00E26DCA"/>
    <w:rsid w:val="00E66CAD"/>
    <w:rsid w:val="00EC24A3"/>
    <w:rsid w:val="00EC5B77"/>
    <w:rsid w:val="00F42603"/>
    <w:rsid w:val="00F71339"/>
    <w:rsid w:val="00F837F5"/>
    <w:rsid w:val="00F87C82"/>
    <w:rsid w:val="00FB2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ae2d5"/>
    </o:shapedefaults>
    <o:shapelayout v:ext="edit">
      <o:idmap v:ext="edit" data="1"/>
    </o:shapelayout>
  </w:shapeDefaults>
  <w:decimalSymbol w:val="."/>
  <w:listSeparator w:val=","/>
  <w14:docId w14:val="000A6A73"/>
  <w15:chartTrackingRefBased/>
  <w15:docId w15:val="{DF34E167-F4DF-419D-BB7B-1EF53D84A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EBE"/>
  </w:style>
  <w:style w:type="paragraph" w:styleId="Heading1">
    <w:name w:val="heading 1"/>
    <w:basedOn w:val="Normal"/>
    <w:next w:val="Normal"/>
    <w:link w:val="Heading1Char"/>
    <w:uiPriority w:val="9"/>
    <w:qFormat/>
    <w:rsid w:val="00B70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0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0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0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927"/>
    <w:rPr>
      <w:rFonts w:eastAsiaTheme="majorEastAsia" w:cstheme="majorBidi"/>
      <w:color w:val="272727" w:themeColor="text1" w:themeTint="D8"/>
    </w:rPr>
  </w:style>
  <w:style w:type="paragraph" w:styleId="Title">
    <w:name w:val="Title"/>
    <w:basedOn w:val="Normal"/>
    <w:next w:val="Normal"/>
    <w:link w:val="TitleChar"/>
    <w:uiPriority w:val="10"/>
    <w:qFormat/>
    <w:rsid w:val="00B70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927"/>
    <w:pPr>
      <w:spacing w:before="160"/>
      <w:jc w:val="center"/>
    </w:pPr>
    <w:rPr>
      <w:i/>
      <w:iCs/>
      <w:color w:val="404040" w:themeColor="text1" w:themeTint="BF"/>
    </w:rPr>
  </w:style>
  <w:style w:type="character" w:customStyle="1" w:styleId="QuoteChar">
    <w:name w:val="Quote Char"/>
    <w:basedOn w:val="DefaultParagraphFont"/>
    <w:link w:val="Quote"/>
    <w:uiPriority w:val="29"/>
    <w:rsid w:val="00B70927"/>
    <w:rPr>
      <w:i/>
      <w:iCs/>
      <w:color w:val="404040" w:themeColor="text1" w:themeTint="BF"/>
    </w:rPr>
  </w:style>
  <w:style w:type="paragraph" w:styleId="ListParagraph">
    <w:name w:val="List Paragraph"/>
    <w:basedOn w:val="Normal"/>
    <w:uiPriority w:val="34"/>
    <w:qFormat/>
    <w:rsid w:val="00B70927"/>
    <w:pPr>
      <w:ind w:left="720"/>
      <w:contextualSpacing/>
    </w:pPr>
  </w:style>
  <w:style w:type="character" w:styleId="IntenseEmphasis">
    <w:name w:val="Intense Emphasis"/>
    <w:basedOn w:val="DefaultParagraphFont"/>
    <w:uiPriority w:val="21"/>
    <w:qFormat/>
    <w:rsid w:val="00B70927"/>
    <w:rPr>
      <w:i/>
      <w:iCs/>
      <w:color w:val="0F4761" w:themeColor="accent1" w:themeShade="BF"/>
    </w:rPr>
  </w:style>
  <w:style w:type="paragraph" w:styleId="IntenseQuote">
    <w:name w:val="Intense Quote"/>
    <w:basedOn w:val="Normal"/>
    <w:next w:val="Normal"/>
    <w:link w:val="IntenseQuoteChar"/>
    <w:uiPriority w:val="30"/>
    <w:qFormat/>
    <w:rsid w:val="00B70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927"/>
    <w:rPr>
      <w:i/>
      <w:iCs/>
      <w:color w:val="0F4761" w:themeColor="accent1" w:themeShade="BF"/>
    </w:rPr>
  </w:style>
  <w:style w:type="character" w:styleId="IntenseReference">
    <w:name w:val="Intense Reference"/>
    <w:basedOn w:val="DefaultParagraphFont"/>
    <w:uiPriority w:val="32"/>
    <w:qFormat/>
    <w:rsid w:val="00B70927"/>
    <w:rPr>
      <w:b/>
      <w:bCs/>
      <w:smallCaps/>
      <w:color w:val="0F4761" w:themeColor="accent1" w:themeShade="BF"/>
      <w:spacing w:val="5"/>
    </w:rPr>
  </w:style>
  <w:style w:type="paragraph" w:styleId="Header">
    <w:name w:val="header"/>
    <w:basedOn w:val="Normal"/>
    <w:link w:val="HeaderChar"/>
    <w:uiPriority w:val="99"/>
    <w:unhideWhenUsed/>
    <w:rsid w:val="00701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EBE"/>
  </w:style>
  <w:style w:type="paragraph" w:styleId="Footer">
    <w:name w:val="footer"/>
    <w:basedOn w:val="Normal"/>
    <w:link w:val="FooterChar"/>
    <w:uiPriority w:val="99"/>
    <w:unhideWhenUsed/>
    <w:rsid w:val="00701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EBE"/>
  </w:style>
  <w:style w:type="character" w:customStyle="1" w:styleId="multiline">
    <w:name w:val="multiline"/>
    <w:basedOn w:val="DefaultParagraphFont"/>
    <w:rsid w:val="002A2D2C"/>
  </w:style>
  <w:style w:type="paragraph" w:styleId="NormalWeb">
    <w:name w:val="Normal (Web)"/>
    <w:basedOn w:val="Normal"/>
    <w:uiPriority w:val="99"/>
    <w:semiHidden/>
    <w:unhideWhenUsed/>
    <w:rsid w:val="008C37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0453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england.nhs.uk/urgent-emergency-care/improving-ambulance-servic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moodle.uwtsd.ac.uk/course/view.php?id=10661" TargetMode="External"/><Relationship Id="rId17" Type="http://schemas.openxmlformats.org/officeDocument/2006/relationships/hyperlink" Target="https://www.cqc.org.uk/"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theguardian.com/society/2025/aug/18/figures-gathered-from-nhs-trusts-reveal-uber-ambulance-crisis-in-englan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hyperlink" Target="https://www.sja.org.uk/about-us/our-hist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c0c2c4e14f68eff23794126f38b6231">
  <xsd:schema xmlns:xsd="http://www.w3.org/2001/XMLSchema" xmlns:xs="http://www.w3.org/2001/XMLSchema" xmlns:p="http://schemas.microsoft.com/office/2006/metadata/properties" xmlns:ns3="3ef5847a-e696-4fee-a2c0-6c3f87568321" targetNamespace="http://schemas.microsoft.com/office/2006/metadata/properties" ma:root="true" ma:fieldsID="29c4c0419ed24d97cac96b903525c21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25828AF-EFB2-448E-9D1A-0FE396DA699B}">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E5D17080-C9BE-47EE-9BAE-B3C21D12CFA4}">
  <ds:schemaRefs>
    <ds:schemaRef ds:uri="http://schemas.openxmlformats.org/officeDocument/2006/bibliography"/>
  </ds:schemaRefs>
</ds:datastoreItem>
</file>

<file path=customXml/itemProps3.xml><?xml version="1.0" encoding="utf-8"?>
<ds:datastoreItem xmlns:ds="http://schemas.openxmlformats.org/officeDocument/2006/customXml" ds:itemID="{05CBD0B0-DE0E-43F5-B32F-45D018002B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EEB11B-F904-441C-8EBC-4FC70F43AA2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2546</TotalTime>
  <Pages>5</Pages>
  <Words>1118</Words>
  <Characters>7082</Characters>
  <Application>Microsoft Office Word</Application>
  <DocSecurity>0</DocSecurity>
  <Lines>133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Hina Ilyas (2511486)</dc:creator>
  <cp:keywords/>
  <dc:description/>
  <cp:lastModifiedBy>Hina Ilyas (2511486)</cp:lastModifiedBy>
  <cp:revision>65</cp:revision>
  <dcterms:created xsi:type="dcterms:W3CDTF">2026-02-17T22:26:00Z</dcterms:created>
  <dcterms:modified xsi:type="dcterms:W3CDTF">2026-02-22T02:50:00Z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ce6c809f-52a8-4de8-bbe5-8e998408542e</vt:lpwstr>
  </property>
  <property fmtid="{D5CDD505-2E9C-101B-9397-08002B2CF9AE}" pid="3" name="ContentTypeId">
    <vt:lpwstr>0x010100388A3138619E1D4F8EE743C5DD485012</vt:lpwstr>
  </property>
</Properties>
</file>