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26735" w14:textId="25286DF5" w:rsidR="00F97F39" w:rsidRDefault="006E2D0C" w:rsidP="0014241C">
      <w:pPr>
        <w:pStyle w:val="Header"/>
        <w:spacing w:line="360" w:lineRule="auto"/>
        <w:jc w:val="center"/>
        <w:rPr>
          <w:rFonts w:ascii="Arial" w:hAnsi="Arial" w:cs="Arial"/>
        </w:rPr>
      </w:pPr>
      <w:r>
        <w:rPr>
          <w:rFonts w:ascii="Arial" w:hAnsi="Arial" w:cs="Arial"/>
          <w:noProof/>
        </w:rPr>
        <w:drawing>
          <wp:inline distT="0" distB="0" distL="0" distR="0" wp14:anchorId="27810A9C" wp14:editId="13CFC795">
            <wp:extent cx="3495675" cy="952500"/>
            <wp:effectExtent l="0" t="0" r="0" b="0"/>
            <wp:docPr id="27725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5675" cy="952500"/>
                    </a:xfrm>
                    <a:prstGeom prst="rect">
                      <a:avLst/>
                    </a:prstGeom>
                    <a:noFill/>
                  </pic:spPr>
                </pic:pic>
              </a:graphicData>
            </a:graphic>
          </wp:inline>
        </w:drawing>
      </w:r>
    </w:p>
    <w:p w14:paraId="132D4FF3" w14:textId="77777777" w:rsidR="00F97F39" w:rsidRDefault="00F97F39" w:rsidP="0014241C">
      <w:pPr>
        <w:pStyle w:val="Header"/>
        <w:spacing w:line="360" w:lineRule="auto"/>
        <w:jc w:val="center"/>
        <w:rPr>
          <w:rFonts w:ascii="Arial" w:hAnsi="Arial" w:cs="Arial"/>
        </w:rPr>
      </w:pPr>
    </w:p>
    <w:p w14:paraId="1BAA86A5" w14:textId="7E8B8EBE" w:rsidR="006E7E30" w:rsidRPr="00C132AD" w:rsidRDefault="00194747" w:rsidP="00194747">
      <w:pPr>
        <w:pStyle w:val="Header"/>
        <w:spacing w:line="360" w:lineRule="auto"/>
        <w:rPr>
          <w:rFonts w:ascii="Arial" w:hAnsi="Arial" w:cs="Arial"/>
          <w:b/>
          <w:bCs/>
        </w:rPr>
      </w:pPr>
      <w:r w:rsidRPr="00194747">
        <w:rPr>
          <w:rFonts w:ascii="Arial" w:hAnsi="Arial" w:cs="Arial"/>
          <w:b/>
          <w:bCs/>
        </w:rPr>
        <w:t xml:space="preserve">                                                </w:t>
      </w:r>
      <w:r w:rsidR="006E7E30" w:rsidRPr="00C132AD">
        <w:rPr>
          <w:rFonts w:ascii="Arial" w:hAnsi="Arial" w:cs="Arial"/>
          <w:b/>
          <w:bCs/>
        </w:rPr>
        <w:t>STUDENT NAME: SALEHA SUFI</w:t>
      </w:r>
    </w:p>
    <w:p w14:paraId="77FC296D" w14:textId="56FBE57D" w:rsidR="006E7E30" w:rsidRPr="00C132AD" w:rsidRDefault="006E7E30" w:rsidP="0014241C">
      <w:pPr>
        <w:pStyle w:val="Header"/>
        <w:spacing w:line="360" w:lineRule="auto"/>
        <w:jc w:val="center"/>
        <w:rPr>
          <w:rFonts w:ascii="Arial" w:hAnsi="Arial" w:cs="Arial"/>
          <w:b/>
          <w:bCs/>
        </w:rPr>
      </w:pPr>
      <w:r w:rsidRPr="00C132AD">
        <w:rPr>
          <w:rFonts w:ascii="Arial" w:hAnsi="Arial" w:cs="Arial"/>
          <w:b/>
          <w:bCs/>
        </w:rPr>
        <w:t>STUDENT NUMBER: 2427750</w:t>
      </w:r>
    </w:p>
    <w:p w14:paraId="1FCE315C" w14:textId="77777777" w:rsidR="006E7E30" w:rsidRPr="00C132AD" w:rsidRDefault="006E7E30" w:rsidP="0014241C">
      <w:pPr>
        <w:pStyle w:val="Header"/>
        <w:spacing w:line="360" w:lineRule="auto"/>
        <w:jc w:val="center"/>
        <w:rPr>
          <w:rFonts w:ascii="Arial" w:hAnsi="Arial" w:cs="Arial"/>
          <w:b/>
          <w:bCs/>
        </w:rPr>
      </w:pPr>
      <w:r w:rsidRPr="00C132AD">
        <w:rPr>
          <w:rFonts w:ascii="Arial" w:hAnsi="Arial" w:cs="Arial"/>
          <w:b/>
          <w:bCs/>
        </w:rPr>
        <w:t>MODULE NAME: PSYCHOLOGY IN HEALTH SPCIAL CARE</w:t>
      </w:r>
    </w:p>
    <w:p w14:paraId="44486C84" w14:textId="77777777" w:rsidR="006E7E30" w:rsidRPr="00C132AD" w:rsidRDefault="006E7E30" w:rsidP="0014241C">
      <w:pPr>
        <w:pStyle w:val="Header"/>
        <w:spacing w:line="360" w:lineRule="auto"/>
        <w:jc w:val="center"/>
        <w:rPr>
          <w:rFonts w:ascii="Arial" w:hAnsi="Arial" w:cs="Arial"/>
          <w:b/>
          <w:bCs/>
        </w:rPr>
      </w:pPr>
      <w:r w:rsidRPr="00C132AD">
        <w:rPr>
          <w:rFonts w:ascii="Arial" w:hAnsi="Arial" w:cs="Arial"/>
          <w:b/>
          <w:bCs/>
        </w:rPr>
        <w:t>MODULE CODE: LCHS4010</w:t>
      </w:r>
    </w:p>
    <w:p w14:paraId="3D98B779" w14:textId="38DD939B" w:rsidR="006E7E30" w:rsidRPr="00C132AD" w:rsidRDefault="006E7E30" w:rsidP="0014241C">
      <w:pPr>
        <w:pStyle w:val="Header"/>
        <w:spacing w:line="360" w:lineRule="auto"/>
        <w:jc w:val="center"/>
        <w:rPr>
          <w:rFonts w:ascii="Arial" w:hAnsi="Arial" w:cs="Arial"/>
          <w:b/>
          <w:bCs/>
        </w:rPr>
      </w:pPr>
      <w:r w:rsidRPr="00C132AD">
        <w:rPr>
          <w:rFonts w:ascii="Arial" w:hAnsi="Arial" w:cs="Arial"/>
          <w:b/>
          <w:bCs/>
        </w:rPr>
        <w:t>MODULE LEADER: NEALE HADDON</w:t>
      </w:r>
    </w:p>
    <w:p w14:paraId="3024EAA6" w14:textId="77777777" w:rsidR="006E7E30" w:rsidRPr="00C132AD" w:rsidRDefault="006E7E30" w:rsidP="0014241C">
      <w:pPr>
        <w:spacing w:line="360" w:lineRule="auto"/>
        <w:jc w:val="center"/>
        <w:rPr>
          <w:rFonts w:ascii="Arial" w:hAnsi="Arial" w:cs="Arial"/>
          <w:b/>
          <w:bCs/>
          <w:u w:val="single"/>
        </w:rPr>
      </w:pPr>
    </w:p>
    <w:p w14:paraId="4649A814" w14:textId="26C35F1F" w:rsidR="00A83EAB" w:rsidRPr="00C132AD" w:rsidRDefault="00A83EAB" w:rsidP="0014241C">
      <w:pPr>
        <w:spacing w:line="360" w:lineRule="auto"/>
        <w:jc w:val="center"/>
        <w:rPr>
          <w:rFonts w:ascii="Arial" w:hAnsi="Arial" w:cs="Arial"/>
          <w:b/>
          <w:bCs/>
          <w:u w:val="single"/>
        </w:rPr>
      </w:pPr>
      <w:r w:rsidRPr="00C132AD">
        <w:rPr>
          <w:rFonts w:ascii="Arial" w:hAnsi="Arial" w:cs="Arial"/>
          <w:b/>
          <w:bCs/>
          <w:u w:val="single"/>
        </w:rPr>
        <w:t>Introduction</w:t>
      </w:r>
      <w:r w:rsidR="00A87A73" w:rsidRPr="00C132AD">
        <w:rPr>
          <w:rFonts w:ascii="Arial" w:hAnsi="Arial" w:cs="Arial"/>
          <w:b/>
          <w:bCs/>
          <w:u w:val="single"/>
        </w:rPr>
        <w:t>s</w:t>
      </w:r>
    </w:p>
    <w:p w14:paraId="12C1DDD0" w14:textId="4465B858" w:rsidR="00A83EAB" w:rsidRPr="00C132AD" w:rsidRDefault="00A83EAB" w:rsidP="0014241C">
      <w:pPr>
        <w:spacing w:line="360" w:lineRule="auto"/>
        <w:rPr>
          <w:rFonts w:ascii="Arial" w:hAnsi="Arial" w:cs="Arial"/>
        </w:rPr>
      </w:pPr>
      <w:r w:rsidRPr="00C132AD">
        <w:rPr>
          <w:rFonts w:ascii="Arial" w:hAnsi="Arial" w:cs="Arial"/>
        </w:rPr>
        <w:t>Older adults living with dementia often face complex emotional, behavioural, and cognitive challenges that can significantly affect their wellbeing and quality of life. Dementia is a progressive neurodegenerative condition that impairs memory, communication, and reasoning, leading to increased dependency and social isolation (World Health Organization, 2023). For health and social care professionals, understanding the psychological factors that influence how individuals adjust to this condition is essential for providing compassionate, person-centred care.</w:t>
      </w:r>
    </w:p>
    <w:p w14:paraId="3267202C" w14:textId="1EB9BF53" w:rsidR="00A83EAB" w:rsidRPr="00C132AD" w:rsidRDefault="00A83EAB" w:rsidP="0014241C">
      <w:pPr>
        <w:spacing w:line="360" w:lineRule="auto"/>
        <w:rPr>
          <w:rFonts w:ascii="Arial" w:hAnsi="Arial" w:cs="Arial"/>
        </w:rPr>
      </w:pPr>
      <w:r w:rsidRPr="00C132AD">
        <w:rPr>
          <w:rFonts w:ascii="Arial" w:hAnsi="Arial" w:cs="Arial"/>
        </w:rPr>
        <w:t>Psychological theories offer valuable frameworks for understanding behaviour, addressing emotional needs, and guiding effective interventions within dementia care settings. This report explores how two key psychological theories</w:t>
      </w:r>
      <w:r w:rsidR="004E623D" w:rsidRPr="00C132AD">
        <w:rPr>
          <w:rFonts w:ascii="Arial" w:hAnsi="Arial" w:cs="Arial"/>
        </w:rPr>
        <w:t xml:space="preserve"> - </w:t>
      </w:r>
      <w:r w:rsidRPr="00C132AD">
        <w:rPr>
          <w:rFonts w:ascii="Arial" w:hAnsi="Arial" w:cs="Arial"/>
          <w:b/>
          <w:bCs/>
        </w:rPr>
        <w:t>Erikson’s Psychosocial Theory of Development and Maslow’s Hierarchy of Needs</w:t>
      </w:r>
      <w:r w:rsidRPr="00C132AD">
        <w:rPr>
          <w:rFonts w:ascii="Arial" w:hAnsi="Arial" w:cs="Arial"/>
        </w:rPr>
        <w:t>, can inform professional practice in dementia care homes. Both emphasise meaning, motivation, and fulfilment in later life and provide insight into how care environments can support the emotional and psychological wellbeing of older adults</w:t>
      </w:r>
      <w:r w:rsidR="00C03B5F" w:rsidRPr="00C132AD">
        <w:rPr>
          <w:rFonts w:ascii="Arial" w:hAnsi="Arial" w:cs="Arial"/>
        </w:rPr>
        <w:t xml:space="preserve"> </w:t>
      </w:r>
      <w:r w:rsidR="00C03B5F" w:rsidRPr="00C132AD">
        <w:rPr>
          <w:rFonts w:ascii="Arial" w:hAnsi="Arial" w:cs="Arial"/>
        </w:rPr>
        <w:t>(Erikson, 1950; Maslow, 1943)</w:t>
      </w:r>
      <w:r w:rsidRPr="00C132AD">
        <w:rPr>
          <w:rFonts w:ascii="Arial" w:hAnsi="Arial" w:cs="Arial"/>
        </w:rPr>
        <w:t>. The discussion will explain and evaluate each theory, consider their strengths and limitations, explore the role of biological and environmental influences, and demonstrate how these concepts can be applied to support residents with dementia in culturally competent and ethically informed ways (McLeod, 2023).</w:t>
      </w:r>
    </w:p>
    <w:p w14:paraId="394A06E2" w14:textId="77777777" w:rsidR="00A83EAB" w:rsidRPr="00C132AD" w:rsidRDefault="00A83EAB" w:rsidP="0014241C">
      <w:pPr>
        <w:spacing w:line="360" w:lineRule="auto"/>
        <w:rPr>
          <w:rFonts w:ascii="Arial" w:hAnsi="Arial" w:cs="Arial"/>
        </w:rPr>
      </w:pPr>
    </w:p>
    <w:p w14:paraId="67F6F034" w14:textId="77777777" w:rsidR="00A83EAB" w:rsidRPr="00C132AD" w:rsidRDefault="00A83EAB" w:rsidP="0014241C">
      <w:pPr>
        <w:spacing w:line="360" w:lineRule="auto"/>
        <w:rPr>
          <w:rFonts w:ascii="Arial" w:hAnsi="Arial" w:cs="Arial"/>
          <w:b/>
          <w:bCs/>
          <w:u w:val="single"/>
        </w:rPr>
      </w:pPr>
      <w:r w:rsidRPr="00C132AD">
        <w:rPr>
          <w:rFonts w:ascii="Arial" w:hAnsi="Arial" w:cs="Arial"/>
          <w:b/>
          <w:bCs/>
          <w:u w:val="single"/>
        </w:rPr>
        <w:t>Erikson’s Psychosocial Theory of Development</w:t>
      </w:r>
    </w:p>
    <w:p w14:paraId="30D17407" w14:textId="309938E2" w:rsidR="00F33439" w:rsidRPr="00C132AD" w:rsidRDefault="004B74ED" w:rsidP="0014241C">
      <w:pPr>
        <w:spacing w:line="360" w:lineRule="auto"/>
        <w:rPr>
          <w:rFonts w:ascii="Arial" w:hAnsi="Arial" w:cs="Arial"/>
        </w:rPr>
      </w:pPr>
      <w:r w:rsidRPr="00C132AD">
        <w:rPr>
          <w:rFonts w:ascii="Arial" w:hAnsi="Arial" w:cs="Arial"/>
        </w:rPr>
        <w:t>Erikson’s (1950</w:t>
      </w:r>
      <w:r w:rsidR="00E06F64" w:rsidRPr="00C132AD">
        <w:rPr>
          <w:rFonts w:ascii="Arial" w:hAnsi="Arial" w:cs="Arial"/>
        </w:rPr>
        <w:t>,</w:t>
      </w:r>
      <w:r w:rsidRPr="00C132AD">
        <w:rPr>
          <w:rFonts w:ascii="Arial" w:hAnsi="Arial" w:cs="Arial"/>
        </w:rPr>
        <w:t xml:space="preserve">1982) Psychosocial Theory of Development suggests that individuals progress through eight distinct stages, each characterised by a specific emotional or social </w:t>
      </w:r>
      <w:r w:rsidRPr="00C132AD">
        <w:rPr>
          <w:rFonts w:ascii="Arial" w:hAnsi="Arial" w:cs="Arial"/>
        </w:rPr>
        <w:lastRenderedPageBreak/>
        <w:t xml:space="preserve">conflict. In later life, they enter the final stage, known as Integrity versus Despair, where they reflect on their past, evaluate their achievements, and seek meaning and acceptance in their life experiences </w:t>
      </w:r>
      <w:r w:rsidR="00A83EAB" w:rsidRPr="00C132AD">
        <w:rPr>
          <w:rFonts w:ascii="Arial" w:hAnsi="Arial" w:cs="Arial"/>
        </w:rPr>
        <w:t>(</w:t>
      </w:r>
      <w:r w:rsidR="00D13445" w:rsidRPr="00C132AD">
        <w:rPr>
          <w:rFonts w:ascii="Arial" w:hAnsi="Arial" w:cs="Arial"/>
        </w:rPr>
        <w:t>Wadensten,</w:t>
      </w:r>
      <w:r w:rsidR="00A83EAB" w:rsidRPr="00C132AD">
        <w:rPr>
          <w:rFonts w:ascii="Arial" w:hAnsi="Arial" w:cs="Arial"/>
        </w:rPr>
        <w:t xml:space="preserve"> 2006). </w:t>
      </w:r>
    </w:p>
    <w:p w14:paraId="0769EE82" w14:textId="5112E8AF" w:rsidR="00A83EAB" w:rsidRPr="00C132AD" w:rsidRDefault="008E0967" w:rsidP="0014241C">
      <w:pPr>
        <w:spacing w:line="360" w:lineRule="auto"/>
        <w:rPr>
          <w:rFonts w:ascii="Arial" w:hAnsi="Arial" w:cs="Arial"/>
        </w:rPr>
      </w:pPr>
      <w:r w:rsidRPr="00C132AD">
        <w:rPr>
          <w:rFonts w:ascii="Arial" w:hAnsi="Arial" w:cs="Arial"/>
        </w:rPr>
        <w:t xml:space="preserve">If this stage is resolved successfully in older adults, it leads to feelings of wisdom and fulfilment about their life experiences; however, when it is not, they may struggle with regret, fear, or a sense of hopelessness </w:t>
      </w:r>
      <w:r w:rsidR="00A83EAB" w:rsidRPr="00C132AD">
        <w:rPr>
          <w:rFonts w:ascii="Arial" w:hAnsi="Arial" w:cs="Arial"/>
        </w:rPr>
        <w:t>(Erikson, 1982)</w:t>
      </w:r>
      <w:r w:rsidR="004B74ED" w:rsidRPr="00C132AD">
        <w:rPr>
          <w:rFonts w:ascii="Arial" w:hAnsi="Arial" w:cs="Arial"/>
        </w:rPr>
        <w:t>.</w:t>
      </w:r>
    </w:p>
    <w:p w14:paraId="05EFAF1F" w14:textId="77777777" w:rsidR="00A83EAB" w:rsidRPr="00C132AD" w:rsidRDefault="00A83EAB" w:rsidP="0014241C">
      <w:pPr>
        <w:spacing w:line="360" w:lineRule="auto"/>
        <w:rPr>
          <w:rFonts w:ascii="Arial" w:hAnsi="Arial" w:cs="Arial"/>
        </w:rPr>
      </w:pPr>
      <w:r w:rsidRPr="00C132AD">
        <w:rPr>
          <w:rFonts w:ascii="Arial" w:hAnsi="Arial" w:cs="Arial"/>
        </w:rPr>
        <w:t>This process is particularly relevant for adults aged 65 and over, who often experience major life transitions such as retirement, bereavement, or physical decline. In the context of dementia, however, the ability to recall and integrate past experiences may become impaired, threatening a person’s sense of identity and continuity (Kitwood, 1997). To address this, interventions such as life-story work and reminiscence therapy are often grounded in Erikson’s theory, enabling individuals to reconstruct and maintain a coherent sense of self despite memory loss (Woods et al., 2018). By supporting residents to recall positive memories and personal achievements, care professionals can foster integrity and reduce the despair that often accompanies cognitive decline.</w:t>
      </w:r>
    </w:p>
    <w:p w14:paraId="571DED16" w14:textId="77777777" w:rsidR="00A83EAB" w:rsidRPr="00C132AD" w:rsidRDefault="00A83EAB" w:rsidP="0014241C">
      <w:pPr>
        <w:spacing w:line="360" w:lineRule="auto"/>
        <w:rPr>
          <w:rFonts w:ascii="Arial" w:hAnsi="Arial" w:cs="Arial"/>
          <w:b/>
          <w:bCs/>
          <w:u w:val="single"/>
        </w:rPr>
      </w:pPr>
      <w:r w:rsidRPr="00C132AD">
        <w:rPr>
          <w:rFonts w:ascii="Arial" w:hAnsi="Arial" w:cs="Arial"/>
          <w:b/>
          <w:bCs/>
          <w:u w:val="single"/>
        </w:rPr>
        <w:t>Strengths, Limitations, and the Role of Nature and Nurture in Erikson’s Theory</w:t>
      </w:r>
    </w:p>
    <w:p w14:paraId="321D4101" w14:textId="77777777" w:rsidR="00A83EAB" w:rsidRPr="00C132AD" w:rsidRDefault="00A83EAB" w:rsidP="0014241C">
      <w:pPr>
        <w:spacing w:line="360" w:lineRule="auto"/>
        <w:rPr>
          <w:rFonts w:ascii="Arial" w:hAnsi="Arial" w:cs="Arial"/>
        </w:rPr>
      </w:pPr>
      <w:r w:rsidRPr="00C132AD">
        <w:rPr>
          <w:rFonts w:ascii="Arial" w:hAnsi="Arial" w:cs="Arial"/>
        </w:rPr>
        <w:t xml:space="preserve">Erikson’s psychosocial framework offers valuable insight for professionals working with older adults, as it recognises that psychological growth continues throughout life and is shaped by both personal and social factors. A key strength of the theory is its lifespan perspective, which highlights that development does not stop in adulthood but evolves through changing roles and experiences (Wadensten, 2006). </w:t>
      </w:r>
    </w:p>
    <w:p w14:paraId="27539F4D" w14:textId="77777777" w:rsidR="00A83EAB" w:rsidRPr="00C132AD" w:rsidRDefault="00A83EAB" w:rsidP="0014241C">
      <w:pPr>
        <w:spacing w:line="360" w:lineRule="auto"/>
        <w:rPr>
          <w:rFonts w:ascii="Arial" w:hAnsi="Arial" w:cs="Arial"/>
        </w:rPr>
      </w:pPr>
      <w:r w:rsidRPr="00C132AD">
        <w:rPr>
          <w:rFonts w:ascii="Arial" w:hAnsi="Arial" w:cs="Arial"/>
        </w:rPr>
        <w:t>This approach aligns closely with the philosophy of person-centred care, which promotes dignity, autonomy, and emotional validation (Kitwood, 1997). In dementia care homes, this encourages staff to focus not only on physical health but also on residents’ sense of meaning, belonging, and identity.</w:t>
      </w:r>
    </w:p>
    <w:p w14:paraId="4E1321F1" w14:textId="77777777" w:rsidR="00A83EAB" w:rsidRPr="00C132AD" w:rsidRDefault="00A83EAB" w:rsidP="0014241C">
      <w:pPr>
        <w:spacing w:line="360" w:lineRule="auto"/>
        <w:rPr>
          <w:rFonts w:ascii="Arial" w:hAnsi="Arial" w:cs="Arial"/>
        </w:rPr>
      </w:pPr>
      <w:r w:rsidRPr="00C132AD">
        <w:rPr>
          <w:rFonts w:ascii="Arial" w:hAnsi="Arial" w:cs="Arial"/>
        </w:rPr>
        <w:t xml:space="preserve">However, some limitations exist. Critics argue that Erikson’s stages can be too rigid and culturally specific, assuming a linear progression that may not reflect the diversity of human experience (McAdams and Zapata-Gietl, 2015). </w:t>
      </w:r>
    </w:p>
    <w:p w14:paraId="4F09F3A4" w14:textId="03A7AA79" w:rsidR="00A83EAB" w:rsidRPr="00C132AD" w:rsidRDefault="00A83EAB" w:rsidP="0014241C">
      <w:pPr>
        <w:spacing w:line="360" w:lineRule="auto"/>
        <w:rPr>
          <w:rFonts w:ascii="Arial" w:hAnsi="Arial" w:cs="Arial"/>
        </w:rPr>
      </w:pPr>
      <w:r w:rsidRPr="00C132AD">
        <w:rPr>
          <w:rFonts w:ascii="Arial" w:hAnsi="Arial" w:cs="Arial"/>
        </w:rPr>
        <w:t xml:space="preserve">The model also </w:t>
      </w:r>
      <w:r w:rsidR="00064DD5" w:rsidRPr="00C132AD">
        <w:rPr>
          <w:rFonts w:ascii="Arial" w:hAnsi="Arial" w:cs="Arial"/>
        </w:rPr>
        <w:t>considers</w:t>
      </w:r>
      <w:r w:rsidRPr="00C132AD">
        <w:rPr>
          <w:rFonts w:ascii="Arial" w:hAnsi="Arial" w:cs="Arial"/>
        </w:rPr>
        <w:t xml:space="preserve"> biological processes, such as neurological decline, which can alter cognitive and emotional functioning.</w:t>
      </w:r>
    </w:p>
    <w:p w14:paraId="39EF207C" w14:textId="39E507A5" w:rsidR="00A83EAB" w:rsidRPr="00C132AD" w:rsidRDefault="00394BEC" w:rsidP="0014241C">
      <w:pPr>
        <w:spacing w:line="360" w:lineRule="auto"/>
        <w:rPr>
          <w:rFonts w:ascii="Arial" w:hAnsi="Arial" w:cs="Arial"/>
        </w:rPr>
      </w:pPr>
      <w:r w:rsidRPr="00C132AD">
        <w:rPr>
          <w:rFonts w:ascii="Arial" w:hAnsi="Arial" w:cs="Arial"/>
        </w:rPr>
        <w:t xml:space="preserve">Looking at Erikson’s theory through a nature–nurture lens shows how biological aging (nature) and life experiences (nurture) work together to shape a person’s psychological wellbeing. Although dementia is caused by biological changes in the brain, a caring </w:t>
      </w:r>
      <w:r w:rsidRPr="00C132AD">
        <w:rPr>
          <w:rFonts w:ascii="Arial" w:hAnsi="Arial" w:cs="Arial"/>
        </w:rPr>
        <w:lastRenderedPageBreak/>
        <w:t>environment</w:t>
      </w:r>
      <w:r w:rsidR="000F11BB" w:rsidRPr="00C132AD">
        <w:rPr>
          <w:rFonts w:ascii="Arial" w:hAnsi="Arial" w:cs="Arial"/>
        </w:rPr>
        <w:t xml:space="preserve">, </w:t>
      </w:r>
      <w:r w:rsidRPr="00C132AD">
        <w:rPr>
          <w:rFonts w:ascii="Arial" w:hAnsi="Arial" w:cs="Arial"/>
        </w:rPr>
        <w:t>offering regular communication, supportive relationships, and emotional comfort</w:t>
      </w:r>
      <w:r w:rsidR="000F11BB" w:rsidRPr="00C132AD">
        <w:rPr>
          <w:rFonts w:ascii="Arial" w:hAnsi="Arial" w:cs="Arial"/>
        </w:rPr>
        <w:t>. It c</w:t>
      </w:r>
      <w:r w:rsidRPr="00C132AD">
        <w:rPr>
          <w:rFonts w:ascii="Arial" w:hAnsi="Arial" w:cs="Arial"/>
        </w:rPr>
        <w:t>an help reduce its negative psychological effects. This shows that even when neurological decline is present, social interaction and compassionate care are key to supporting wellbeing and maintaining dignity in older adults.</w:t>
      </w:r>
    </w:p>
    <w:p w14:paraId="5FB78EFD" w14:textId="77777777" w:rsidR="00533884" w:rsidRPr="00C132AD" w:rsidRDefault="00533884" w:rsidP="0014241C">
      <w:pPr>
        <w:spacing w:line="360" w:lineRule="auto"/>
        <w:rPr>
          <w:rFonts w:ascii="Arial" w:hAnsi="Arial" w:cs="Arial"/>
        </w:rPr>
      </w:pPr>
    </w:p>
    <w:p w14:paraId="25BDFF87" w14:textId="4C11BE1F" w:rsidR="00A83EAB" w:rsidRPr="00C132AD" w:rsidRDefault="00A83EAB" w:rsidP="0014241C">
      <w:pPr>
        <w:spacing w:line="360" w:lineRule="auto"/>
        <w:rPr>
          <w:rFonts w:ascii="Arial" w:hAnsi="Arial" w:cs="Arial"/>
          <w:b/>
          <w:bCs/>
          <w:u w:val="single"/>
        </w:rPr>
      </w:pPr>
      <w:r w:rsidRPr="00C132AD">
        <w:rPr>
          <w:rFonts w:ascii="Arial" w:hAnsi="Arial" w:cs="Arial"/>
          <w:b/>
          <w:bCs/>
          <w:u w:val="single"/>
        </w:rPr>
        <w:t>Maslow’s Hierarchy of Needs</w:t>
      </w:r>
    </w:p>
    <w:p w14:paraId="0500A6A7" w14:textId="02064E1F" w:rsidR="00A83EAB" w:rsidRPr="00C132AD" w:rsidRDefault="00A83EAB" w:rsidP="0014241C">
      <w:pPr>
        <w:spacing w:line="360" w:lineRule="auto"/>
        <w:rPr>
          <w:rFonts w:ascii="Arial" w:hAnsi="Arial" w:cs="Arial"/>
        </w:rPr>
      </w:pPr>
      <w:r w:rsidRPr="00C132AD">
        <w:rPr>
          <w:rFonts w:ascii="Arial" w:hAnsi="Arial" w:cs="Arial"/>
        </w:rPr>
        <w:t>Abraham Maslow’s (1943,1954) Hierarchy of Needs explains that human motivation arises from the desire to meet a series of needs, progressing from basic physical requirements to higher levels of personal growth and fulfilment. The five traditional levels are physiological needs (food, water, rest), safety (security and stability), love and belonging (relationships and connection), esteem (recognition and respect), and self-actualisation (personal growth and meaning). Maslow later expanded the model to include self-transcendence, the desire to connect with something beyond oneself (Maslow,1971).</w:t>
      </w:r>
    </w:p>
    <w:p w14:paraId="05060886" w14:textId="77777777" w:rsidR="00A83EAB" w:rsidRPr="00C132AD" w:rsidRDefault="00A83EAB" w:rsidP="0014241C">
      <w:pPr>
        <w:spacing w:line="360" w:lineRule="auto"/>
        <w:rPr>
          <w:rFonts w:ascii="Arial" w:hAnsi="Arial" w:cs="Arial"/>
        </w:rPr>
      </w:pPr>
      <w:r w:rsidRPr="00C132AD">
        <w:rPr>
          <w:rFonts w:ascii="Arial" w:hAnsi="Arial" w:cs="Arial"/>
        </w:rPr>
        <w:t xml:space="preserve">For adults aged 65 and over, particularly those with dementia, these needs take on distinct importance. Physical and safety </w:t>
      </w:r>
      <w:proofErr w:type="gramStart"/>
      <w:r w:rsidRPr="00C132AD">
        <w:rPr>
          <w:rFonts w:ascii="Arial" w:hAnsi="Arial" w:cs="Arial"/>
        </w:rPr>
        <w:t>needs</w:t>
      </w:r>
      <w:proofErr w:type="gramEnd"/>
      <w:r w:rsidRPr="00C132AD">
        <w:rPr>
          <w:rFonts w:ascii="Arial" w:hAnsi="Arial" w:cs="Arial"/>
        </w:rPr>
        <w:t xml:space="preserve"> often become central as individuals experience reduced mobility, chronic illness, or dependence on care staff. In dementia care homes, ensuring proper nutrition, medication, and comfort forms the foundation of wellbeing (Buron, 2018; Alzheimer’s Society, 2024). Once these are met, care professionals can focus on higher-order needs—such as belonging and esteem by fostering warm relationships, providing social activities, and recognising residents’ identities and preferences (Kitwood, 1997).</w:t>
      </w:r>
    </w:p>
    <w:p w14:paraId="5381A477" w14:textId="77777777" w:rsidR="00A83EAB" w:rsidRPr="00C132AD" w:rsidRDefault="00A83EAB" w:rsidP="0014241C">
      <w:pPr>
        <w:spacing w:line="360" w:lineRule="auto"/>
        <w:rPr>
          <w:rFonts w:ascii="Arial" w:hAnsi="Arial" w:cs="Arial"/>
        </w:rPr>
      </w:pPr>
      <w:r w:rsidRPr="00C132AD">
        <w:rPr>
          <w:rFonts w:ascii="Arial" w:hAnsi="Arial" w:cs="Arial"/>
        </w:rPr>
        <w:t>Maslow’s model is widely applied in person-centred dementia care, which prioritises dignity and individuality (McLeod, 2023). Activities such as music therapy, group discussions, or reminiscence sessions help meet emotional and social needs, while creative engagement promotes self-expression and purpose (Woods et al., 2018). The theory also reminds professionals that even when cognitive abilities decline, emotional and spiritual needs remain intact. Furthermore, culturally competent care, respecting residents’ backgrounds, religions, and traditions enhances belonging and self-esteem (Jongen, McCalman and Bainbridge, 2018).</w:t>
      </w:r>
    </w:p>
    <w:p w14:paraId="2F8F5461" w14:textId="77777777" w:rsidR="00A83EAB" w:rsidRPr="00C132AD" w:rsidRDefault="00A83EAB" w:rsidP="0014241C">
      <w:pPr>
        <w:spacing w:line="360" w:lineRule="auto"/>
        <w:rPr>
          <w:rFonts w:ascii="Arial" w:hAnsi="Arial" w:cs="Arial"/>
        </w:rPr>
      </w:pPr>
    </w:p>
    <w:p w14:paraId="7D1E96FD" w14:textId="77777777" w:rsidR="001331EC" w:rsidRPr="00C132AD" w:rsidRDefault="001331EC" w:rsidP="0014241C">
      <w:pPr>
        <w:spacing w:line="360" w:lineRule="auto"/>
        <w:rPr>
          <w:rFonts w:ascii="Arial" w:hAnsi="Arial" w:cs="Arial"/>
          <w:b/>
          <w:bCs/>
          <w:u w:val="single"/>
        </w:rPr>
      </w:pPr>
    </w:p>
    <w:p w14:paraId="448CEF0C" w14:textId="77777777" w:rsidR="001331EC" w:rsidRPr="00C132AD" w:rsidRDefault="001331EC" w:rsidP="0014241C">
      <w:pPr>
        <w:spacing w:line="360" w:lineRule="auto"/>
        <w:rPr>
          <w:rFonts w:ascii="Arial" w:hAnsi="Arial" w:cs="Arial"/>
          <w:b/>
          <w:bCs/>
          <w:u w:val="single"/>
        </w:rPr>
      </w:pPr>
    </w:p>
    <w:p w14:paraId="26E4D9DB" w14:textId="77777777" w:rsidR="00533884" w:rsidRPr="00C132AD" w:rsidRDefault="00533884" w:rsidP="0014241C">
      <w:pPr>
        <w:spacing w:line="360" w:lineRule="auto"/>
        <w:rPr>
          <w:rFonts w:ascii="Arial" w:hAnsi="Arial" w:cs="Arial"/>
          <w:b/>
          <w:bCs/>
          <w:u w:val="single"/>
        </w:rPr>
      </w:pPr>
    </w:p>
    <w:p w14:paraId="28A4DD57" w14:textId="1FF5770C" w:rsidR="00A83EAB" w:rsidRPr="00C132AD" w:rsidRDefault="00A83EAB" w:rsidP="00C132AD">
      <w:pPr>
        <w:spacing w:line="360" w:lineRule="auto"/>
        <w:rPr>
          <w:rFonts w:ascii="Arial" w:hAnsi="Arial" w:cs="Arial"/>
          <w:b/>
          <w:bCs/>
          <w:u w:val="single"/>
        </w:rPr>
      </w:pPr>
      <w:r w:rsidRPr="00C132AD">
        <w:rPr>
          <w:rFonts w:ascii="Arial" w:hAnsi="Arial" w:cs="Arial"/>
          <w:b/>
          <w:bCs/>
          <w:u w:val="single"/>
        </w:rPr>
        <w:lastRenderedPageBreak/>
        <w:t>Strengths, Limitations, and the Role of Nature and Nurture in Maslow’s Theory</w:t>
      </w:r>
    </w:p>
    <w:p w14:paraId="57CC0CC0" w14:textId="77777777" w:rsidR="00A83EAB" w:rsidRPr="00C132AD" w:rsidRDefault="00A83EAB" w:rsidP="0014241C">
      <w:pPr>
        <w:spacing w:line="360" w:lineRule="auto"/>
        <w:rPr>
          <w:rFonts w:ascii="Arial" w:hAnsi="Arial" w:cs="Arial"/>
        </w:rPr>
      </w:pPr>
      <w:r w:rsidRPr="00C132AD">
        <w:rPr>
          <w:rFonts w:ascii="Arial" w:hAnsi="Arial" w:cs="Arial"/>
        </w:rPr>
        <w:t xml:space="preserve">Maslow’s hierarchy provides a holistic and humanistic framework for understanding motivation and wellbeing in older adults. A major strength is that it encourages professionals to consider emotional and psychological factors, not just medical needs, when planning care (McLeod, 2023). </w:t>
      </w:r>
    </w:p>
    <w:p w14:paraId="4A11F9CA" w14:textId="77777777" w:rsidR="00A83EAB" w:rsidRPr="00C132AD" w:rsidRDefault="00A83EAB" w:rsidP="0014241C">
      <w:pPr>
        <w:spacing w:line="360" w:lineRule="auto"/>
        <w:rPr>
          <w:rFonts w:ascii="Arial" w:hAnsi="Arial" w:cs="Arial"/>
        </w:rPr>
      </w:pPr>
      <w:r w:rsidRPr="00C132AD">
        <w:rPr>
          <w:rFonts w:ascii="Arial" w:hAnsi="Arial" w:cs="Arial"/>
        </w:rPr>
        <w:t>This aligns with strengths-based and person-centred approaches that promote autonomy, emotional security, and respect for individuality (Buron, 2018). By recognising that older adults can still experience growth and fulfilment, the theory supports a more optimistic view of ageing.</w:t>
      </w:r>
    </w:p>
    <w:p w14:paraId="2EA8A4A2" w14:textId="059F744D" w:rsidR="00A83EAB" w:rsidRPr="00C132AD" w:rsidRDefault="00A83EAB" w:rsidP="0014241C">
      <w:pPr>
        <w:spacing w:line="360" w:lineRule="auto"/>
        <w:rPr>
          <w:rFonts w:ascii="Arial" w:hAnsi="Arial" w:cs="Arial"/>
        </w:rPr>
      </w:pPr>
      <w:r w:rsidRPr="00C132AD">
        <w:rPr>
          <w:rFonts w:ascii="Arial" w:hAnsi="Arial" w:cs="Arial"/>
        </w:rPr>
        <w:t xml:space="preserve">However, Maslow’s model has been criticised for oversimplifying human motivation. </w:t>
      </w:r>
      <w:r w:rsidR="00064DD5" w:rsidRPr="00C132AD">
        <w:rPr>
          <w:rFonts w:ascii="Arial" w:hAnsi="Arial" w:cs="Arial"/>
        </w:rPr>
        <w:t>Needs</w:t>
      </w:r>
      <w:r w:rsidRPr="00C132AD">
        <w:rPr>
          <w:rFonts w:ascii="Arial" w:hAnsi="Arial" w:cs="Arial"/>
        </w:rPr>
        <w:t xml:space="preserve"> may not always follow a strict hierarchy, emotional connection might sometimes take priority over physical comfort (Kenrick et al., 2010). </w:t>
      </w:r>
    </w:p>
    <w:p w14:paraId="16C0A40F" w14:textId="77777777" w:rsidR="00A83EAB" w:rsidRPr="00C132AD" w:rsidRDefault="00A83EAB" w:rsidP="0014241C">
      <w:pPr>
        <w:spacing w:line="360" w:lineRule="auto"/>
        <w:rPr>
          <w:rFonts w:ascii="Arial" w:hAnsi="Arial" w:cs="Arial"/>
        </w:rPr>
      </w:pPr>
      <w:r w:rsidRPr="00C132AD">
        <w:rPr>
          <w:rFonts w:ascii="Arial" w:hAnsi="Arial" w:cs="Arial"/>
        </w:rPr>
        <w:t>The theory also reflects Western cultural values, emphasising independence and self-fulfilment, which may differ from collectivist cultures that prioritise community and interdependence (Hofstede, 2001).</w:t>
      </w:r>
    </w:p>
    <w:p w14:paraId="202ED884" w14:textId="4EFB4E14" w:rsidR="00A83EAB" w:rsidRPr="00C132AD" w:rsidRDefault="00A83EAB" w:rsidP="0014241C">
      <w:pPr>
        <w:spacing w:line="360" w:lineRule="auto"/>
        <w:rPr>
          <w:rFonts w:ascii="Arial" w:hAnsi="Arial" w:cs="Arial"/>
        </w:rPr>
      </w:pPr>
      <w:r w:rsidRPr="00C132AD">
        <w:rPr>
          <w:rFonts w:ascii="Arial" w:hAnsi="Arial" w:cs="Arial"/>
        </w:rPr>
        <w:t>From a nature nurture perspective, Maslow’s framework shows how biological ageing (nature) and environmental care (nurture) jointly influence wellbeing. Dementia affects physiological and cognitive functioning, but supportive environments safe routines, empathy, and meaningful engagement help sustain emotional resilience. This reinforces the idea that wellbeing in dementia care is not solely biological but also profoundly shaped by social and relational experiences.</w:t>
      </w:r>
    </w:p>
    <w:p w14:paraId="071A3A0E" w14:textId="16EF5F70" w:rsidR="00A83EAB" w:rsidRPr="00C132AD" w:rsidRDefault="00A83EAB" w:rsidP="0014241C">
      <w:pPr>
        <w:spacing w:line="360" w:lineRule="auto"/>
        <w:rPr>
          <w:rFonts w:ascii="Arial" w:hAnsi="Arial" w:cs="Arial"/>
          <w:b/>
          <w:bCs/>
          <w:u w:val="single"/>
        </w:rPr>
      </w:pPr>
      <w:r w:rsidRPr="00C132AD">
        <w:rPr>
          <w:rFonts w:ascii="Arial" w:hAnsi="Arial" w:cs="Arial"/>
          <w:b/>
          <w:bCs/>
          <w:u w:val="single"/>
        </w:rPr>
        <w:t>Application in Practice: Using Erikson’s and Maslow’s Theories in Dementia Care</w:t>
      </w:r>
    </w:p>
    <w:p w14:paraId="32D07E1E" w14:textId="77777777" w:rsidR="00A83EAB" w:rsidRPr="00C132AD" w:rsidRDefault="00A83EAB" w:rsidP="0014241C">
      <w:pPr>
        <w:spacing w:line="360" w:lineRule="auto"/>
        <w:rPr>
          <w:rFonts w:ascii="Arial" w:hAnsi="Arial" w:cs="Arial"/>
        </w:rPr>
      </w:pPr>
      <w:r w:rsidRPr="00C132AD">
        <w:rPr>
          <w:rFonts w:ascii="Arial" w:hAnsi="Arial" w:cs="Arial"/>
        </w:rPr>
        <w:t xml:space="preserve">Applying Erikson’s and Maslow’s theories helps professionals deliver holistic, person-centred care that meets both emotional and psychological needs. Erikson’s stage of Integrity versus Despair highlights the importance of helping residents reflect on their lives and maintain self-worth. Activities such as reminiscence therapy, life-story work, and memory boxes encourage residents to reconnect with meaningful experiences, reinforcing a sense of identity and continuity (Woods et al., 2018). </w:t>
      </w:r>
    </w:p>
    <w:p w14:paraId="03832629" w14:textId="77777777" w:rsidR="00A83EAB" w:rsidRPr="00C132AD" w:rsidRDefault="00A83EAB" w:rsidP="0014241C">
      <w:pPr>
        <w:spacing w:line="360" w:lineRule="auto"/>
        <w:rPr>
          <w:rFonts w:ascii="Arial" w:hAnsi="Arial" w:cs="Arial"/>
        </w:rPr>
      </w:pPr>
      <w:r w:rsidRPr="00C132AD">
        <w:rPr>
          <w:rFonts w:ascii="Arial" w:hAnsi="Arial" w:cs="Arial"/>
        </w:rPr>
        <w:t>These practices also align with Maslow’s belonging and esteem needs by promoting social engagement and emotional validation.</w:t>
      </w:r>
    </w:p>
    <w:p w14:paraId="595B9D87" w14:textId="77777777" w:rsidR="00A83EAB" w:rsidRPr="00C132AD" w:rsidRDefault="00A83EAB" w:rsidP="0014241C">
      <w:pPr>
        <w:spacing w:line="360" w:lineRule="auto"/>
        <w:rPr>
          <w:rFonts w:ascii="Arial" w:hAnsi="Arial" w:cs="Arial"/>
        </w:rPr>
      </w:pPr>
      <w:r w:rsidRPr="00C132AD">
        <w:rPr>
          <w:rFonts w:ascii="Arial" w:hAnsi="Arial" w:cs="Arial"/>
        </w:rPr>
        <w:t xml:space="preserve">Maslow’s hierarchy guides professionals in assessing and prioritising care needs. Meeting physiological and safety requirements such as comfort, nutrition, and medication creates the foundation for addressing higher-level needs. Once these are met, staff can focus on </w:t>
      </w:r>
      <w:r w:rsidRPr="00C132AD">
        <w:rPr>
          <w:rFonts w:ascii="Arial" w:hAnsi="Arial" w:cs="Arial"/>
        </w:rPr>
        <w:lastRenderedPageBreak/>
        <w:t>activities that promote belonging, esteem, and self-actualisation, such as group art sessions, music, or spiritual reflection (Buron, 2018).</w:t>
      </w:r>
    </w:p>
    <w:p w14:paraId="2AB72B72" w14:textId="77777777" w:rsidR="00A83EAB" w:rsidRPr="00C132AD" w:rsidRDefault="00A83EAB" w:rsidP="0014241C">
      <w:pPr>
        <w:spacing w:line="360" w:lineRule="auto"/>
        <w:rPr>
          <w:rFonts w:ascii="Arial" w:hAnsi="Arial" w:cs="Arial"/>
        </w:rPr>
      </w:pPr>
      <w:r w:rsidRPr="00C132AD">
        <w:rPr>
          <w:rFonts w:ascii="Arial" w:hAnsi="Arial" w:cs="Arial"/>
        </w:rPr>
        <w:t xml:space="preserve">Despite these benefits, applying theory in practice can be challenging. Dementia often causes communication difficulties and behavioural changes that complicate emotional support (Alzheimer’s Society, 2024). </w:t>
      </w:r>
    </w:p>
    <w:p w14:paraId="500A815D" w14:textId="77777777" w:rsidR="00A83EAB" w:rsidRPr="00C132AD" w:rsidRDefault="00A83EAB" w:rsidP="0014241C">
      <w:pPr>
        <w:spacing w:line="360" w:lineRule="auto"/>
        <w:rPr>
          <w:rFonts w:ascii="Arial" w:hAnsi="Arial" w:cs="Arial"/>
        </w:rPr>
      </w:pPr>
      <w:r w:rsidRPr="00C132AD">
        <w:rPr>
          <w:rFonts w:ascii="Arial" w:hAnsi="Arial" w:cs="Arial"/>
        </w:rPr>
        <w:t>Staffing pressures and time constraints may also reduce opportunities for meaningful interaction. To overcome these barriers, staff training in empathic communication, cultural competence, and relationship-based care is essential. For example, culturally sensitive reminiscence using familiar music, foods, or religious traditions can strengthen emotional connection and respect diversity (Jongen, McCalman and Bainbridge, 2018).</w:t>
      </w:r>
    </w:p>
    <w:p w14:paraId="3E11BB88" w14:textId="77777777" w:rsidR="00A83EAB" w:rsidRPr="00C132AD" w:rsidRDefault="00A83EAB" w:rsidP="0014241C">
      <w:pPr>
        <w:spacing w:line="360" w:lineRule="auto"/>
        <w:rPr>
          <w:rFonts w:ascii="Arial" w:hAnsi="Arial" w:cs="Arial"/>
        </w:rPr>
      </w:pPr>
      <w:r w:rsidRPr="00C132AD">
        <w:rPr>
          <w:rFonts w:ascii="Arial" w:hAnsi="Arial" w:cs="Arial"/>
        </w:rPr>
        <w:t>Both theories affirm that human dignity and self-worth persist even when cognitive abilities decline. Integrating Erikson’s focus on life meaning with Maslow’s hierarchy of needs enables professionals to adopt a whole-person approach, supporting not only physical health but also emotional, social, and spiritual wellbeing.</w:t>
      </w:r>
    </w:p>
    <w:p w14:paraId="495415B7" w14:textId="77777777" w:rsidR="00A83EAB" w:rsidRPr="00C132AD" w:rsidRDefault="00A83EAB" w:rsidP="0014241C">
      <w:pPr>
        <w:spacing w:line="360" w:lineRule="auto"/>
        <w:jc w:val="center"/>
        <w:rPr>
          <w:rFonts w:ascii="Arial" w:hAnsi="Arial" w:cs="Arial"/>
          <w:b/>
          <w:bCs/>
          <w:u w:val="single"/>
        </w:rPr>
      </w:pPr>
    </w:p>
    <w:p w14:paraId="39D1E7FF" w14:textId="77777777" w:rsidR="00A83EAB" w:rsidRPr="00C132AD" w:rsidRDefault="00A83EAB" w:rsidP="0014241C">
      <w:pPr>
        <w:spacing w:line="360" w:lineRule="auto"/>
        <w:jc w:val="center"/>
        <w:rPr>
          <w:rFonts w:ascii="Arial" w:hAnsi="Arial" w:cs="Arial"/>
          <w:b/>
          <w:bCs/>
          <w:u w:val="single"/>
        </w:rPr>
      </w:pPr>
      <w:r w:rsidRPr="00C132AD">
        <w:rPr>
          <w:rFonts w:ascii="Arial" w:hAnsi="Arial" w:cs="Arial"/>
          <w:b/>
          <w:bCs/>
          <w:u w:val="single"/>
        </w:rPr>
        <w:t>Conclusion</w:t>
      </w:r>
    </w:p>
    <w:p w14:paraId="44BDE54C" w14:textId="60776D02" w:rsidR="00A83EAB" w:rsidRPr="00C132AD" w:rsidRDefault="00A83EAB" w:rsidP="0014241C">
      <w:pPr>
        <w:spacing w:line="360" w:lineRule="auto"/>
        <w:rPr>
          <w:rFonts w:ascii="Arial" w:hAnsi="Arial" w:cs="Arial"/>
        </w:rPr>
      </w:pPr>
      <w:r w:rsidRPr="00C132AD">
        <w:rPr>
          <w:rFonts w:ascii="Arial" w:hAnsi="Arial" w:cs="Arial"/>
        </w:rPr>
        <w:t>Understanding psychological theory is vital for professionals supporting older adults with dementia. Erikson’s Psychosocial Theory and Maslow’s Hierarchy of Needs both offer practical frameworks for promoting wellbeing, dignity, and person-centred care. Erikson’s stage of Integrity versus Despair emphasises the value of meaning, reflection, and identity, while Maslow’s hierarchy highlights the importance of addressing both basic and higher-level needs</w:t>
      </w:r>
      <w:r w:rsidR="00DB09C8" w:rsidRPr="00C132AD">
        <w:rPr>
          <w:rFonts w:ascii="Arial" w:hAnsi="Arial" w:cs="Arial"/>
        </w:rPr>
        <w:t xml:space="preserve"> </w:t>
      </w:r>
      <w:r w:rsidR="00DB09C8" w:rsidRPr="00C132AD">
        <w:rPr>
          <w:rFonts w:ascii="Arial" w:hAnsi="Arial" w:cs="Arial"/>
        </w:rPr>
        <w:t>(Maslow, 1943</w:t>
      </w:r>
      <w:r w:rsidR="00DB09C8" w:rsidRPr="00C132AD">
        <w:rPr>
          <w:rFonts w:ascii="Arial" w:hAnsi="Arial" w:cs="Arial"/>
        </w:rPr>
        <w:t>).</w:t>
      </w:r>
    </w:p>
    <w:p w14:paraId="44126F46" w14:textId="72ABCB40" w:rsidR="00A83EAB" w:rsidRPr="00C132AD" w:rsidRDefault="00A83EAB" w:rsidP="0014241C">
      <w:pPr>
        <w:spacing w:line="360" w:lineRule="auto"/>
        <w:rPr>
          <w:rFonts w:ascii="Arial" w:hAnsi="Arial" w:cs="Arial"/>
        </w:rPr>
      </w:pPr>
      <w:r w:rsidRPr="00C132AD">
        <w:rPr>
          <w:rFonts w:ascii="Arial" w:hAnsi="Arial" w:cs="Arial"/>
        </w:rPr>
        <w:t>Together, they encourage a compassionate, culturally competent approach that treats residents as whole individuals with unique histories and aspirations. Although challenges such as time constraints and communication barriers persist, empathy, reflection, and professional training help staff apply these theories effectively. Ultimately, integrating psychological understanding with compassionate practice enables older adults living with dementia to experience belonging, respect, and meaning throughout the later stages of life</w:t>
      </w:r>
      <w:r w:rsidR="009A78E7" w:rsidRPr="00C132AD">
        <w:rPr>
          <w:rFonts w:ascii="Arial" w:hAnsi="Arial" w:cs="Arial"/>
        </w:rPr>
        <w:t xml:space="preserve"> </w:t>
      </w:r>
      <w:r w:rsidR="009A78E7" w:rsidRPr="00C132AD">
        <w:rPr>
          <w:rFonts w:ascii="Arial" w:hAnsi="Arial" w:cs="Arial"/>
        </w:rPr>
        <w:t>(Erikson, 1982</w:t>
      </w:r>
      <w:r w:rsidR="00C624BF" w:rsidRPr="00C132AD">
        <w:rPr>
          <w:rFonts w:ascii="Arial" w:hAnsi="Arial" w:cs="Arial"/>
        </w:rPr>
        <w:t>)</w:t>
      </w:r>
      <w:r w:rsidR="00EC69B4" w:rsidRPr="00C132AD">
        <w:rPr>
          <w:rFonts w:ascii="Arial" w:hAnsi="Arial" w:cs="Arial"/>
        </w:rPr>
        <w:t>.</w:t>
      </w:r>
    </w:p>
    <w:p w14:paraId="577F360E" w14:textId="77777777" w:rsidR="00A83EAB" w:rsidRPr="00C132AD" w:rsidRDefault="00A83EAB" w:rsidP="0014241C">
      <w:pPr>
        <w:spacing w:before="30" w:after="30" w:line="360" w:lineRule="auto"/>
        <w:rPr>
          <w:rFonts w:ascii="Arial" w:hAnsi="Arial" w:cs="Arial"/>
          <w:b/>
          <w:bCs/>
          <w:u w:val="single"/>
        </w:rPr>
      </w:pPr>
    </w:p>
    <w:p w14:paraId="7503D8C4" w14:textId="77777777" w:rsidR="00A83EAB" w:rsidRPr="00C132AD" w:rsidRDefault="00A83EAB" w:rsidP="0014241C">
      <w:pPr>
        <w:spacing w:before="30" w:after="30" w:line="360" w:lineRule="auto"/>
        <w:rPr>
          <w:rFonts w:ascii="Arial" w:hAnsi="Arial" w:cs="Arial"/>
          <w:b/>
          <w:bCs/>
          <w:u w:val="single"/>
        </w:rPr>
      </w:pPr>
    </w:p>
    <w:p w14:paraId="388D4AA9" w14:textId="77777777" w:rsidR="005E1CCC" w:rsidRPr="00C132AD" w:rsidRDefault="005E1CCC" w:rsidP="0014241C">
      <w:pPr>
        <w:spacing w:before="30" w:after="30" w:line="360" w:lineRule="auto"/>
        <w:jc w:val="center"/>
        <w:rPr>
          <w:rFonts w:ascii="Arial" w:hAnsi="Arial" w:cs="Arial"/>
          <w:b/>
          <w:bCs/>
          <w:u w:val="single"/>
        </w:rPr>
      </w:pPr>
    </w:p>
    <w:p w14:paraId="0E5BAC2C" w14:textId="77777777" w:rsidR="005E1CCC" w:rsidRPr="00C132AD" w:rsidRDefault="005E1CCC" w:rsidP="0014241C">
      <w:pPr>
        <w:spacing w:before="30" w:after="30" w:line="360" w:lineRule="auto"/>
        <w:jc w:val="center"/>
        <w:rPr>
          <w:rFonts w:ascii="Arial" w:hAnsi="Arial" w:cs="Arial"/>
          <w:b/>
          <w:bCs/>
          <w:u w:val="single"/>
        </w:rPr>
      </w:pPr>
    </w:p>
    <w:p w14:paraId="7B0F335C" w14:textId="1F76099E" w:rsidR="003867D0" w:rsidRPr="00C132AD" w:rsidRDefault="003867D0" w:rsidP="0014241C">
      <w:pPr>
        <w:spacing w:before="30" w:after="30" w:line="360" w:lineRule="auto"/>
        <w:jc w:val="center"/>
        <w:rPr>
          <w:rFonts w:ascii="Arial" w:hAnsi="Arial" w:cs="Arial"/>
          <w:b/>
          <w:bCs/>
          <w:u w:val="single"/>
        </w:rPr>
      </w:pPr>
      <w:r w:rsidRPr="00C132AD">
        <w:rPr>
          <w:rFonts w:ascii="Arial" w:hAnsi="Arial" w:cs="Arial"/>
          <w:b/>
          <w:bCs/>
          <w:u w:val="single"/>
        </w:rPr>
        <w:lastRenderedPageBreak/>
        <w:t>Reference</w:t>
      </w:r>
      <w:r w:rsidR="00A83EAB" w:rsidRPr="00C132AD">
        <w:rPr>
          <w:rFonts w:ascii="Arial" w:hAnsi="Arial" w:cs="Arial"/>
          <w:b/>
          <w:bCs/>
          <w:u w:val="single"/>
        </w:rPr>
        <w:t>s</w:t>
      </w:r>
    </w:p>
    <w:p w14:paraId="277F1F70" w14:textId="1C15D3FF" w:rsidR="003867D0" w:rsidRPr="00C132AD" w:rsidRDefault="003867D0" w:rsidP="0014241C">
      <w:pPr>
        <w:spacing w:before="30" w:after="30" w:line="360" w:lineRule="auto"/>
        <w:rPr>
          <w:rFonts w:ascii="Arial" w:hAnsi="Arial" w:cs="Arial"/>
        </w:rPr>
      </w:pPr>
    </w:p>
    <w:p w14:paraId="0366E181" w14:textId="11AD6571" w:rsidR="0005442C" w:rsidRPr="0005442C" w:rsidRDefault="0005442C" w:rsidP="0005442C">
      <w:pPr>
        <w:spacing w:before="30" w:after="30" w:line="360" w:lineRule="auto"/>
        <w:rPr>
          <w:rFonts w:ascii="Arial" w:hAnsi="Arial" w:cs="Arial"/>
        </w:rPr>
      </w:pPr>
      <w:r w:rsidRPr="0005442C">
        <w:rPr>
          <w:rFonts w:ascii="Arial" w:hAnsi="Arial" w:cs="Arial"/>
        </w:rPr>
        <w:t xml:space="preserve">Alzheimer’s Society (2024) </w:t>
      </w:r>
      <w:r w:rsidRPr="0005442C">
        <w:rPr>
          <w:rFonts w:ascii="Arial" w:hAnsi="Arial" w:cs="Arial"/>
          <w:i/>
          <w:iCs/>
        </w:rPr>
        <w:t>Dementia 2024: Understanding and Supporting People with Dementia.</w:t>
      </w:r>
      <w:r w:rsidRPr="0005442C">
        <w:rPr>
          <w:rFonts w:ascii="Arial" w:hAnsi="Arial" w:cs="Arial"/>
        </w:rPr>
        <w:t xml:space="preserve"> London: Alzheimer’s Society.</w:t>
      </w:r>
      <w:r w:rsidRPr="0005442C">
        <w:rPr>
          <w:rFonts w:ascii="Arial" w:hAnsi="Arial" w:cs="Arial"/>
        </w:rPr>
        <w:br/>
        <w:t xml:space="preserve">Available at: </w:t>
      </w:r>
      <w:hyperlink r:id="rId7" w:tgtFrame="_new" w:history="1">
        <w:r w:rsidRPr="0005442C">
          <w:rPr>
            <w:rStyle w:val="Hyperlink"/>
            <w:rFonts w:ascii="Arial" w:hAnsi="Arial" w:cs="Arial"/>
          </w:rPr>
          <w:t>https://www.alzheimers.org.uk</w:t>
        </w:r>
      </w:hyperlink>
      <w:r w:rsidRPr="0005442C">
        <w:rPr>
          <w:rFonts w:ascii="Arial" w:hAnsi="Arial" w:cs="Arial"/>
        </w:rPr>
        <w:t xml:space="preserve"> (Accessed: </w:t>
      </w:r>
      <w:r w:rsidR="005E1CCC" w:rsidRPr="00C132AD">
        <w:rPr>
          <w:rFonts w:ascii="Arial" w:hAnsi="Arial" w:cs="Arial"/>
        </w:rPr>
        <w:t>05</w:t>
      </w:r>
      <w:r w:rsidRPr="0005442C">
        <w:rPr>
          <w:rFonts w:ascii="Arial" w:hAnsi="Arial" w:cs="Arial"/>
        </w:rPr>
        <w:t xml:space="preserve"> October 2025).</w:t>
      </w:r>
    </w:p>
    <w:p w14:paraId="1CE5CD36" w14:textId="33E73296" w:rsidR="0005442C" w:rsidRPr="0005442C" w:rsidRDefault="0005442C" w:rsidP="0005442C">
      <w:pPr>
        <w:spacing w:before="30" w:after="30" w:line="360" w:lineRule="auto"/>
        <w:rPr>
          <w:rFonts w:ascii="Arial" w:hAnsi="Arial" w:cs="Arial"/>
        </w:rPr>
      </w:pPr>
      <w:r w:rsidRPr="0005442C">
        <w:rPr>
          <w:rFonts w:ascii="Arial" w:hAnsi="Arial" w:cs="Arial"/>
        </w:rPr>
        <w:t xml:space="preserve">Buron, B. (2018) ‘Person-centred care: The foundation for transformation in long-term care’, </w:t>
      </w:r>
      <w:r w:rsidRPr="0005442C">
        <w:rPr>
          <w:rFonts w:ascii="Arial" w:hAnsi="Arial" w:cs="Arial"/>
          <w:i/>
          <w:iCs/>
        </w:rPr>
        <w:t>Journal of Gerontological Nursing,</w:t>
      </w:r>
      <w:r w:rsidRPr="0005442C">
        <w:rPr>
          <w:rFonts w:ascii="Arial" w:hAnsi="Arial" w:cs="Arial"/>
        </w:rPr>
        <w:t xml:space="preserve"> 44(1), pp. 9–14.</w:t>
      </w:r>
      <w:r w:rsidRPr="0005442C">
        <w:rPr>
          <w:rFonts w:ascii="Arial" w:hAnsi="Arial" w:cs="Arial"/>
        </w:rPr>
        <w:br/>
        <w:t xml:space="preserve">Available at: https://doi.org/10.3928/00989134-20171213-03 (Accessed: </w:t>
      </w:r>
      <w:r w:rsidR="00B02D6F" w:rsidRPr="00C132AD">
        <w:rPr>
          <w:rFonts w:ascii="Arial" w:hAnsi="Arial" w:cs="Arial"/>
        </w:rPr>
        <w:t xml:space="preserve">09 </w:t>
      </w:r>
      <w:r w:rsidRPr="0005442C">
        <w:rPr>
          <w:rFonts w:ascii="Arial" w:hAnsi="Arial" w:cs="Arial"/>
        </w:rPr>
        <w:t>October 2025).</w:t>
      </w:r>
    </w:p>
    <w:p w14:paraId="36FE55B1" w14:textId="77777777" w:rsidR="0005442C" w:rsidRPr="0005442C" w:rsidRDefault="0005442C" w:rsidP="0005442C">
      <w:pPr>
        <w:spacing w:before="30" w:after="30" w:line="360" w:lineRule="auto"/>
        <w:rPr>
          <w:rFonts w:ascii="Arial" w:hAnsi="Arial" w:cs="Arial"/>
        </w:rPr>
      </w:pPr>
      <w:r w:rsidRPr="0005442C">
        <w:rPr>
          <w:rFonts w:ascii="Arial" w:hAnsi="Arial" w:cs="Arial"/>
        </w:rPr>
        <w:t xml:space="preserve">Erikson, E.H. (1950) </w:t>
      </w:r>
      <w:r w:rsidRPr="0005442C">
        <w:rPr>
          <w:rFonts w:ascii="Arial" w:hAnsi="Arial" w:cs="Arial"/>
          <w:i/>
          <w:iCs/>
        </w:rPr>
        <w:t>Childhood and Society.</w:t>
      </w:r>
      <w:r w:rsidRPr="0005442C">
        <w:rPr>
          <w:rFonts w:ascii="Arial" w:hAnsi="Arial" w:cs="Arial"/>
        </w:rPr>
        <w:t xml:space="preserve"> New York: W.W. Norton &amp; Company.</w:t>
      </w:r>
    </w:p>
    <w:p w14:paraId="562A4406" w14:textId="77777777" w:rsidR="0005442C" w:rsidRPr="0005442C" w:rsidRDefault="0005442C" w:rsidP="0005442C">
      <w:pPr>
        <w:spacing w:before="30" w:after="30" w:line="360" w:lineRule="auto"/>
        <w:rPr>
          <w:rFonts w:ascii="Arial" w:hAnsi="Arial" w:cs="Arial"/>
        </w:rPr>
      </w:pPr>
      <w:r w:rsidRPr="0005442C">
        <w:rPr>
          <w:rFonts w:ascii="Arial" w:hAnsi="Arial" w:cs="Arial"/>
        </w:rPr>
        <w:t xml:space="preserve">Erikson, E.H. (1982) </w:t>
      </w:r>
      <w:r w:rsidRPr="0005442C">
        <w:rPr>
          <w:rFonts w:ascii="Arial" w:hAnsi="Arial" w:cs="Arial"/>
          <w:i/>
          <w:iCs/>
        </w:rPr>
        <w:t>The Life Cycle Completed.</w:t>
      </w:r>
      <w:r w:rsidRPr="0005442C">
        <w:rPr>
          <w:rFonts w:ascii="Arial" w:hAnsi="Arial" w:cs="Arial"/>
        </w:rPr>
        <w:t xml:space="preserve"> New York: W.W. Norton &amp; Company.</w:t>
      </w:r>
    </w:p>
    <w:p w14:paraId="2E807EBC" w14:textId="77777777" w:rsidR="0005442C" w:rsidRPr="0005442C" w:rsidRDefault="0005442C" w:rsidP="0005442C">
      <w:pPr>
        <w:spacing w:before="30" w:after="30" w:line="360" w:lineRule="auto"/>
        <w:rPr>
          <w:rFonts w:ascii="Arial" w:hAnsi="Arial" w:cs="Arial"/>
        </w:rPr>
      </w:pPr>
      <w:r w:rsidRPr="0005442C">
        <w:rPr>
          <w:rFonts w:ascii="Arial" w:hAnsi="Arial" w:cs="Arial"/>
        </w:rPr>
        <w:t xml:space="preserve">Hofstede, G. (2001) </w:t>
      </w:r>
      <w:r w:rsidRPr="0005442C">
        <w:rPr>
          <w:rFonts w:ascii="Arial" w:hAnsi="Arial" w:cs="Arial"/>
          <w:i/>
          <w:iCs/>
        </w:rPr>
        <w:t>Culture’s Consequences: Comparing Values, Behaviors, Institutions, and Organizations Across Nations.</w:t>
      </w:r>
      <w:r w:rsidRPr="0005442C">
        <w:rPr>
          <w:rFonts w:ascii="Arial" w:hAnsi="Arial" w:cs="Arial"/>
        </w:rPr>
        <w:t xml:space="preserve"> 2nd edn. Thousand Oaks, CA: Sage.</w:t>
      </w:r>
    </w:p>
    <w:p w14:paraId="128AC2FF" w14:textId="77777777" w:rsidR="0005442C" w:rsidRPr="0005442C" w:rsidRDefault="0005442C" w:rsidP="0005442C">
      <w:pPr>
        <w:spacing w:before="30" w:after="30" w:line="360" w:lineRule="auto"/>
        <w:rPr>
          <w:rFonts w:ascii="Arial" w:hAnsi="Arial" w:cs="Arial"/>
        </w:rPr>
      </w:pPr>
      <w:r w:rsidRPr="0005442C">
        <w:rPr>
          <w:rFonts w:ascii="Arial" w:hAnsi="Arial" w:cs="Arial"/>
        </w:rPr>
        <w:t xml:space="preserve">Kenrick, D.T., Griskevicius, V., Neuberg, S.L. and Schaller, M. (2010) ‘Renovating the pyramid of needs: Contemporary extensions built upon ancient foundations’, </w:t>
      </w:r>
      <w:r w:rsidRPr="0005442C">
        <w:rPr>
          <w:rFonts w:ascii="Arial" w:hAnsi="Arial" w:cs="Arial"/>
          <w:i/>
          <w:iCs/>
        </w:rPr>
        <w:t>Perspectives on Psychological Science,</w:t>
      </w:r>
      <w:r w:rsidRPr="0005442C">
        <w:rPr>
          <w:rFonts w:ascii="Arial" w:hAnsi="Arial" w:cs="Arial"/>
        </w:rPr>
        <w:t xml:space="preserve"> 5(3), pp. 292–314.</w:t>
      </w:r>
      <w:r w:rsidRPr="0005442C">
        <w:rPr>
          <w:rFonts w:ascii="Arial" w:hAnsi="Arial" w:cs="Arial"/>
        </w:rPr>
        <w:br/>
        <w:t xml:space="preserve">Available at: </w:t>
      </w:r>
      <w:hyperlink r:id="rId8" w:tgtFrame="_new" w:history="1">
        <w:r w:rsidRPr="0005442C">
          <w:rPr>
            <w:rStyle w:val="Hyperlink"/>
            <w:rFonts w:ascii="Arial" w:hAnsi="Arial" w:cs="Arial"/>
          </w:rPr>
          <w:t>https://doi.org/10.1177/1745691610369469</w:t>
        </w:r>
      </w:hyperlink>
      <w:r w:rsidRPr="0005442C">
        <w:rPr>
          <w:rFonts w:ascii="Arial" w:hAnsi="Arial" w:cs="Arial"/>
        </w:rPr>
        <w:t xml:space="preserve"> (Accessed: 10 October 2025).</w:t>
      </w:r>
    </w:p>
    <w:p w14:paraId="70677C29" w14:textId="7506F7D4" w:rsidR="0005442C" w:rsidRPr="0005442C" w:rsidRDefault="0005442C" w:rsidP="0005442C">
      <w:pPr>
        <w:spacing w:before="30" w:after="30" w:line="360" w:lineRule="auto"/>
        <w:rPr>
          <w:rFonts w:ascii="Arial" w:hAnsi="Arial" w:cs="Arial"/>
        </w:rPr>
      </w:pPr>
      <w:r w:rsidRPr="0005442C">
        <w:rPr>
          <w:rFonts w:ascii="Arial" w:hAnsi="Arial" w:cs="Arial"/>
        </w:rPr>
        <w:t xml:space="preserve">Maslow, A.H. (1943) ‘A theory of human motivation’, </w:t>
      </w:r>
      <w:r w:rsidRPr="0005442C">
        <w:rPr>
          <w:rFonts w:ascii="Arial" w:hAnsi="Arial" w:cs="Arial"/>
          <w:i/>
          <w:iCs/>
        </w:rPr>
        <w:t>Psychological Review,</w:t>
      </w:r>
      <w:r w:rsidRPr="0005442C">
        <w:rPr>
          <w:rFonts w:ascii="Arial" w:hAnsi="Arial" w:cs="Arial"/>
        </w:rPr>
        <w:t xml:space="preserve"> 50(4), pp. 370–396.</w:t>
      </w:r>
      <w:r w:rsidRPr="0005442C">
        <w:rPr>
          <w:rFonts w:ascii="Arial" w:hAnsi="Arial" w:cs="Arial"/>
        </w:rPr>
        <w:br/>
        <w:t xml:space="preserve">Available at: </w:t>
      </w:r>
      <w:hyperlink r:id="rId9" w:tgtFrame="_new" w:history="1">
        <w:r w:rsidRPr="0005442C">
          <w:rPr>
            <w:rStyle w:val="Hyperlink"/>
            <w:rFonts w:ascii="Arial" w:hAnsi="Arial" w:cs="Arial"/>
          </w:rPr>
          <w:t>https://doi.org/10.1037/h0054346</w:t>
        </w:r>
      </w:hyperlink>
      <w:r w:rsidRPr="0005442C">
        <w:rPr>
          <w:rFonts w:ascii="Arial" w:hAnsi="Arial" w:cs="Arial"/>
        </w:rPr>
        <w:t xml:space="preserve"> (Accessed: 1</w:t>
      </w:r>
      <w:r w:rsidR="006C5BF8" w:rsidRPr="00C132AD">
        <w:rPr>
          <w:rFonts w:ascii="Arial" w:hAnsi="Arial" w:cs="Arial"/>
        </w:rPr>
        <w:t>1</w:t>
      </w:r>
      <w:r w:rsidRPr="0005442C">
        <w:rPr>
          <w:rFonts w:ascii="Arial" w:hAnsi="Arial" w:cs="Arial"/>
        </w:rPr>
        <w:t xml:space="preserve"> October 2025).</w:t>
      </w:r>
    </w:p>
    <w:p w14:paraId="4D1334B1" w14:textId="77777777" w:rsidR="0005442C" w:rsidRPr="0005442C" w:rsidRDefault="0005442C" w:rsidP="0005442C">
      <w:pPr>
        <w:spacing w:before="30" w:after="30" w:line="360" w:lineRule="auto"/>
        <w:rPr>
          <w:rFonts w:ascii="Arial" w:hAnsi="Arial" w:cs="Arial"/>
        </w:rPr>
      </w:pPr>
      <w:r w:rsidRPr="0005442C">
        <w:rPr>
          <w:rFonts w:ascii="Arial" w:hAnsi="Arial" w:cs="Arial"/>
        </w:rPr>
        <w:t xml:space="preserve">Maslow, A.H. (1971) </w:t>
      </w:r>
      <w:r w:rsidRPr="0005442C">
        <w:rPr>
          <w:rFonts w:ascii="Arial" w:hAnsi="Arial" w:cs="Arial"/>
          <w:i/>
          <w:iCs/>
        </w:rPr>
        <w:t>The Farther Reaches of Human Nature.</w:t>
      </w:r>
      <w:r w:rsidRPr="0005442C">
        <w:rPr>
          <w:rFonts w:ascii="Arial" w:hAnsi="Arial" w:cs="Arial"/>
        </w:rPr>
        <w:t xml:space="preserve"> New York: Viking Press.</w:t>
      </w:r>
    </w:p>
    <w:p w14:paraId="74D9579E" w14:textId="3CB944F0" w:rsidR="0005442C" w:rsidRPr="0005442C" w:rsidRDefault="0005442C" w:rsidP="0005442C">
      <w:pPr>
        <w:spacing w:before="30" w:after="30" w:line="360" w:lineRule="auto"/>
        <w:rPr>
          <w:rFonts w:ascii="Arial" w:hAnsi="Arial" w:cs="Arial"/>
        </w:rPr>
      </w:pPr>
      <w:r w:rsidRPr="0005442C">
        <w:rPr>
          <w:rFonts w:ascii="Arial" w:hAnsi="Arial" w:cs="Arial"/>
        </w:rPr>
        <w:t xml:space="preserve">McAdams, D.P. and Zapata-Gietl, C. (2015) ‘Three strands of identity development across the human life course: Reading Erikson in full’, </w:t>
      </w:r>
      <w:r w:rsidRPr="0005442C">
        <w:rPr>
          <w:rFonts w:ascii="Arial" w:hAnsi="Arial" w:cs="Arial"/>
          <w:i/>
          <w:iCs/>
        </w:rPr>
        <w:t>Developmental Psychology,</w:t>
      </w:r>
      <w:r w:rsidRPr="0005442C">
        <w:rPr>
          <w:rFonts w:ascii="Arial" w:hAnsi="Arial" w:cs="Arial"/>
        </w:rPr>
        <w:t xml:space="preserve"> 51(10), pp. 1489–1509.</w:t>
      </w:r>
      <w:r w:rsidRPr="0005442C">
        <w:rPr>
          <w:rFonts w:ascii="Arial" w:hAnsi="Arial" w:cs="Arial"/>
        </w:rPr>
        <w:br/>
        <w:t xml:space="preserve">Available at: https://doi.org/10.1037/a0039877 (Accessed: </w:t>
      </w:r>
      <w:r w:rsidR="006C5BF8" w:rsidRPr="00C132AD">
        <w:rPr>
          <w:rFonts w:ascii="Arial" w:hAnsi="Arial" w:cs="Arial"/>
        </w:rPr>
        <w:t>25</w:t>
      </w:r>
      <w:r w:rsidRPr="0005442C">
        <w:rPr>
          <w:rFonts w:ascii="Arial" w:hAnsi="Arial" w:cs="Arial"/>
        </w:rPr>
        <w:t xml:space="preserve"> October 2025).</w:t>
      </w:r>
    </w:p>
    <w:p w14:paraId="51034920" w14:textId="736CA0F0" w:rsidR="0005442C" w:rsidRPr="0005442C" w:rsidRDefault="0005442C" w:rsidP="0005442C">
      <w:pPr>
        <w:spacing w:before="30" w:after="30" w:line="360" w:lineRule="auto"/>
        <w:rPr>
          <w:rFonts w:ascii="Arial" w:hAnsi="Arial" w:cs="Arial"/>
        </w:rPr>
      </w:pPr>
      <w:r w:rsidRPr="0005442C">
        <w:rPr>
          <w:rFonts w:ascii="Arial" w:hAnsi="Arial" w:cs="Arial"/>
        </w:rPr>
        <w:t xml:space="preserve">McLeod, S. (2023) </w:t>
      </w:r>
      <w:r w:rsidRPr="0005442C">
        <w:rPr>
          <w:rFonts w:ascii="Arial" w:hAnsi="Arial" w:cs="Arial"/>
          <w:i/>
          <w:iCs/>
        </w:rPr>
        <w:t>Maslow’s Hierarchy of Needs.</w:t>
      </w:r>
      <w:r w:rsidRPr="0005442C">
        <w:rPr>
          <w:rFonts w:ascii="Arial" w:hAnsi="Arial" w:cs="Arial"/>
        </w:rPr>
        <w:t xml:space="preserve"> Simply Psychology.</w:t>
      </w:r>
      <w:r w:rsidRPr="0005442C">
        <w:rPr>
          <w:rFonts w:ascii="Arial" w:hAnsi="Arial" w:cs="Arial"/>
        </w:rPr>
        <w:br/>
        <w:t xml:space="preserve">Available at: </w:t>
      </w:r>
      <w:hyperlink r:id="rId10" w:tgtFrame="_new" w:history="1">
        <w:r w:rsidRPr="0005442C">
          <w:rPr>
            <w:rStyle w:val="Hyperlink"/>
            <w:rFonts w:ascii="Arial" w:hAnsi="Arial" w:cs="Arial"/>
          </w:rPr>
          <w:t>https://www.simplypsychology.org/maslow.html</w:t>
        </w:r>
      </w:hyperlink>
      <w:r w:rsidRPr="0005442C">
        <w:rPr>
          <w:rFonts w:ascii="Arial" w:hAnsi="Arial" w:cs="Arial"/>
        </w:rPr>
        <w:t xml:space="preserve"> (Accessed: </w:t>
      </w:r>
      <w:r w:rsidR="006C5BF8" w:rsidRPr="00C132AD">
        <w:rPr>
          <w:rFonts w:ascii="Arial" w:hAnsi="Arial" w:cs="Arial"/>
        </w:rPr>
        <w:t>27</w:t>
      </w:r>
      <w:r w:rsidRPr="0005442C">
        <w:rPr>
          <w:rFonts w:ascii="Arial" w:hAnsi="Arial" w:cs="Arial"/>
        </w:rPr>
        <w:t xml:space="preserve"> October 2025).</w:t>
      </w:r>
    </w:p>
    <w:p w14:paraId="06192CDE" w14:textId="2E488549" w:rsidR="0005442C" w:rsidRPr="0005442C" w:rsidRDefault="0005442C" w:rsidP="0005442C">
      <w:pPr>
        <w:spacing w:before="30" w:after="30" w:line="360" w:lineRule="auto"/>
        <w:rPr>
          <w:rFonts w:ascii="Arial" w:hAnsi="Arial" w:cs="Arial"/>
        </w:rPr>
      </w:pPr>
      <w:r w:rsidRPr="0005442C">
        <w:rPr>
          <w:rFonts w:ascii="Arial" w:hAnsi="Arial" w:cs="Arial"/>
        </w:rPr>
        <w:t xml:space="preserve">Wadensten, B. (2006) ‘An analysis of psychosocial theories of ageing and their relevance to practical gerontological nursing in Sweden’, </w:t>
      </w:r>
      <w:r w:rsidRPr="0005442C">
        <w:rPr>
          <w:rFonts w:ascii="Arial" w:hAnsi="Arial" w:cs="Arial"/>
          <w:i/>
          <w:iCs/>
        </w:rPr>
        <w:t>Scandinavian Journal of Caring Sciences,</w:t>
      </w:r>
      <w:r w:rsidRPr="0005442C">
        <w:rPr>
          <w:rFonts w:ascii="Arial" w:hAnsi="Arial" w:cs="Arial"/>
        </w:rPr>
        <w:t xml:space="preserve"> 20(3), pp. 347–354.</w:t>
      </w:r>
      <w:r w:rsidRPr="0005442C">
        <w:rPr>
          <w:rFonts w:ascii="Arial" w:hAnsi="Arial" w:cs="Arial"/>
        </w:rPr>
        <w:br/>
        <w:t xml:space="preserve">Available at: https://doi.org/10.1111/j.1471-6712.2006.00418.x (Accessed: </w:t>
      </w:r>
      <w:r w:rsidR="00DE6DA5" w:rsidRPr="00C132AD">
        <w:rPr>
          <w:rFonts w:ascii="Arial" w:hAnsi="Arial" w:cs="Arial"/>
        </w:rPr>
        <w:t>30</w:t>
      </w:r>
      <w:r w:rsidRPr="0005442C">
        <w:rPr>
          <w:rFonts w:ascii="Arial" w:hAnsi="Arial" w:cs="Arial"/>
        </w:rPr>
        <w:t xml:space="preserve"> October 2025).</w:t>
      </w:r>
    </w:p>
    <w:p w14:paraId="0EDAE4C4" w14:textId="2688BE26" w:rsidR="0005442C" w:rsidRPr="0005442C" w:rsidRDefault="0005442C" w:rsidP="0005442C">
      <w:pPr>
        <w:spacing w:before="30" w:after="30" w:line="360" w:lineRule="auto"/>
        <w:rPr>
          <w:rFonts w:ascii="Arial" w:hAnsi="Arial" w:cs="Arial"/>
        </w:rPr>
      </w:pPr>
      <w:r w:rsidRPr="0005442C">
        <w:rPr>
          <w:rFonts w:ascii="Arial" w:hAnsi="Arial" w:cs="Arial"/>
        </w:rPr>
        <w:t xml:space="preserve">Woods, R.T., O’Philbin, L., Farrell, E.M., Spector, A.E. and Orrell, M. (2018) ‘Reminiscence therapy for dementia’, </w:t>
      </w:r>
      <w:r w:rsidRPr="0005442C">
        <w:rPr>
          <w:rFonts w:ascii="Arial" w:hAnsi="Arial" w:cs="Arial"/>
          <w:i/>
          <w:iCs/>
        </w:rPr>
        <w:t>Cochrane Database of Systematic Reviews,</w:t>
      </w:r>
      <w:r w:rsidRPr="0005442C">
        <w:rPr>
          <w:rFonts w:ascii="Arial" w:hAnsi="Arial" w:cs="Arial"/>
        </w:rPr>
        <w:t xml:space="preserve"> 3(3), CD001120.</w:t>
      </w:r>
      <w:r w:rsidRPr="0005442C">
        <w:rPr>
          <w:rFonts w:ascii="Arial" w:hAnsi="Arial" w:cs="Arial"/>
        </w:rPr>
        <w:br/>
        <w:t xml:space="preserve">Available at: </w:t>
      </w:r>
      <w:hyperlink r:id="rId11" w:tgtFrame="_new" w:history="1">
        <w:r w:rsidRPr="0005442C">
          <w:rPr>
            <w:rStyle w:val="Hyperlink"/>
            <w:rFonts w:ascii="Arial" w:hAnsi="Arial" w:cs="Arial"/>
          </w:rPr>
          <w:t>https://doi.org/10.1002/14651858.CD001120.pub3</w:t>
        </w:r>
      </w:hyperlink>
      <w:r w:rsidRPr="0005442C">
        <w:rPr>
          <w:rFonts w:ascii="Arial" w:hAnsi="Arial" w:cs="Arial"/>
        </w:rPr>
        <w:t xml:space="preserve"> (Accessed: </w:t>
      </w:r>
      <w:r w:rsidR="00DE6DA5" w:rsidRPr="00C132AD">
        <w:rPr>
          <w:rFonts w:ascii="Arial" w:hAnsi="Arial" w:cs="Arial"/>
        </w:rPr>
        <w:t xml:space="preserve">3 </w:t>
      </w:r>
      <w:r w:rsidR="00A65CE8" w:rsidRPr="00C132AD">
        <w:rPr>
          <w:rFonts w:ascii="Arial" w:hAnsi="Arial" w:cs="Arial"/>
        </w:rPr>
        <w:t xml:space="preserve">November </w:t>
      </w:r>
      <w:r w:rsidRPr="0005442C">
        <w:rPr>
          <w:rFonts w:ascii="Arial" w:hAnsi="Arial" w:cs="Arial"/>
        </w:rPr>
        <w:t>2025).</w:t>
      </w:r>
    </w:p>
    <w:p w14:paraId="7E86FBCE" w14:textId="19D13B42" w:rsidR="0005442C" w:rsidRPr="0005442C" w:rsidRDefault="0005442C" w:rsidP="0005442C">
      <w:pPr>
        <w:spacing w:before="30" w:after="30" w:line="360" w:lineRule="auto"/>
        <w:rPr>
          <w:rFonts w:ascii="Arial" w:hAnsi="Arial" w:cs="Arial"/>
        </w:rPr>
      </w:pPr>
      <w:r w:rsidRPr="0005442C">
        <w:rPr>
          <w:rFonts w:ascii="Arial" w:hAnsi="Arial" w:cs="Arial"/>
        </w:rPr>
        <w:lastRenderedPageBreak/>
        <w:t xml:space="preserve">World Health Organization (2023) </w:t>
      </w:r>
      <w:r w:rsidRPr="0005442C">
        <w:rPr>
          <w:rFonts w:ascii="Arial" w:hAnsi="Arial" w:cs="Arial"/>
          <w:i/>
          <w:iCs/>
        </w:rPr>
        <w:t>Dementia Fact Sheet.</w:t>
      </w:r>
      <w:r w:rsidRPr="0005442C">
        <w:rPr>
          <w:rFonts w:ascii="Arial" w:hAnsi="Arial" w:cs="Arial"/>
        </w:rPr>
        <w:t xml:space="preserve"> Geneva: WHO.</w:t>
      </w:r>
      <w:r w:rsidRPr="0005442C">
        <w:rPr>
          <w:rFonts w:ascii="Arial" w:hAnsi="Arial" w:cs="Arial"/>
        </w:rPr>
        <w:br/>
        <w:t xml:space="preserve">Available at: </w:t>
      </w:r>
      <w:hyperlink r:id="rId12" w:tgtFrame="_new" w:history="1">
        <w:r w:rsidRPr="0005442C">
          <w:rPr>
            <w:rStyle w:val="Hyperlink"/>
            <w:rFonts w:ascii="Arial" w:hAnsi="Arial" w:cs="Arial"/>
          </w:rPr>
          <w:t>https://www.who.int/news-room/fact-sheets/detail/dementia</w:t>
        </w:r>
      </w:hyperlink>
      <w:r w:rsidRPr="0005442C">
        <w:rPr>
          <w:rFonts w:ascii="Arial" w:hAnsi="Arial" w:cs="Arial"/>
        </w:rPr>
        <w:t xml:space="preserve"> (Accessed: </w:t>
      </w:r>
      <w:r w:rsidR="003B178C" w:rsidRPr="00C132AD">
        <w:rPr>
          <w:rFonts w:ascii="Arial" w:hAnsi="Arial" w:cs="Arial"/>
        </w:rPr>
        <w:t>09 November</w:t>
      </w:r>
      <w:r w:rsidRPr="0005442C">
        <w:rPr>
          <w:rFonts w:ascii="Arial" w:hAnsi="Arial" w:cs="Arial"/>
        </w:rPr>
        <w:t xml:space="preserve"> 2025).</w:t>
      </w:r>
    </w:p>
    <w:p w14:paraId="3C68A816" w14:textId="77777777" w:rsidR="0005442C" w:rsidRPr="00C132AD" w:rsidRDefault="0005442C" w:rsidP="0014241C">
      <w:pPr>
        <w:spacing w:before="30" w:after="30" w:line="360" w:lineRule="auto"/>
        <w:rPr>
          <w:rFonts w:ascii="Arial" w:hAnsi="Arial" w:cs="Arial"/>
        </w:rPr>
      </w:pPr>
    </w:p>
    <w:p w14:paraId="0051AAE7" w14:textId="77777777" w:rsidR="003867D0" w:rsidRPr="00C132AD" w:rsidRDefault="003867D0" w:rsidP="0014241C">
      <w:pPr>
        <w:spacing w:before="30" w:after="30" w:line="360" w:lineRule="auto"/>
        <w:rPr>
          <w:rFonts w:ascii="Arial" w:hAnsi="Arial" w:cs="Arial"/>
        </w:rPr>
      </w:pPr>
    </w:p>
    <w:sectPr w:rsidR="003867D0" w:rsidRPr="00C132A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2D086" w14:textId="77777777" w:rsidR="00175620" w:rsidRDefault="00175620" w:rsidP="00F004D1">
      <w:pPr>
        <w:spacing w:after="0" w:line="240" w:lineRule="auto"/>
      </w:pPr>
      <w:r>
        <w:separator/>
      </w:r>
    </w:p>
  </w:endnote>
  <w:endnote w:type="continuationSeparator" w:id="0">
    <w:p w14:paraId="6FBB3E5F" w14:textId="77777777" w:rsidR="00175620" w:rsidRDefault="00175620" w:rsidP="00F00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221422"/>
      <w:docPartObj>
        <w:docPartGallery w:val="Page Numbers (Bottom of Page)"/>
        <w:docPartUnique/>
      </w:docPartObj>
    </w:sdtPr>
    <w:sdtEndPr>
      <w:rPr>
        <w:noProof/>
      </w:rPr>
    </w:sdtEndPr>
    <w:sdtContent>
      <w:p w14:paraId="1B63DD1B" w14:textId="0B57E75A" w:rsidR="00F004D1" w:rsidRDefault="00F004D1">
        <w:pPr>
          <w:pStyle w:val="Footer"/>
        </w:pPr>
        <w:r>
          <w:fldChar w:fldCharType="begin"/>
        </w:r>
        <w:r>
          <w:instrText xml:space="preserve"> PAGE   \* MERGEFORMAT </w:instrText>
        </w:r>
        <w:r>
          <w:fldChar w:fldCharType="separate"/>
        </w:r>
        <w:r>
          <w:rPr>
            <w:noProof/>
          </w:rPr>
          <w:t>2</w:t>
        </w:r>
        <w:r>
          <w:rPr>
            <w:noProof/>
          </w:rPr>
          <w:fldChar w:fldCharType="end"/>
        </w:r>
      </w:p>
    </w:sdtContent>
  </w:sdt>
  <w:p w14:paraId="1C95895B" w14:textId="77777777" w:rsidR="00F004D1" w:rsidRDefault="00F00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0EE9F" w14:textId="77777777" w:rsidR="00175620" w:rsidRDefault="00175620" w:rsidP="00F004D1">
      <w:pPr>
        <w:spacing w:after="0" w:line="240" w:lineRule="auto"/>
      </w:pPr>
      <w:r>
        <w:separator/>
      </w:r>
    </w:p>
  </w:footnote>
  <w:footnote w:type="continuationSeparator" w:id="0">
    <w:p w14:paraId="0440BAAE" w14:textId="77777777" w:rsidR="00175620" w:rsidRDefault="00175620" w:rsidP="00F004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7D0"/>
    <w:rsid w:val="000178AC"/>
    <w:rsid w:val="000318E8"/>
    <w:rsid w:val="0004650E"/>
    <w:rsid w:val="0005442C"/>
    <w:rsid w:val="00057F35"/>
    <w:rsid w:val="00064DD5"/>
    <w:rsid w:val="00085CB0"/>
    <w:rsid w:val="000F11BB"/>
    <w:rsid w:val="001008AB"/>
    <w:rsid w:val="00100B00"/>
    <w:rsid w:val="00103DC8"/>
    <w:rsid w:val="00111A0F"/>
    <w:rsid w:val="001331EC"/>
    <w:rsid w:val="0014241C"/>
    <w:rsid w:val="00156FBA"/>
    <w:rsid w:val="00166810"/>
    <w:rsid w:val="00175620"/>
    <w:rsid w:val="00194747"/>
    <w:rsid w:val="001F2150"/>
    <w:rsid w:val="002141DD"/>
    <w:rsid w:val="0022746E"/>
    <w:rsid w:val="00247FCB"/>
    <w:rsid w:val="00284B2C"/>
    <w:rsid w:val="002B52B1"/>
    <w:rsid w:val="00324568"/>
    <w:rsid w:val="00332760"/>
    <w:rsid w:val="003433B4"/>
    <w:rsid w:val="003613CA"/>
    <w:rsid w:val="00365F08"/>
    <w:rsid w:val="003867D0"/>
    <w:rsid w:val="00394BEC"/>
    <w:rsid w:val="003A07E4"/>
    <w:rsid w:val="003B178C"/>
    <w:rsid w:val="003E03C2"/>
    <w:rsid w:val="003F47F1"/>
    <w:rsid w:val="0042604D"/>
    <w:rsid w:val="00432877"/>
    <w:rsid w:val="00436E9E"/>
    <w:rsid w:val="004727BE"/>
    <w:rsid w:val="0049472D"/>
    <w:rsid w:val="004B74ED"/>
    <w:rsid w:val="004D03CE"/>
    <w:rsid w:val="004E0C26"/>
    <w:rsid w:val="004E623D"/>
    <w:rsid w:val="00533884"/>
    <w:rsid w:val="00544B2C"/>
    <w:rsid w:val="00557737"/>
    <w:rsid w:val="00567653"/>
    <w:rsid w:val="005C2798"/>
    <w:rsid w:val="005E1CCC"/>
    <w:rsid w:val="0066024F"/>
    <w:rsid w:val="00684ACA"/>
    <w:rsid w:val="006C5BF8"/>
    <w:rsid w:val="006D500A"/>
    <w:rsid w:val="006E23D7"/>
    <w:rsid w:val="006E2D0C"/>
    <w:rsid w:val="006E7E30"/>
    <w:rsid w:val="006F177F"/>
    <w:rsid w:val="006F66DB"/>
    <w:rsid w:val="00723A06"/>
    <w:rsid w:val="00764285"/>
    <w:rsid w:val="007A5D31"/>
    <w:rsid w:val="007F0865"/>
    <w:rsid w:val="008E0967"/>
    <w:rsid w:val="008E461A"/>
    <w:rsid w:val="00912F0F"/>
    <w:rsid w:val="00955DE5"/>
    <w:rsid w:val="00995EDA"/>
    <w:rsid w:val="009A4779"/>
    <w:rsid w:val="009A78E7"/>
    <w:rsid w:val="009D1540"/>
    <w:rsid w:val="00A06496"/>
    <w:rsid w:val="00A3191C"/>
    <w:rsid w:val="00A342CE"/>
    <w:rsid w:val="00A53AE8"/>
    <w:rsid w:val="00A65CE8"/>
    <w:rsid w:val="00A83EAB"/>
    <w:rsid w:val="00A87A73"/>
    <w:rsid w:val="00B02D6F"/>
    <w:rsid w:val="00BA622A"/>
    <w:rsid w:val="00BC08B3"/>
    <w:rsid w:val="00C03B5F"/>
    <w:rsid w:val="00C132AD"/>
    <w:rsid w:val="00C624BF"/>
    <w:rsid w:val="00C73846"/>
    <w:rsid w:val="00C74152"/>
    <w:rsid w:val="00CE44F8"/>
    <w:rsid w:val="00D13445"/>
    <w:rsid w:val="00D312C7"/>
    <w:rsid w:val="00DA5C0C"/>
    <w:rsid w:val="00DB09C8"/>
    <w:rsid w:val="00DC24A8"/>
    <w:rsid w:val="00DE6DA5"/>
    <w:rsid w:val="00E049A5"/>
    <w:rsid w:val="00E06F64"/>
    <w:rsid w:val="00E45BE8"/>
    <w:rsid w:val="00EC69B4"/>
    <w:rsid w:val="00EE2B9B"/>
    <w:rsid w:val="00F004D1"/>
    <w:rsid w:val="00F0181C"/>
    <w:rsid w:val="00F21EFE"/>
    <w:rsid w:val="00F33439"/>
    <w:rsid w:val="00F75283"/>
    <w:rsid w:val="00F97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37689"/>
  <w15:chartTrackingRefBased/>
  <w15:docId w15:val="{C0F013CD-F4FF-47BA-87FE-04414FDC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4D1"/>
  </w:style>
  <w:style w:type="paragraph" w:styleId="Heading1">
    <w:name w:val="heading 1"/>
    <w:basedOn w:val="Normal"/>
    <w:next w:val="Normal"/>
    <w:link w:val="Heading1Char"/>
    <w:uiPriority w:val="9"/>
    <w:qFormat/>
    <w:rsid w:val="003867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67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67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7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7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7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7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7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7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7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7D0"/>
    <w:rPr>
      <w:rFonts w:eastAsiaTheme="majorEastAsia" w:cstheme="majorBidi"/>
      <w:color w:val="272727" w:themeColor="text1" w:themeTint="D8"/>
    </w:rPr>
  </w:style>
  <w:style w:type="paragraph" w:styleId="Title">
    <w:name w:val="Title"/>
    <w:basedOn w:val="Normal"/>
    <w:next w:val="Normal"/>
    <w:link w:val="TitleChar"/>
    <w:uiPriority w:val="10"/>
    <w:qFormat/>
    <w:rsid w:val="00386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7D0"/>
    <w:pPr>
      <w:spacing w:before="160"/>
      <w:jc w:val="center"/>
    </w:pPr>
    <w:rPr>
      <w:i/>
      <w:iCs/>
      <w:color w:val="404040" w:themeColor="text1" w:themeTint="BF"/>
    </w:rPr>
  </w:style>
  <w:style w:type="character" w:customStyle="1" w:styleId="QuoteChar">
    <w:name w:val="Quote Char"/>
    <w:basedOn w:val="DefaultParagraphFont"/>
    <w:link w:val="Quote"/>
    <w:uiPriority w:val="29"/>
    <w:rsid w:val="003867D0"/>
    <w:rPr>
      <w:i/>
      <w:iCs/>
      <w:color w:val="404040" w:themeColor="text1" w:themeTint="BF"/>
    </w:rPr>
  </w:style>
  <w:style w:type="paragraph" w:styleId="ListParagraph">
    <w:name w:val="List Paragraph"/>
    <w:basedOn w:val="Normal"/>
    <w:uiPriority w:val="34"/>
    <w:qFormat/>
    <w:rsid w:val="003867D0"/>
    <w:pPr>
      <w:ind w:left="720"/>
      <w:contextualSpacing/>
    </w:pPr>
  </w:style>
  <w:style w:type="character" w:styleId="IntenseEmphasis">
    <w:name w:val="Intense Emphasis"/>
    <w:basedOn w:val="DefaultParagraphFont"/>
    <w:uiPriority w:val="21"/>
    <w:qFormat/>
    <w:rsid w:val="003867D0"/>
    <w:rPr>
      <w:i/>
      <w:iCs/>
      <w:color w:val="0F4761" w:themeColor="accent1" w:themeShade="BF"/>
    </w:rPr>
  </w:style>
  <w:style w:type="paragraph" w:styleId="IntenseQuote">
    <w:name w:val="Intense Quote"/>
    <w:basedOn w:val="Normal"/>
    <w:next w:val="Normal"/>
    <w:link w:val="IntenseQuoteChar"/>
    <w:uiPriority w:val="30"/>
    <w:qFormat/>
    <w:rsid w:val="003867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7D0"/>
    <w:rPr>
      <w:i/>
      <w:iCs/>
      <w:color w:val="0F4761" w:themeColor="accent1" w:themeShade="BF"/>
    </w:rPr>
  </w:style>
  <w:style w:type="character" w:styleId="IntenseReference">
    <w:name w:val="Intense Reference"/>
    <w:basedOn w:val="DefaultParagraphFont"/>
    <w:uiPriority w:val="32"/>
    <w:qFormat/>
    <w:rsid w:val="003867D0"/>
    <w:rPr>
      <w:b/>
      <w:bCs/>
      <w:smallCaps/>
      <w:color w:val="0F4761" w:themeColor="accent1" w:themeShade="BF"/>
      <w:spacing w:val="5"/>
    </w:rPr>
  </w:style>
  <w:style w:type="paragraph" w:styleId="Header">
    <w:name w:val="header"/>
    <w:basedOn w:val="Normal"/>
    <w:link w:val="HeaderChar"/>
    <w:uiPriority w:val="99"/>
    <w:unhideWhenUsed/>
    <w:rsid w:val="00F00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4D1"/>
  </w:style>
  <w:style w:type="paragraph" w:styleId="Footer">
    <w:name w:val="footer"/>
    <w:basedOn w:val="Normal"/>
    <w:link w:val="FooterChar"/>
    <w:uiPriority w:val="99"/>
    <w:unhideWhenUsed/>
    <w:rsid w:val="00F00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4D1"/>
  </w:style>
  <w:style w:type="character" w:styleId="Hyperlink">
    <w:name w:val="Hyperlink"/>
    <w:basedOn w:val="DefaultParagraphFont"/>
    <w:uiPriority w:val="99"/>
    <w:unhideWhenUsed/>
    <w:rsid w:val="00F004D1"/>
    <w:rPr>
      <w:color w:val="467886" w:themeColor="hyperlink"/>
      <w:u w:val="single"/>
    </w:rPr>
  </w:style>
  <w:style w:type="character" w:styleId="UnresolvedMention">
    <w:name w:val="Unresolved Mention"/>
    <w:basedOn w:val="DefaultParagraphFont"/>
    <w:uiPriority w:val="99"/>
    <w:semiHidden/>
    <w:unhideWhenUsed/>
    <w:rsid w:val="00F00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45691610369469"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alzheimers.org.uk" TargetMode="External"/><Relationship Id="rId12" Type="http://schemas.openxmlformats.org/officeDocument/2006/relationships/hyperlink" Target="https://www.who.int/news-room/fact-sheets/detail/dement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02/14651858.CD001120.pub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implypsychology.org/maslow.html" TargetMode="External"/><Relationship Id="rId4" Type="http://schemas.openxmlformats.org/officeDocument/2006/relationships/footnotes" Target="footnotes.xml"/><Relationship Id="rId9" Type="http://schemas.openxmlformats.org/officeDocument/2006/relationships/hyperlink" Target="https://doi.org/10.1037/h005434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302</TotalTime>
  <Pages>7</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sufi</dc:creator>
  <cp:keywords/>
  <dc:description/>
  <cp:lastModifiedBy>saleha sufi</cp:lastModifiedBy>
  <cp:revision>90</cp:revision>
  <dcterms:created xsi:type="dcterms:W3CDTF">2025-10-28T00:15:00Z</dcterms:created>
  <dcterms:modified xsi:type="dcterms:W3CDTF">2025-11-11T12:23:00Z</dcterms:modified>
</cp:coreProperties>
</file>