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AE0175" w14:textId="4F699C2F" w:rsidR="00943F10" w:rsidRDefault="00A74AB3" w:rsidP="00A74AB3">
      <w:pPr>
        <w:jc w:val="center"/>
        <w:rPr>
          <w:b/>
          <w:bCs/>
          <w:sz w:val="28"/>
          <w:szCs w:val="28"/>
          <w:u w:val="single"/>
        </w:rPr>
      </w:pPr>
      <w:r>
        <w:rPr>
          <w:b/>
          <w:bCs/>
          <w:sz w:val="28"/>
          <w:szCs w:val="28"/>
          <w:u w:val="single"/>
        </w:rPr>
        <w:t xml:space="preserve">Outdated Non-Fatal Offences </w:t>
      </w:r>
    </w:p>
    <w:p w14:paraId="0ECAB5A8" w14:textId="77777777" w:rsidR="00A74AB3" w:rsidRDefault="00A74AB3" w:rsidP="00A74AB3">
      <w:pPr>
        <w:rPr>
          <w:sz w:val="24"/>
          <w:szCs w:val="24"/>
        </w:rPr>
      </w:pPr>
    </w:p>
    <w:p w14:paraId="5465907E" w14:textId="1726FAB5" w:rsidR="007A57F2" w:rsidRDefault="00A741C3" w:rsidP="00A74AB3">
      <w:pPr>
        <w:rPr>
          <w:sz w:val="24"/>
          <w:szCs w:val="24"/>
        </w:rPr>
      </w:pPr>
      <w:r>
        <w:rPr>
          <w:sz w:val="24"/>
          <w:szCs w:val="24"/>
        </w:rPr>
        <w:t xml:space="preserve">All cases prosecuted in the UK comes under a charging standard and the standard comes with certain </w:t>
      </w:r>
      <w:r w:rsidR="00AE0ED8">
        <w:rPr>
          <w:sz w:val="24"/>
          <w:szCs w:val="24"/>
        </w:rPr>
        <w:t>principles, this</w:t>
      </w:r>
      <w:r w:rsidR="003448BA">
        <w:rPr>
          <w:sz w:val="24"/>
          <w:szCs w:val="24"/>
        </w:rPr>
        <w:t xml:space="preserve"> </w:t>
      </w:r>
      <w:r>
        <w:rPr>
          <w:sz w:val="24"/>
          <w:szCs w:val="24"/>
        </w:rPr>
        <w:t>come</w:t>
      </w:r>
      <w:r w:rsidR="003448BA">
        <w:rPr>
          <w:sz w:val="24"/>
          <w:szCs w:val="24"/>
        </w:rPr>
        <w:t>s</w:t>
      </w:r>
      <w:r>
        <w:rPr>
          <w:sz w:val="24"/>
          <w:szCs w:val="24"/>
        </w:rPr>
        <w:t xml:space="preserve"> under the code for crown prosecutors </w:t>
      </w:r>
      <w:r w:rsidR="003448BA">
        <w:rPr>
          <w:sz w:val="24"/>
          <w:szCs w:val="24"/>
        </w:rPr>
        <w:t xml:space="preserve">or </w:t>
      </w:r>
      <w:r>
        <w:rPr>
          <w:sz w:val="24"/>
          <w:szCs w:val="24"/>
        </w:rPr>
        <w:t>“the code” such as each case only to be considered on its own facts</w:t>
      </w:r>
      <w:r w:rsidR="003448BA">
        <w:rPr>
          <w:sz w:val="24"/>
          <w:szCs w:val="24"/>
        </w:rPr>
        <w:t xml:space="preserve">, </w:t>
      </w:r>
      <w:r>
        <w:rPr>
          <w:sz w:val="24"/>
          <w:szCs w:val="24"/>
        </w:rPr>
        <w:t>merits and any guidance on the use of out of court disposals such as cautions and conditional cautions</w:t>
      </w:r>
      <w:r w:rsidR="00746D83" w:rsidRPr="00746D83">
        <w:rPr>
          <w:i/>
          <w:iCs/>
          <w:sz w:val="24"/>
          <w:szCs w:val="24"/>
        </w:rPr>
        <w:t>(www.cps.gov.uk)</w:t>
      </w:r>
      <w:r w:rsidRPr="00746D83">
        <w:rPr>
          <w:i/>
          <w:iCs/>
          <w:sz w:val="24"/>
          <w:szCs w:val="24"/>
        </w:rPr>
        <w:t>.</w:t>
      </w:r>
      <w:r>
        <w:rPr>
          <w:sz w:val="24"/>
          <w:szCs w:val="24"/>
        </w:rPr>
        <w:t xml:space="preserve">  </w:t>
      </w:r>
      <w:r w:rsidR="00A74AB3">
        <w:rPr>
          <w:sz w:val="24"/>
          <w:szCs w:val="24"/>
        </w:rPr>
        <w:t>Within the offences against the persons act 1861</w:t>
      </w:r>
      <w:r w:rsidR="008F53A0">
        <w:rPr>
          <w:sz w:val="24"/>
          <w:szCs w:val="24"/>
        </w:rPr>
        <w:t xml:space="preserve"> which forms the basis to 26,000 prosecutions a year and is seen as </w:t>
      </w:r>
      <w:r w:rsidR="003448BA">
        <w:rPr>
          <w:sz w:val="24"/>
          <w:szCs w:val="24"/>
        </w:rPr>
        <w:t>outdated, it is</w:t>
      </w:r>
      <w:r w:rsidR="008F53A0">
        <w:rPr>
          <w:sz w:val="24"/>
          <w:szCs w:val="24"/>
        </w:rPr>
        <w:t xml:space="preserve"> in need of reform</w:t>
      </w:r>
      <w:r w:rsidR="00AE0ED8">
        <w:rPr>
          <w:sz w:val="24"/>
          <w:szCs w:val="24"/>
        </w:rPr>
        <w:t xml:space="preserve"> as some offences should carry  harsher sentence than actually stated</w:t>
      </w:r>
      <w:r w:rsidR="008F53A0">
        <w:rPr>
          <w:sz w:val="24"/>
          <w:szCs w:val="24"/>
        </w:rPr>
        <w:t xml:space="preserve"> </w:t>
      </w:r>
      <w:r w:rsidR="003448BA">
        <w:rPr>
          <w:sz w:val="24"/>
          <w:szCs w:val="24"/>
        </w:rPr>
        <w:t xml:space="preserve">because as it </w:t>
      </w:r>
      <w:r w:rsidR="008F53A0">
        <w:rPr>
          <w:sz w:val="24"/>
          <w:szCs w:val="24"/>
        </w:rPr>
        <w:t xml:space="preserve">still </w:t>
      </w:r>
      <w:r w:rsidR="003448BA">
        <w:rPr>
          <w:sz w:val="24"/>
          <w:szCs w:val="24"/>
        </w:rPr>
        <w:t xml:space="preserve">stands </w:t>
      </w:r>
      <w:r w:rsidR="008F53A0">
        <w:rPr>
          <w:sz w:val="24"/>
          <w:szCs w:val="24"/>
        </w:rPr>
        <w:t>assault and battery a</w:t>
      </w:r>
      <w:r w:rsidR="003448BA">
        <w:rPr>
          <w:sz w:val="24"/>
          <w:szCs w:val="24"/>
        </w:rPr>
        <w:t xml:space="preserve">re </w:t>
      </w:r>
      <w:r w:rsidR="008F53A0">
        <w:rPr>
          <w:sz w:val="24"/>
          <w:szCs w:val="24"/>
        </w:rPr>
        <w:t xml:space="preserve">two separate crimes </w:t>
      </w:r>
      <w:r w:rsidR="003448BA">
        <w:rPr>
          <w:sz w:val="24"/>
          <w:szCs w:val="24"/>
        </w:rPr>
        <w:t>,</w:t>
      </w:r>
      <w:r w:rsidR="008F53A0">
        <w:rPr>
          <w:sz w:val="24"/>
          <w:szCs w:val="24"/>
        </w:rPr>
        <w:t>when they should be seen as one crime in some circumstances</w:t>
      </w:r>
      <w:r w:rsidR="003448BA">
        <w:rPr>
          <w:sz w:val="24"/>
          <w:szCs w:val="24"/>
        </w:rPr>
        <w:t xml:space="preserve"> but this type of crime is only triable in magistrates court and can only get a sentence of six months, whereas Grievous Bodily Harm is treated by everyone as a more serious offence</w:t>
      </w:r>
      <w:r w:rsidR="00AE0ED8">
        <w:rPr>
          <w:sz w:val="24"/>
          <w:szCs w:val="24"/>
        </w:rPr>
        <w:t xml:space="preserve"> whether it is carried out intentionally or not</w:t>
      </w:r>
      <w:r w:rsidR="003448BA">
        <w:rPr>
          <w:sz w:val="24"/>
          <w:szCs w:val="24"/>
        </w:rPr>
        <w:t xml:space="preserve"> and can carry the same maximum sentence of up to five years the same as Actual Bodily Harm</w:t>
      </w:r>
      <w:r w:rsidR="00AE0ED8">
        <w:rPr>
          <w:sz w:val="24"/>
          <w:szCs w:val="24"/>
        </w:rPr>
        <w:t xml:space="preserve"> even though they can be different in nature, GBH is serious bodily harm such as a broken bone or psychiatric harm</w:t>
      </w:r>
      <w:r w:rsidR="007A57F2">
        <w:rPr>
          <w:sz w:val="24"/>
          <w:szCs w:val="24"/>
        </w:rPr>
        <w:t>,</w:t>
      </w:r>
      <w:r w:rsidR="00AE0ED8">
        <w:rPr>
          <w:sz w:val="24"/>
          <w:szCs w:val="24"/>
        </w:rPr>
        <w:t xml:space="preserve"> whereas ABH </w:t>
      </w:r>
      <w:r w:rsidR="007A57F2">
        <w:rPr>
          <w:sz w:val="24"/>
          <w:szCs w:val="24"/>
        </w:rPr>
        <w:t xml:space="preserve">according to R v Donavan 1934 is classed as assault including battery which has caused bodily harm that is not permanent in nature but has affected the victim by interfering with </w:t>
      </w:r>
      <w:r w:rsidR="003C42DA">
        <w:rPr>
          <w:sz w:val="24"/>
          <w:szCs w:val="24"/>
        </w:rPr>
        <w:t>their</w:t>
      </w:r>
      <w:r w:rsidR="007A57F2">
        <w:rPr>
          <w:sz w:val="24"/>
          <w:szCs w:val="24"/>
        </w:rPr>
        <w:t xml:space="preserve"> health and comfort. </w:t>
      </w:r>
    </w:p>
    <w:p w14:paraId="22C8BF28" w14:textId="32CEEA80" w:rsidR="007A57F2" w:rsidRDefault="007A57F2" w:rsidP="00A74AB3">
      <w:pPr>
        <w:rPr>
          <w:sz w:val="24"/>
          <w:szCs w:val="24"/>
        </w:rPr>
      </w:pPr>
      <w:r>
        <w:rPr>
          <w:sz w:val="24"/>
          <w:szCs w:val="24"/>
        </w:rPr>
        <w:t xml:space="preserve">The hierarchy when it comes to determining seriousness of crimes is flawed </w:t>
      </w:r>
      <w:r w:rsidR="003C42DA">
        <w:rPr>
          <w:sz w:val="24"/>
          <w:szCs w:val="24"/>
        </w:rPr>
        <w:t xml:space="preserve">as it is not based on a unifying criterion or on the seriousness measured by the available sentence, by the harm caused to the victim or the state of mind of the person committing the crime instead it is a compromise of the </w:t>
      </w:r>
      <w:proofErr w:type="gramStart"/>
      <w:r w:rsidR="003C42DA">
        <w:rPr>
          <w:sz w:val="24"/>
          <w:szCs w:val="24"/>
        </w:rPr>
        <w:t>three ,which</w:t>
      </w:r>
      <w:proofErr w:type="gramEnd"/>
      <w:r w:rsidR="003C42DA">
        <w:rPr>
          <w:sz w:val="24"/>
          <w:szCs w:val="24"/>
        </w:rPr>
        <w:t xml:space="preserve"> is a cause of concern as it causes a lack of clear basis for the hierarchy and causes confusion. While the intended </w:t>
      </w:r>
      <w:r w:rsidR="00D37276">
        <w:rPr>
          <w:sz w:val="24"/>
          <w:szCs w:val="24"/>
        </w:rPr>
        <w:t xml:space="preserve">order of seriousness in clear it doesn’t always correspond to the likely seriousness of the underlying facts, ABH is classed between common assault which can be assault and battery and </w:t>
      </w:r>
      <w:proofErr w:type="gramStart"/>
      <w:r w:rsidR="00D37276">
        <w:rPr>
          <w:sz w:val="24"/>
          <w:szCs w:val="24"/>
        </w:rPr>
        <w:t>GBH</w:t>
      </w:r>
      <w:proofErr w:type="gramEnd"/>
      <w:r w:rsidR="00D37276">
        <w:rPr>
          <w:sz w:val="24"/>
          <w:szCs w:val="24"/>
        </w:rPr>
        <w:t xml:space="preserve"> but both overlap each other and have the same sentence (</w:t>
      </w:r>
      <w:r w:rsidR="00D37276">
        <w:rPr>
          <w:i/>
          <w:iCs/>
          <w:sz w:val="24"/>
          <w:szCs w:val="24"/>
        </w:rPr>
        <w:t>Law commission -Reform of the offenses against the person)</w:t>
      </w:r>
      <w:r w:rsidR="00D37276">
        <w:rPr>
          <w:sz w:val="24"/>
          <w:szCs w:val="24"/>
        </w:rPr>
        <w:t>.</w:t>
      </w:r>
    </w:p>
    <w:p w14:paraId="40ECCCFD" w14:textId="77777777" w:rsidR="00163D82" w:rsidRDefault="00D37276" w:rsidP="00A74AB3">
      <w:pPr>
        <w:rPr>
          <w:sz w:val="24"/>
          <w:szCs w:val="24"/>
        </w:rPr>
      </w:pPr>
      <w:r>
        <w:rPr>
          <w:sz w:val="24"/>
          <w:szCs w:val="24"/>
        </w:rPr>
        <w:t>In some cases prosecutors finding the right charge for an offender when it comes to assault and battery hard as they need to find one that fits that particular case and make sure it is a fair and proportionate sentence, in 2003 in</w:t>
      </w:r>
      <w:r w:rsidR="00055861">
        <w:rPr>
          <w:sz w:val="24"/>
          <w:szCs w:val="24"/>
        </w:rPr>
        <w:t xml:space="preserve"> </w:t>
      </w:r>
      <w:r>
        <w:rPr>
          <w:sz w:val="24"/>
          <w:szCs w:val="24"/>
        </w:rPr>
        <w:t>between 7</w:t>
      </w:r>
      <w:r w:rsidR="00055861">
        <w:rPr>
          <w:sz w:val="24"/>
          <w:szCs w:val="24"/>
        </w:rPr>
        <w:t>% and 12% of cases for ABH were heard in a crown court but the offenders were only sentenced to six months or less but these sentences could have been given in magistrates court but in some cases the C</w:t>
      </w:r>
      <w:r w:rsidR="0055164D">
        <w:rPr>
          <w:sz w:val="24"/>
          <w:szCs w:val="24"/>
        </w:rPr>
        <w:t xml:space="preserve">PS charging standards are different </w:t>
      </w:r>
      <w:r w:rsidR="002152C3">
        <w:rPr>
          <w:sz w:val="24"/>
          <w:szCs w:val="24"/>
        </w:rPr>
        <w:t xml:space="preserve">and they can tell prosecutors to lay charges in less serious cases </w:t>
      </w:r>
      <w:r w:rsidR="00252104">
        <w:rPr>
          <w:sz w:val="24"/>
          <w:szCs w:val="24"/>
        </w:rPr>
        <w:t>such as assault or battery even though an ABH charge is technically available</w:t>
      </w:r>
      <w:r w:rsidR="00D4128F">
        <w:rPr>
          <w:sz w:val="24"/>
          <w:szCs w:val="24"/>
        </w:rPr>
        <w:t>.</w:t>
      </w:r>
    </w:p>
    <w:p w14:paraId="219995A3" w14:textId="3783A556" w:rsidR="00A74AB3" w:rsidRDefault="00163D82" w:rsidP="00A74AB3">
      <w:pPr>
        <w:rPr>
          <w:sz w:val="24"/>
          <w:szCs w:val="24"/>
        </w:rPr>
      </w:pPr>
      <w:r>
        <w:rPr>
          <w:sz w:val="24"/>
          <w:szCs w:val="24"/>
        </w:rPr>
        <w:t xml:space="preserve">Within the act there are </w:t>
      </w:r>
      <w:r w:rsidR="00BF707C">
        <w:rPr>
          <w:sz w:val="24"/>
          <w:szCs w:val="24"/>
        </w:rPr>
        <w:t>unnecessary</w:t>
      </w:r>
      <w:r>
        <w:rPr>
          <w:sz w:val="24"/>
          <w:szCs w:val="24"/>
        </w:rPr>
        <w:t xml:space="preserve"> </w:t>
      </w:r>
      <w:r w:rsidR="00BF707C">
        <w:rPr>
          <w:sz w:val="24"/>
          <w:szCs w:val="24"/>
        </w:rPr>
        <w:t xml:space="preserve">sections such as </w:t>
      </w:r>
      <w:r w:rsidR="00B554B1">
        <w:rPr>
          <w:sz w:val="24"/>
          <w:szCs w:val="24"/>
        </w:rPr>
        <w:t xml:space="preserve">section </w:t>
      </w:r>
      <w:r w:rsidR="00D61571">
        <w:rPr>
          <w:sz w:val="24"/>
          <w:szCs w:val="24"/>
        </w:rPr>
        <w:t>17</w:t>
      </w:r>
      <w:r w:rsidR="00B554B1">
        <w:rPr>
          <w:sz w:val="24"/>
          <w:szCs w:val="24"/>
        </w:rPr>
        <w:t xml:space="preserve"> and section </w:t>
      </w:r>
      <w:r w:rsidR="00BF707C">
        <w:rPr>
          <w:sz w:val="24"/>
          <w:szCs w:val="24"/>
        </w:rPr>
        <w:t xml:space="preserve"> </w:t>
      </w:r>
      <w:r w:rsidR="00D61571">
        <w:rPr>
          <w:sz w:val="24"/>
          <w:szCs w:val="24"/>
        </w:rPr>
        <w:t xml:space="preserve">32 these acts are </w:t>
      </w:r>
      <w:r w:rsidR="008F0BC3">
        <w:rPr>
          <w:sz w:val="24"/>
          <w:szCs w:val="24"/>
        </w:rPr>
        <w:t xml:space="preserve">covered and protected by the assault and battery offence and </w:t>
      </w:r>
      <w:r w:rsidR="005E60D0">
        <w:rPr>
          <w:sz w:val="24"/>
          <w:szCs w:val="24"/>
        </w:rPr>
        <w:t xml:space="preserve">public order offences so these are the ones that would be used to prosecute the offender so these acts are not needed in our legislation </w:t>
      </w:r>
      <w:r w:rsidR="001D6CB4">
        <w:rPr>
          <w:sz w:val="24"/>
          <w:szCs w:val="24"/>
        </w:rPr>
        <w:t xml:space="preserve">as </w:t>
      </w:r>
      <w:r w:rsidR="009E343B">
        <w:rPr>
          <w:sz w:val="24"/>
          <w:szCs w:val="24"/>
        </w:rPr>
        <w:t xml:space="preserve">there is no evidence that they are actually being used </w:t>
      </w:r>
      <w:r w:rsidR="00101AA6">
        <w:rPr>
          <w:sz w:val="24"/>
          <w:szCs w:val="24"/>
        </w:rPr>
        <w:t xml:space="preserve">and some of the sections of the 1861 act are actually follows a Victorian approach </w:t>
      </w:r>
      <w:r w:rsidR="00342CA2">
        <w:rPr>
          <w:sz w:val="24"/>
          <w:szCs w:val="24"/>
        </w:rPr>
        <w:t xml:space="preserve">of listing different offences for factual scenarios </w:t>
      </w:r>
      <w:r w:rsidR="00A27F11">
        <w:rPr>
          <w:sz w:val="24"/>
          <w:szCs w:val="24"/>
        </w:rPr>
        <w:t>which are no longer necessary in our modern society.</w:t>
      </w:r>
      <w:r w:rsidR="00101AA6">
        <w:rPr>
          <w:sz w:val="24"/>
          <w:szCs w:val="24"/>
        </w:rPr>
        <w:t xml:space="preserve">  </w:t>
      </w:r>
      <w:r w:rsidR="00440E6F">
        <w:rPr>
          <w:sz w:val="24"/>
          <w:szCs w:val="24"/>
        </w:rPr>
        <w:t>T</w:t>
      </w:r>
      <w:r w:rsidR="00A74AB3">
        <w:rPr>
          <w:sz w:val="24"/>
          <w:szCs w:val="24"/>
        </w:rPr>
        <w:t xml:space="preserve">here are </w:t>
      </w:r>
      <w:r w:rsidR="000A2664">
        <w:rPr>
          <w:sz w:val="24"/>
          <w:szCs w:val="24"/>
        </w:rPr>
        <w:t xml:space="preserve">also </w:t>
      </w:r>
      <w:r w:rsidR="00A74AB3">
        <w:rPr>
          <w:sz w:val="24"/>
          <w:szCs w:val="24"/>
        </w:rPr>
        <w:t xml:space="preserve">wordings that need to be addressed, under section 26 </w:t>
      </w:r>
      <w:r w:rsidR="00A741C3">
        <w:rPr>
          <w:sz w:val="24"/>
          <w:szCs w:val="24"/>
        </w:rPr>
        <w:t xml:space="preserve">of </w:t>
      </w:r>
      <w:r w:rsidR="00A74AB3">
        <w:rPr>
          <w:sz w:val="24"/>
          <w:szCs w:val="24"/>
        </w:rPr>
        <w:t xml:space="preserve">the act in which it refers to </w:t>
      </w:r>
      <w:r w:rsidR="00A74AB3">
        <w:rPr>
          <w:sz w:val="24"/>
          <w:szCs w:val="24"/>
        </w:rPr>
        <w:lastRenderedPageBreak/>
        <w:t xml:space="preserve">a </w:t>
      </w:r>
      <w:r w:rsidR="00CD7075">
        <w:rPr>
          <w:sz w:val="24"/>
          <w:szCs w:val="24"/>
        </w:rPr>
        <w:t xml:space="preserve">person </w:t>
      </w:r>
      <w:r w:rsidR="00A74AB3">
        <w:rPr>
          <w:sz w:val="24"/>
          <w:szCs w:val="24"/>
        </w:rPr>
        <w:t>as</w:t>
      </w:r>
      <w:r w:rsidR="00CD7075">
        <w:rPr>
          <w:sz w:val="24"/>
          <w:szCs w:val="24"/>
        </w:rPr>
        <w:t xml:space="preserve"> a</w:t>
      </w:r>
      <w:r w:rsidR="00A74AB3">
        <w:rPr>
          <w:sz w:val="24"/>
          <w:szCs w:val="24"/>
        </w:rPr>
        <w:t xml:space="preserve"> “servant”</w:t>
      </w:r>
      <w:r w:rsidR="00CD7075">
        <w:rPr>
          <w:sz w:val="24"/>
          <w:szCs w:val="24"/>
        </w:rPr>
        <w:t xml:space="preserve"> instead of staff this in many peoples opinion is not politically correct and has actually cause some disruption when used</w:t>
      </w:r>
      <w:r w:rsidR="00746D83">
        <w:rPr>
          <w:sz w:val="24"/>
          <w:szCs w:val="24"/>
        </w:rPr>
        <w:t>,</w:t>
      </w:r>
      <w:r w:rsidR="00CD7075">
        <w:rPr>
          <w:sz w:val="24"/>
          <w:szCs w:val="24"/>
        </w:rPr>
        <w:t xml:space="preserve"> an example of this is when </w:t>
      </w:r>
      <w:r w:rsidR="00746D83">
        <w:rPr>
          <w:sz w:val="24"/>
          <w:szCs w:val="24"/>
        </w:rPr>
        <w:t xml:space="preserve">Conservative </w:t>
      </w:r>
      <w:r w:rsidR="00CD7075">
        <w:rPr>
          <w:sz w:val="24"/>
          <w:szCs w:val="24"/>
        </w:rPr>
        <w:t>MP</w:t>
      </w:r>
      <w:r w:rsidR="00746D83">
        <w:rPr>
          <w:sz w:val="24"/>
          <w:szCs w:val="24"/>
        </w:rPr>
        <w:t xml:space="preserve"> for Christchurch and Dorset</w:t>
      </w:r>
      <w:r w:rsidR="00CD7075">
        <w:rPr>
          <w:sz w:val="24"/>
          <w:szCs w:val="24"/>
        </w:rPr>
        <w:t xml:space="preserve"> Christopher chode </w:t>
      </w:r>
      <w:r w:rsidR="00746D83">
        <w:rPr>
          <w:sz w:val="24"/>
          <w:szCs w:val="24"/>
        </w:rPr>
        <w:t>used the word “servants” in the house of parliaments restaurant</w:t>
      </w:r>
      <w:r w:rsidR="00A74AB3">
        <w:rPr>
          <w:sz w:val="24"/>
          <w:szCs w:val="24"/>
        </w:rPr>
        <w:t xml:space="preserve"> </w:t>
      </w:r>
      <w:r w:rsidR="00746D83">
        <w:rPr>
          <w:sz w:val="24"/>
          <w:szCs w:val="24"/>
        </w:rPr>
        <w:t>in 2001 to describe the waiters and waitress’ that brought him his lunch, his opposition was described as “furious” that he would use this word for the staff in there building and that calling them servants was derogatory and undermining</w:t>
      </w:r>
      <w:r w:rsidR="008647D4">
        <w:rPr>
          <w:sz w:val="24"/>
          <w:szCs w:val="24"/>
        </w:rPr>
        <w:t>(</w:t>
      </w:r>
      <w:r w:rsidR="008647D4" w:rsidRPr="008647D4">
        <w:rPr>
          <w:i/>
          <w:iCs/>
          <w:sz w:val="24"/>
          <w:szCs w:val="24"/>
        </w:rPr>
        <w:t>www.theguardian.com)</w:t>
      </w:r>
      <w:r w:rsidR="00746D83">
        <w:rPr>
          <w:sz w:val="24"/>
          <w:szCs w:val="24"/>
        </w:rPr>
        <w:t xml:space="preserve"> </w:t>
      </w:r>
      <w:r w:rsidR="00A74AB3">
        <w:rPr>
          <w:sz w:val="24"/>
          <w:szCs w:val="24"/>
        </w:rPr>
        <w:t xml:space="preserve">and as in past history it suggests </w:t>
      </w:r>
      <w:r w:rsidR="00CD7075">
        <w:rPr>
          <w:sz w:val="24"/>
          <w:szCs w:val="24"/>
        </w:rPr>
        <w:t xml:space="preserve">a person is of a lower standard than the person they are </w:t>
      </w:r>
      <w:r w:rsidR="00746D83">
        <w:rPr>
          <w:sz w:val="24"/>
          <w:szCs w:val="24"/>
        </w:rPr>
        <w:t>work</w:t>
      </w:r>
      <w:r w:rsidR="00CD7075">
        <w:rPr>
          <w:sz w:val="24"/>
          <w:szCs w:val="24"/>
        </w:rPr>
        <w:t>ing for</w:t>
      </w:r>
      <w:r w:rsidR="008647D4">
        <w:rPr>
          <w:sz w:val="24"/>
          <w:szCs w:val="24"/>
        </w:rPr>
        <w:t>.</w:t>
      </w:r>
    </w:p>
    <w:p w14:paraId="677536D5" w14:textId="4554A9C8" w:rsidR="008647D4" w:rsidRDefault="008647D4" w:rsidP="00A74AB3">
      <w:pPr>
        <w:rPr>
          <w:sz w:val="24"/>
          <w:szCs w:val="24"/>
        </w:rPr>
      </w:pPr>
      <w:r>
        <w:rPr>
          <w:sz w:val="24"/>
          <w:szCs w:val="24"/>
        </w:rPr>
        <w:t xml:space="preserve">Another example of an outdated </w:t>
      </w:r>
      <w:r w:rsidR="007D0FDC">
        <w:rPr>
          <w:sz w:val="24"/>
          <w:szCs w:val="24"/>
        </w:rPr>
        <w:t xml:space="preserve">and archaic language </w:t>
      </w:r>
      <w:r>
        <w:rPr>
          <w:sz w:val="24"/>
          <w:szCs w:val="24"/>
        </w:rPr>
        <w:t xml:space="preserve">in our offences against the persons act </w:t>
      </w:r>
      <w:r w:rsidR="007D0FDC">
        <w:rPr>
          <w:sz w:val="24"/>
          <w:szCs w:val="24"/>
        </w:rPr>
        <w:t>and has no place in the 21</w:t>
      </w:r>
      <w:r w:rsidR="007D0FDC" w:rsidRPr="007D0FDC">
        <w:rPr>
          <w:sz w:val="24"/>
          <w:szCs w:val="24"/>
          <w:vertAlign w:val="superscript"/>
        </w:rPr>
        <w:t>st</w:t>
      </w:r>
      <w:r w:rsidR="007D0FDC">
        <w:rPr>
          <w:sz w:val="24"/>
          <w:szCs w:val="24"/>
        </w:rPr>
        <w:t xml:space="preserve"> century</w:t>
      </w:r>
      <w:r w:rsidR="003E3FD3">
        <w:rPr>
          <w:sz w:val="24"/>
          <w:szCs w:val="24"/>
        </w:rPr>
        <w:t xml:space="preserve"> courtroom is words/phrases such as </w:t>
      </w:r>
      <w:r w:rsidR="002864CF">
        <w:rPr>
          <w:sz w:val="24"/>
          <w:szCs w:val="24"/>
        </w:rPr>
        <w:t>“detainer” and “penal servitude”</w:t>
      </w:r>
      <w:r w:rsidR="00D35CF3">
        <w:rPr>
          <w:sz w:val="24"/>
          <w:szCs w:val="24"/>
        </w:rPr>
        <w:t xml:space="preserve"> meaning serving hard labour or in </w:t>
      </w:r>
      <w:r w:rsidR="008E125A">
        <w:rPr>
          <w:sz w:val="24"/>
          <w:szCs w:val="24"/>
        </w:rPr>
        <w:t>modern terms meaning imprisonment,</w:t>
      </w:r>
      <w:r w:rsidR="002864CF">
        <w:rPr>
          <w:sz w:val="24"/>
          <w:szCs w:val="24"/>
        </w:rPr>
        <w:t xml:space="preserve"> </w:t>
      </w:r>
      <w:r w:rsidR="00D35CF3">
        <w:rPr>
          <w:sz w:val="24"/>
          <w:szCs w:val="24"/>
        </w:rPr>
        <w:t xml:space="preserve">these terms can even be confusing to professionals when interpreting the law </w:t>
      </w:r>
      <w:r w:rsidR="00CA7894">
        <w:rPr>
          <w:sz w:val="24"/>
          <w:szCs w:val="24"/>
        </w:rPr>
        <w:t>and can also cause harm to lay magistrates when they are accessing the law during a trial</w:t>
      </w:r>
      <w:r w:rsidR="00C70969">
        <w:rPr>
          <w:sz w:val="24"/>
          <w:szCs w:val="24"/>
        </w:rPr>
        <w:t xml:space="preserve">, these ancient terms used in our legislation affects people who cannot afford representation </w:t>
      </w:r>
      <w:r w:rsidR="00365F76">
        <w:rPr>
          <w:sz w:val="24"/>
          <w:szCs w:val="24"/>
        </w:rPr>
        <w:t>or who decide to represent themselves and can affect them getting a fair sentence for the crime they have committed as they don’t understand what the legislation is telling them</w:t>
      </w:r>
      <w:r w:rsidR="005A148C">
        <w:rPr>
          <w:sz w:val="24"/>
          <w:szCs w:val="24"/>
        </w:rPr>
        <w:t>,</w:t>
      </w:r>
      <w:r w:rsidR="005E7288">
        <w:rPr>
          <w:sz w:val="24"/>
          <w:szCs w:val="24"/>
        </w:rPr>
        <w:t xml:space="preserve"> for example</w:t>
      </w:r>
      <w:r w:rsidR="006E77C3">
        <w:rPr>
          <w:sz w:val="24"/>
          <w:szCs w:val="24"/>
        </w:rPr>
        <w:t xml:space="preserve"> in</w:t>
      </w:r>
      <w:r w:rsidR="005E7288">
        <w:rPr>
          <w:sz w:val="24"/>
          <w:szCs w:val="24"/>
        </w:rPr>
        <w:t xml:space="preserve"> the case of R V </w:t>
      </w:r>
      <w:r w:rsidR="00586BEE">
        <w:rPr>
          <w:sz w:val="24"/>
          <w:szCs w:val="24"/>
        </w:rPr>
        <w:t xml:space="preserve">Constanza 1997 </w:t>
      </w:r>
      <w:r w:rsidR="006E77C3">
        <w:rPr>
          <w:sz w:val="24"/>
          <w:szCs w:val="24"/>
        </w:rPr>
        <w:t>he states that words alone can comprehend harm to a victim and can be seen as an assault</w:t>
      </w:r>
      <w:r w:rsidR="007C1C62">
        <w:rPr>
          <w:sz w:val="24"/>
          <w:szCs w:val="24"/>
        </w:rPr>
        <w:t>, as if someone messaged you</w:t>
      </w:r>
      <w:r w:rsidR="00A00E5A">
        <w:rPr>
          <w:sz w:val="24"/>
          <w:szCs w:val="24"/>
        </w:rPr>
        <w:t xml:space="preserve"> or</w:t>
      </w:r>
      <w:r w:rsidR="007C1C62">
        <w:rPr>
          <w:sz w:val="24"/>
          <w:szCs w:val="24"/>
        </w:rPr>
        <w:t xml:space="preserve"> spoke</w:t>
      </w:r>
      <w:r w:rsidR="00A00E5A">
        <w:rPr>
          <w:sz w:val="24"/>
          <w:szCs w:val="24"/>
        </w:rPr>
        <w:t xml:space="preserve"> to you</w:t>
      </w:r>
      <w:r w:rsidR="007C1C62">
        <w:rPr>
          <w:sz w:val="24"/>
          <w:szCs w:val="24"/>
        </w:rPr>
        <w:t xml:space="preserve"> face to face</w:t>
      </w:r>
      <w:r w:rsidR="00A00E5A">
        <w:rPr>
          <w:sz w:val="24"/>
          <w:szCs w:val="24"/>
        </w:rPr>
        <w:t xml:space="preserve"> and said “ I am going to </w:t>
      </w:r>
      <w:r w:rsidR="00DC4896">
        <w:rPr>
          <w:sz w:val="24"/>
          <w:szCs w:val="24"/>
        </w:rPr>
        <w:t>hit you</w:t>
      </w:r>
      <w:r w:rsidR="00A00E5A">
        <w:rPr>
          <w:sz w:val="24"/>
          <w:szCs w:val="24"/>
        </w:rPr>
        <w:t xml:space="preserve">” </w:t>
      </w:r>
      <w:r w:rsidR="00DC4896">
        <w:rPr>
          <w:sz w:val="24"/>
          <w:szCs w:val="24"/>
        </w:rPr>
        <w:t>does not need to be followed by any action for it to be seen as an assault</w:t>
      </w:r>
      <w:r w:rsidR="00C4629B">
        <w:rPr>
          <w:sz w:val="24"/>
          <w:szCs w:val="24"/>
        </w:rPr>
        <w:t xml:space="preserve">, the same concept in the case of R v Ireland which says silence can amount to an assault this case is where a defendant made a series of silent calls to a victim which </w:t>
      </w:r>
      <w:r w:rsidR="00920393">
        <w:rPr>
          <w:sz w:val="24"/>
          <w:szCs w:val="24"/>
        </w:rPr>
        <w:t xml:space="preserve">made them fear immediate force and </w:t>
      </w:r>
      <w:r w:rsidR="00C4629B">
        <w:rPr>
          <w:sz w:val="24"/>
          <w:szCs w:val="24"/>
        </w:rPr>
        <w:t xml:space="preserve">caused serious psychological </w:t>
      </w:r>
      <w:r w:rsidR="00920393">
        <w:rPr>
          <w:sz w:val="24"/>
          <w:szCs w:val="24"/>
        </w:rPr>
        <w:t>damage due to his ongoing calls</w:t>
      </w:r>
      <w:r w:rsidR="00B16F7A">
        <w:rPr>
          <w:sz w:val="24"/>
          <w:szCs w:val="24"/>
        </w:rPr>
        <w:t xml:space="preserve"> (</w:t>
      </w:r>
      <w:r w:rsidR="00B16F7A" w:rsidRPr="00B16F7A">
        <w:rPr>
          <w:i/>
          <w:iCs/>
          <w:sz w:val="24"/>
          <w:szCs w:val="24"/>
        </w:rPr>
        <w:t>LawTeacher.net. November 2018. Assault, Battery and Assault Lecture. [online]</w:t>
      </w:r>
      <w:r w:rsidR="00B16F7A" w:rsidRPr="00B16F7A">
        <w:rPr>
          <w:i/>
          <w:iCs/>
          <w:sz w:val="24"/>
          <w:szCs w:val="24"/>
        </w:rPr>
        <w:t>).</w:t>
      </w:r>
    </w:p>
    <w:p w14:paraId="45DD9D58" w14:textId="77777777" w:rsidR="001F3909" w:rsidRDefault="00C452E3" w:rsidP="00A74AB3">
      <w:pPr>
        <w:rPr>
          <w:sz w:val="24"/>
          <w:szCs w:val="24"/>
        </w:rPr>
      </w:pPr>
      <w:r>
        <w:rPr>
          <w:sz w:val="24"/>
          <w:szCs w:val="24"/>
        </w:rPr>
        <w:t xml:space="preserve">But some cases words can </w:t>
      </w:r>
      <w:r w:rsidR="00B16F7A">
        <w:rPr>
          <w:sz w:val="24"/>
          <w:szCs w:val="24"/>
        </w:rPr>
        <w:t>stop</w:t>
      </w:r>
      <w:r>
        <w:rPr>
          <w:sz w:val="24"/>
          <w:szCs w:val="24"/>
        </w:rPr>
        <w:t xml:space="preserve"> an assault charge taking place like in the case of </w:t>
      </w:r>
      <w:r w:rsidR="00795DAE">
        <w:rPr>
          <w:sz w:val="24"/>
          <w:szCs w:val="24"/>
        </w:rPr>
        <w:t xml:space="preserve">Tuberville V Savage </w:t>
      </w:r>
      <w:r w:rsidR="0039695B">
        <w:rPr>
          <w:sz w:val="24"/>
          <w:szCs w:val="24"/>
        </w:rPr>
        <w:t xml:space="preserve">1669 </w:t>
      </w:r>
      <w:r w:rsidR="009001DC">
        <w:rPr>
          <w:sz w:val="24"/>
          <w:szCs w:val="24"/>
        </w:rPr>
        <w:t xml:space="preserve">he was angry at some words </w:t>
      </w:r>
      <w:r w:rsidR="00B363B6">
        <w:rPr>
          <w:sz w:val="24"/>
          <w:szCs w:val="24"/>
        </w:rPr>
        <w:t>directed at him so he placed his hands on his sword</w:t>
      </w:r>
      <w:r w:rsidR="00295AEB">
        <w:rPr>
          <w:sz w:val="24"/>
          <w:szCs w:val="24"/>
        </w:rPr>
        <w:t xml:space="preserve"> and said </w:t>
      </w:r>
      <w:r w:rsidR="005D1429">
        <w:rPr>
          <w:sz w:val="24"/>
          <w:szCs w:val="24"/>
        </w:rPr>
        <w:t>“ as if it was not to assize time, I will not take such language”</w:t>
      </w:r>
      <w:r w:rsidR="006C18E0">
        <w:rPr>
          <w:sz w:val="24"/>
          <w:szCs w:val="24"/>
        </w:rPr>
        <w:t>, in modern terms he said the judge</w:t>
      </w:r>
      <w:r w:rsidR="003A2684">
        <w:rPr>
          <w:sz w:val="24"/>
          <w:szCs w:val="24"/>
        </w:rPr>
        <w:t xml:space="preserve">s </w:t>
      </w:r>
      <w:r w:rsidR="006C18E0">
        <w:rPr>
          <w:sz w:val="24"/>
          <w:szCs w:val="24"/>
        </w:rPr>
        <w:t>were in town so he would not conduct such violence</w:t>
      </w:r>
      <w:r w:rsidR="004D71EF">
        <w:rPr>
          <w:sz w:val="24"/>
          <w:szCs w:val="24"/>
        </w:rPr>
        <w:t>, saying this he negated his threatening actions by touching his sword</w:t>
      </w:r>
      <w:r w:rsidR="00A57B3D">
        <w:rPr>
          <w:sz w:val="24"/>
          <w:szCs w:val="24"/>
        </w:rPr>
        <w:t>,</w:t>
      </w:r>
      <w:r w:rsidR="004D71EF">
        <w:rPr>
          <w:sz w:val="24"/>
          <w:szCs w:val="24"/>
        </w:rPr>
        <w:t xml:space="preserve"> but </w:t>
      </w:r>
      <w:r w:rsidR="005716D4">
        <w:rPr>
          <w:sz w:val="24"/>
          <w:szCs w:val="24"/>
        </w:rPr>
        <w:t xml:space="preserve">to use words to stop an assault charge you must think of the context and tone </w:t>
      </w:r>
      <w:r w:rsidR="00A57B3D">
        <w:rPr>
          <w:sz w:val="24"/>
          <w:szCs w:val="24"/>
        </w:rPr>
        <w:t xml:space="preserve">in </w:t>
      </w:r>
      <w:r w:rsidR="005716D4">
        <w:rPr>
          <w:sz w:val="24"/>
          <w:szCs w:val="24"/>
        </w:rPr>
        <w:t>which you say it</w:t>
      </w:r>
      <w:r w:rsidR="00086EAA">
        <w:rPr>
          <w:sz w:val="24"/>
          <w:szCs w:val="24"/>
        </w:rPr>
        <w:t xml:space="preserve">, as if you say something offensive or threatening </w:t>
      </w:r>
      <w:r w:rsidR="00DB0B8D">
        <w:rPr>
          <w:sz w:val="24"/>
          <w:szCs w:val="24"/>
        </w:rPr>
        <w:t xml:space="preserve">but mean it as a joke </w:t>
      </w:r>
      <w:r w:rsidR="009225D9">
        <w:rPr>
          <w:sz w:val="24"/>
          <w:szCs w:val="24"/>
        </w:rPr>
        <w:t xml:space="preserve">but say it in the wrong tone it can be constituted as an assault. </w:t>
      </w:r>
    </w:p>
    <w:p w14:paraId="06B7E8BB" w14:textId="0C52D515" w:rsidR="00C452E3" w:rsidRDefault="001F3909" w:rsidP="00A74AB3">
      <w:pPr>
        <w:rPr>
          <w:sz w:val="24"/>
          <w:szCs w:val="24"/>
        </w:rPr>
      </w:pPr>
      <w:r>
        <w:rPr>
          <w:sz w:val="24"/>
          <w:szCs w:val="24"/>
        </w:rPr>
        <w:t>Some assault charges that are taken to court can actually be accidents as in the case of Fagan v Metropolitan Police Commissioner 1969</w:t>
      </w:r>
      <w:r w:rsidR="00375F70">
        <w:rPr>
          <w:sz w:val="24"/>
          <w:szCs w:val="24"/>
        </w:rPr>
        <w:t xml:space="preserve"> where a man driving a car didn’t see </w:t>
      </w:r>
      <w:r w:rsidR="004E734B">
        <w:rPr>
          <w:sz w:val="24"/>
          <w:szCs w:val="24"/>
        </w:rPr>
        <w:t>a person and accidentally drove over his foot</w:t>
      </w:r>
      <w:r w:rsidR="00F46FAA">
        <w:rPr>
          <w:sz w:val="24"/>
          <w:szCs w:val="24"/>
        </w:rPr>
        <w:t>,</w:t>
      </w:r>
      <w:r w:rsidR="004E734B">
        <w:rPr>
          <w:sz w:val="24"/>
          <w:szCs w:val="24"/>
        </w:rPr>
        <w:t xml:space="preserve"> but the application </w:t>
      </w:r>
      <w:r w:rsidR="00F46FAA">
        <w:rPr>
          <w:sz w:val="24"/>
          <w:szCs w:val="24"/>
        </w:rPr>
        <w:t xml:space="preserve">for an assault charge against the man was accepted by the court </w:t>
      </w:r>
      <w:r w:rsidR="00ED6C93">
        <w:rPr>
          <w:sz w:val="24"/>
          <w:szCs w:val="24"/>
        </w:rPr>
        <w:t xml:space="preserve">even though the defendant wasn’t the one that was applying the force </w:t>
      </w:r>
      <w:r w:rsidR="004D310C">
        <w:rPr>
          <w:sz w:val="24"/>
          <w:szCs w:val="24"/>
        </w:rPr>
        <w:t xml:space="preserve">and merely just driving his car, but doing so he caused the application of unlawful force </w:t>
      </w:r>
      <w:r w:rsidR="00E273BA">
        <w:rPr>
          <w:sz w:val="24"/>
          <w:szCs w:val="24"/>
        </w:rPr>
        <w:t>against the other person</w:t>
      </w:r>
      <w:r w:rsidR="00B71365">
        <w:rPr>
          <w:sz w:val="24"/>
          <w:szCs w:val="24"/>
        </w:rPr>
        <w:t>.</w:t>
      </w:r>
      <w:r w:rsidR="00007BB0">
        <w:rPr>
          <w:sz w:val="24"/>
          <w:szCs w:val="24"/>
        </w:rPr>
        <w:t xml:space="preserve"> This is not the case when it comes to a case that involved Grievous Bodily Harm of a police officer in </w:t>
      </w:r>
      <w:r w:rsidR="00646D77">
        <w:rPr>
          <w:sz w:val="24"/>
          <w:szCs w:val="24"/>
        </w:rPr>
        <w:t>1961</w:t>
      </w:r>
      <w:r w:rsidR="000E2AA8">
        <w:rPr>
          <w:sz w:val="24"/>
          <w:szCs w:val="24"/>
        </w:rPr>
        <w:t xml:space="preserve"> a man was stopped on a routine p</w:t>
      </w:r>
      <w:r w:rsidR="00D00971">
        <w:rPr>
          <w:sz w:val="24"/>
          <w:szCs w:val="24"/>
        </w:rPr>
        <w:t>olice check when the con</w:t>
      </w:r>
      <w:r w:rsidR="00BC2DEC">
        <w:rPr>
          <w:sz w:val="24"/>
          <w:szCs w:val="24"/>
        </w:rPr>
        <w:t>s</w:t>
      </w:r>
      <w:r w:rsidR="00D00971">
        <w:rPr>
          <w:sz w:val="24"/>
          <w:szCs w:val="24"/>
        </w:rPr>
        <w:t>table</w:t>
      </w:r>
      <w:r w:rsidR="00BC2DEC">
        <w:rPr>
          <w:sz w:val="24"/>
          <w:szCs w:val="24"/>
        </w:rPr>
        <w:t xml:space="preserve"> realised he knew the driver, so he walked up to the car </w:t>
      </w:r>
      <w:r w:rsidR="00C25503">
        <w:rPr>
          <w:sz w:val="24"/>
          <w:szCs w:val="24"/>
        </w:rPr>
        <w:t xml:space="preserve">and told the driver when the traffic was released he was to pull over, but instead of following his instructions </w:t>
      </w:r>
      <w:r w:rsidR="000853BE">
        <w:rPr>
          <w:sz w:val="24"/>
          <w:szCs w:val="24"/>
        </w:rPr>
        <w:t>he sped up his car with the constable hanging on, in doing this the driver hit three separate cars and the constable fell off the car</w:t>
      </w:r>
      <w:r w:rsidR="006961C3">
        <w:rPr>
          <w:sz w:val="24"/>
          <w:szCs w:val="24"/>
        </w:rPr>
        <w:t xml:space="preserve"> in front of a fourth car and received </w:t>
      </w:r>
      <w:r w:rsidR="006961C3">
        <w:rPr>
          <w:sz w:val="24"/>
          <w:szCs w:val="24"/>
        </w:rPr>
        <w:lastRenderedPageBreak/>
        <w:t>fatal injuries</w:t>
      </w:r>
      <w:r w:rsidR="00F83CD9">
        <w:rPr>
          <w:sz w:val="24"/>
          <w:szCs w:val="24"/>
        </w:rPr>
        <w:t>, when the case went to crown court the alleged intent to kill was not found in the evidence and circumstances of the case</w:t>
      </w:r>
      <w:r w:rsidR="00572CD0">
        <w:rPr>
          <w:sz w:val="24"/>
          <w:szCs w:val="24"/>
        </w:rPr>
        <w:t>, the jury had the problem on whether the intent to kill was there or whether it was the intent to cause Grievous Bodily Harm</w:t>
      </w:r>
      <w:r w:rsidR="00256B81">
        <w:rPr>
          <w:sz w:val="24"/>
          <w:szCs w:val="24"/>
        </w:rPr>
        <w:t xml:space="preserve"> instead of the malice </w:t>
      </w:r>
      <w:r w:rsidR="005805F3">
        <w:rPr>
          <w:sz w:val="24"/>
          <w:szCs w:val="24"/>
        </w:rPr>
        <w:t>and intent to kill in the forethought required for a murder charge</w:t>
      </w:r>
      <w:r w:rsidR="009857B3">
        <w:rPr>
          <w:sz w:val="24"/>
          <w:szCs w:val="24"/>
        </w:rPr>
        <w:t>.</w:t>
      </w:r>
      <w:r w:rsidR="00F07FBF">
        <w:rPr>
          <w:sz w:val="24"/>
          <w:szCs w:val="24"/>
        </w:rPr>
        <w:t xml:space="preserve"> The </w:t>
      </w:r>
      <w:r w:rsidR="009E560D">
        <w:rPr>
          <w:sz w:val="24"/>
          <w:szCs w:val="24"/>
        </w:rPr>
        <w:t xml:space="preserve">circumstances in this case </w:t>
      </w:r>
      <w:proofErr w:type="gramStart"/>
      <w:r w:rsidR="009E560D">
        <w:rPr>
          <w:sz w:val="24"/>
          <w:szCs w:val="24"/>
        </w:rPr>
        <w:t>was</w:t>
      </w:r>
      <w:proofErr w:type="gramEnd"/>
      <w:r w:rsidR="009E560D">
        <w:rPr>
          <w:sz w:val="24"/>
          <w:szCs w:val="24"/>
        </w:rPr>
        <w:t xml:space="preserve"> hard for a jury as the driver knew he could cause harm to the officer, where as if he had done what the officer had told him a murder or manslaughter charge would not be available on this case </w:t>
      </w:r>
      <w:r w:rsidR="003D2533">
        <w:rPr>
          <w:sz w:val="24"/>
          <w:szCs w:val="24"/>
        </w:rPr>
        <w:t>and he would have only been prosecuted in magistrates court for the handling of stolen goods.</w:t>
      </w:r>
    </w:p>
    <w:p w14:paraId="672E5E8B" w14:textId="6E5E71F7" w:rsidR="003D2533" w:rsidRDefault="003D2533" w:rsidP="00A74AB3">
      <w:pPr>
        <w:rPr>
          <w:sz w:val="24"/>
          <w:szCs w:val="24"/>
        </w:rPr>
      </w:pPr>
      <w:r>
        <w:rPr>
          <w:sz w:val="24"/>
          <w:szCs w:val="24"/>
        </w:rPr>
        <w:t xml:space="preserve">In all of the evidence I have seen a reform of the current legislation would benefit the UK </w:t>
      </w:r>
      <w:r w:rsidR="005C215B">
        <w:rPr>
          <w:sz w:val="24"/>
          <w:szCs w:val="24"/>
        </w:rPr>
        <w:t xml:space="preserve">greatly as the public need to understand our laws and how they work </w:t>
      </w:r>
      <w:r w:rsidR="00A03BA0">
        <w:rPr>
          <w:sz w:val="24"/>
          <w:szCs w:val="24"/>
        </w:rPr>
        <w:t>to be able to follow them and defend themselves if they need or want to represent themselves in court,</w:t>
      </w:r>
      <w:r w:rsidR="007806D4">
        <w:rPr>
          <w:sz w:val="24"/>
          <w:szCs w:val="24"/>
        </w:rPr>
        <w:t xml:space="preserve"> a reform of our current legislation would also clarify and help the poli</w:t>
      </w:r>
      <w:r w:rsidR="001964A4">
        <w:rPr>
          <w:sz w:val="24"/>
          <w:szCs w:val="24"/>
        </w:rPr>
        <w:t xml:space="preserve">ce </w:t>
      </w:r>
      <w:r w:rsidR="007806D4">
        <w:rPr>
          <w:sz w:val="24"/>
          <w:szCs w:val="24"/>
        </w:rPr>
        <w:t xml:space="preserve">to understand what they are enforcing as separate charges for everything is very confusing </w:t>
      </w:r>
      <w:r w:rsidR="001964A4">
        <w:rPr>
          <w:sz w:val="24"/>
          <w:szCs w:val="24"/>
        </w:rPr>
        <w:t>for the arresting officers and the courts prosecuting the case if it goes to trial</w:t>
      </w:r>
      <w:r w:rsidR="00A322E2">
        <w:rPr>
          <w:sz w:val="24"/>
          <w:szCs w:val="24"/>
        </w:rPr>
        <w:t xml:space="preserve"> and I think the new offence of aggravated assault would benefit the legislation when</w:t>
      </w:r>
      <w:r w:rsidR="004F032B">
        <w:rPr>
          <w:sz w:val="24"/>
          <w:szCs w:val="24"/>
        </w:rPr>
        <w:t xml:space="preserve"> </w:t>
      </w:r>
      <w:r w:rsidR="00A322E2">
        <w:rPr>
          <w:sz w:val="24"/>
          <w:szCs w:val="24"/>
        </w:rPr>
        <w:t xml:space="preserve">it comes to trying a case and getting a </w:t>
      </w:r>
      <w:r w:rsidR="004F032B">
        <w:rPr>
          <w:sz w:val="24"/>
          <w:szCs w:val="24"/>
        </w:rPr>
        <w:t>prosecution for the victim of the case itself.</w:t>
      </w:r>
    </w:p>
    <w:p w14:paraId="3847156E" w14:textId="1A0DEAD0" w:rsidR="004F032B" w:rsidRDefault="004F032B" w:rsidP="00A74AB3">
      <w:pPr>
        <w:rPr>
          <w:sz w:val="24"/>
          <w:szCs w:val="24"/>
        </w:rPr>
      </w:pPr>
    </w:p>
    <w:p w14:paraId="22F5FCD7" w14:textId="51F17E53" w:rsidR="004F032B" w:rsidRDefault="004F032B" w:rsidP="00A74AB3">
      <w:pPr>
        <w:rPr>
          <w:sz w:val="24"/>
          <w:szCs w:val="24"/>
        </w:rPr>
      </w:pPr>
    </w:p>
    <w:p w14:paraId="3888152A" w14:textId="1515FED1" w:rsidR="004F032B" w:rsidRDefault="004F032B" w:rsidP="00A74AB3">
      <w:pPr>
        <w:rPr>
          <w:b/>
          <w:bCs/>
          <w:sz w:val="24"/>
          <w:szCs w:val="24"/>
          <w:u w:val="single"/>
        </w:rPr>
      </w:pPr>
      <w:r>
        <w:rPr>
          <w:b/>
          <w:bCs/>
          <w:sz w:val="24"/>
          <w:szCs w:val="24"/>
          <w:u w:val="single"/>
        </w:rPr>
        <w:t>References</w:t>
      </w:r>
    </w:p>
    <w:p w14:paraId="07DD561F" w14:textId="1CCB16A7" w:rsidR="004F032B" w:rsidRDefault="00E50A56" w:rsidP="00A74AB3">
      <w:pPr>
        <w:rPr>
          <w:b/>
          <w:bCs/>
          <w:sz w:val="24"/>
          <w:szCs w:val="24"/>
          <w:u w:val="single"/>
        </w:rPr>
      </w:pPr>
      <w:hyperlink r:id="rId4" w:history="1">
        <w:r w:rsidRPr="007F6EE7">
          <w:rPr>
            <w:rStyle w:val="Hyperlink"/>
            <w:b/>
            <w:bCs/>
            <w:sz w:val="24"/>
            <w:szCs w:val="24"/>
          </w:rPr>
          <w:t>https://s3-eu-west-2.amazonaws.com/lawcom-prod-storage-11jsxou24uy7q/uploads/2015/11/51950-LC-HC555_Web.pdf</w:t>
        </w:r>
      </w:hyperlink>
    </w:p>
    <w:p w14:paraId="39C981A5" w14:textId="6AA0BA43" w:rsidR="00E50A56" w:rsidRDefault="00E50A56" w:rsidP="00A74AB3">
      <w:pPr>
        <w:rPr>
          <w:b/>
          <w:bCs/>
          <w:sz w:val="24"/>
          <w:szCs w:val="24"/>
          <w:u w:val="single"/>
        </w:rPr>
      </w:pPr>
      <w:hyperlink r:id="rId5" w:history="1">
        <w:r w:rsidRPr="007F6EE7">
          <w:rPr>
            <w:rStyle w:val="Hyperlink"/>
            <w:b/>
            <w:bCs/>
            <w:sz w:val="24"/>
            <w:szCs w:val="24"/>
          </w:rPr>
          <w:t>https://www.bsbsolicitors.co.uk/areas-of-law/grievous-bodily-harm/</w:t>
        </w:r>
      </w:hyperlink>
    </w:p>
    <w:p w14:paraId="17D76D18" w14:textId="31D0C73E" w:rsidR="00E50A56" w:rsidRDefault="005B75F5" w:rsidP="00A74AB3">
      <w:pPr>
        <w:rPr>
          <w:b/>
          <w:bCs/>
          <w:sz w:val="24"/>
          <w:szCs w:val="24"/>
          <w:u w:val="single"/>
        </w:rPr>
      </w:pPr>
      <w:hyperlink r:id="rId6" w:history="1">
        <w:r w:rsidRPr="007F6EE7">
          <w:rPr>
            <w:rStyle w:val="Hyperlink"/>
            <w:b/>
            <w:bCs/>
            <w:sz w:val="24"/>
            <w:szCs w:val="24"/>
          </w:rPr>
          <w:t>https://www.cps.gov.uk/legal-guidance/offences-against-person-incorporating-charging-standard</w:t>
        </w:r>
      </w:hyperlink>
    </w:p>
    <w:p w14:paraId="252C2EBF" w14:textId="5E22FE7A" w:rsidR="005B75F5" w:rsidRDefault="00A570EF" w:rsidP="00A74AB3">
      <w:pPr>
        <w:rPr>
          <w:b/>
          <w:bCs/>
          <w:sz w:val="24"/>
          <w:szCs w:val="24"/>
          <w:u w:val="single"/>
        </w:rPr>
      </w:pPr>
      <w:r w:rsidRPr="00A570EF">
        <w:rPr>
          <w:b/>
          <w:bCs/>
          <w:sz w:val="24"/>
          <w:szCs w:val="24"/>
          <w:u w:val="single"/>
        </w:rPr>
        <w:t>LawTeacher.net. November 2018. Assault, Battery and Assault Lecture. [online]. Available from: https://www.lawteacher.net/lectures/criminal-law/non-fatal-offences/assault-battery/?vref=1 [Accessed 5 March 2021].</w:t>
      </w:r>
    </w:p>
    <w:p w14:paraId="7F8985E7" w14:textId="1402FC70" w:rsidR="00A570EF" w:rsidRDefault="005D0AA6" w:rsidP="00A74AB3">
      <w:pPr>
        <w:rPr>
          <w:b/>
          <w:bCs/>
          <w:sz w:val="24"/>
          <w:szCs w:val="24"/>
          <w:u w:val="single"/>
        </w:rPr>
      </w:pPr>
      <w:hyperlink r:id="rId7" w:history="1">
        <w:r w:rsidRPr="007F6EE7">
          <w:rPr>
            <w:rStyle w:val="Hyperlink"/>
            <w:b/>
            <w:bCs/>
            <w:sz w:val="24"/>
            <w:szCs w:val="24"/>
          </w:rPr>
          <w:t>https://s3-eu-west-2.amazonaws.com/lawcom-prod-storage-11jsxou24uy7q/uploads/2016/08/LC.-010-IMPUTED-CRIMINAL-INTENT-DIRECTOR-OF-PUBLIC-PROSECUTIONS-v.-SMITH.pdf</w:t>
        </w:r>
      </w:hyperlink>
    </w:p>
    <w:p w14:paraId="5209ACC3" w14:textId="18EB89CF" w:rsidR="005D0AA6" w:rsidRDefault="005D0AA6" w:rsidP="00A74AB3">
      <w:pPr>
        <w:rPr>
          <w:b/>
          <w:bCs/>
          <w:sz w:val="24"/>
          <w:szCs w:val="24"/>
          <w:u w:val="single"/>
        </w:rPr>
      </w:pPr>
      <w:hyperlink r:id="rId8" w:history="1">
        <w:r w:rsidRPr="007F6EE7">
          <w:rPr>
            <w:rStyle w:val="Hyperlink"/>
            <w:b/>
            <w:bCs/>
            <w:sz w:val="24"/>
            <w:szCs w:val="24"/>
          </w:rPr>
          <w:t>https://www.theguardian.com/commentisfree/2013/jan/18/christopher-chope-mp-calls-commons-staff-servants</w:t>
        </w:r>
      </w:hyperlink>
    </w:p>
    <w:p w14:paraId="6558B98D" w14:textId="1EAE1584" w:rsidR="005D0AA6" w:rsidRDefault="006B08BE" w:rsidP="00A74AB3">
      <w:pPr>
        <w:rPr>
          <w:b/>
          <w:bCs/>
          <w:sz w:val="24"/>
          <w:szCs w:val="24"/>
          <w:u w:val="single"/>
        </w:rPr>
      </w:pPr>
      <w:hyperlink r:id="rId9" w:history="1">
        <w:r w:rsidRPr="007F6EE7">
          <w:rPr>
            <w:rStyle w:val="Hyperlink"/>
            <w:b/>
            <w:bCs/>
            <w:sz w:val="24"/>
            <w:szCs w:val="24"/>
          </w:rPr>
          <w:t>https://www.cps.gov.uk/legal-guidance/offences-against-person-incorporating-charging-standard</w:t>
        </w:r>
      </w:hyperlink>
    </w:p>
    <w:p w14:paraId="5352FF4E" w14:textId="370D1771" w:rsidR="006B08BE" w:rsidRDefault="009D75B2" w:rsidP="00A74AB3">
      <w:pPr>
        <w:rPr>
          <w:b/>
          <w:bCs/>
          <w:sz w:val="24"/>
          <w:szCs w:val="24"/>
          <w:u w:val="single"/>
        </w:rPr>
      </w:pPr>
      <w:hyperlink r:id="rId10" w:history="1">
        <w:r w:rsidRPr="007F6EE7">
          <w:rPr>
            <w:rStyle w:val="Hyperlink"/>
            <w:b/>
            <w:bCs/>
            <w:sz w:val="24"/>
            <w:szCs w:val="24"/>
          </w:rPr>
          <w:t>https://www.legislation.gov.uk/ukpga/Vict/24-25/100/crossheading/acts-causing-or-tending-to-cause-danger-to-life-or-bodily-harm</w:t>
        </w:r>
      </w:hyperlink>
    </w:p>
    <w:p w14:paraId="6D105AEE" w14:textId="51FE532A" w:rsidR="009D75B2" w:rsidRDefault="00E302DA" w:rsidP="00A74AB3">
      <w:pPr>
        <w:rPr>
          <w:b/>
          <w:bCs/>
          <w:sz w:val="24"/>
          <w:szCs w:val="24"/>
          <w:u w:val="single"/>
        </w:rPr>
      </w:pPr>
      <w:hyperlink r:id="rId11" w:history="1">
        <w:r w:rsidRPr="007F6EE7">
          <w:rPr>
            <w:rStyle w:val="Hyperlink"/>
            <w:b/>
            <w:bCs/>
            <w:sz w:val="24"/>
            <w:szCs w:val="24"/>
          </w:rPr>
          <w:t>https://www.e-lawresources.co.uk/R-v-Constanza.php</w:t>
        </w:r>
      </w:hyperlink>
    </w:p>
    <w:p w14:paraId="1A3FAF0E" w14:textId="079B2C21" w:rsidR="00E302DA" w:rsidRDefault="00030433" w:rsidP="00A74AB3">
      <w:pPr>
        <w:rPr>
          <w:b/>
          <w:bCs/>
          <w:sz w:val="24"/>
          <w:szCs w:val="24"/>
          <w:u w:val="single"/>
        </w:rPr>
      </w:pPr>
      <w:hyperlink r:id="rId12" w:history="1">
        <w:r w:rsidRPr="007F6EE7">
          <w:rPr>
            <w:rStyle w:val="Hyperlink"/>
            <w:b/>
            <w:bCs/>
            <w:sz w:val="24"/>
            <w:szCs w:val="24"/>
          </w:rPr>
          <w:t>https://www.lawteacher.net/cases/r-v-constanza.php</w:t>
        </w:r>
      </w:hyperlink>
    </w:p>
    <w:p w14:paraId="2DD86486" w14:textId="4A4C0AD2" w:rsidR="00030433" w:rsidRDefault="00A25CF1" w:rsidP="00A74AB3">
      <w:pPr>
        <w:rPr>
          <w:b/>
          <w:bCs/>
          <w:sz w:val="24"/>
          <w:szCs w:val="24"/>
          <w:u w:val="single"/>
        </w:rPr>
      </w:pPr>
      <w:hyperlink r:id="rId13" w:history="1">
        <w:r w:rsidRPr="007F6EE7">
          <w:rPr>
            <w:rStyle w:val="Hyperlink"/>
            <w:b/>
            <w:bCs/>
            <w:sz w:val="24"/>
            <w:szCs w:val="24"/>
          </w:rPr>
          <w:t>https://publications.parliament.uk/pa/ld199798/ldjudgmt/jd970724/irland01.htm</w:t>
        </w:r>
      </w:hyperlink>
    </w:p>
    <w:p w14:paraId="157AD1B4" w14:textId="27480F40" w:rsidR="00A25CF1" w:rsidRDefault="005D26E8" w:rsidP="00A74AB3">
      <w:pPr>
        <w:rPr>
          <w:b/>
          <w:bCs/>
          <w:sz w:val="24"/>
          <w:szCs w:val="24"/>
          <w:u w:val="single"/>
        </w:rPr>
      </w:pPr>
      <w:hyperlink r:id="rId14" w:history="1">
        <w:r w:rsidRPr="007F6EE7">
          <w:rPr>
            <w:rStyle w:val="Hyperlink"/>
            <w:b/>
            <w:bCs/>
            <w:sz w:val="24"/>
            <w:szCs w:val="24"/>
          </w:rPr>
          <w:t>https://www.oxfordlawtrove.com/view/10.1093/he/9780191897641.001.0001/he-9780191897641-chapter-37</w:t>
        </w:r>
      </w:hyperlink>
    </w:p>
    <w:p w14:paraId="7A3EE436" w14:textId="6FC2CA35" w:rsidR="005D26E8" w:rsidRDefault="00482278" w:rsidP="00A74AB3">
      <w:pPr>
        <w:rPr>
          <w:b/>
          <w:bCs/>
          <w:sz w:val="24"/>
          <w:szCs w:val="24"/>
          <w:u w:val="single"/>
        </w:rPr>
      </w:pPr>
      <w:hyperlink r:id="rId15" w:history="1">
        <w:r w:rsidRPr="007F6EE7">
          <w:rPr>
            <w:rStyle w:val="Hyperlink"/>
            <w:b/>
            <w:bCs/>
            <w:sz w:val="24"/>
            <w:szCs w:val="24"/>
          </w:rPr>
          <w:t>https://www.judiciary.uk/wp-content/uploads/JCO/Documents/Judgments/chambers-v-dpp.pdf</w:t>
        </w:r>
      </w:hyperlink>
    </w:p>
    <w:p w14:paraId="119B6A41" w14:textId="5535AECA" w:rsidR="00482278" w:rsidRDefault="00465C3E" w:rsidP="00A74AB3">
      <w:pPr>
        <w:rPr>
          <w:b/>
          <w:bCs/>
          <w:sz w:val="24"/>
          <w:szCs w:val="24"/>
          <w:u w:val="single"/>
        </w:rPr>
      </w:pPr>
      <w:hyperlink r:id="rId16" w:history="1">
        <w:r w:rsidRPr="007F6EE7">
          <w:rPr>
            <w:rStyle w:val="Hyperlink"/>
            <w:b/>
            <w:bCs/>
            <w:sz w:val="24"/>
            <w:szCs w:val="24"/>
          </w:rPr>
          <w:t>https://www.lawteacher.net/cases/chambers-v-dpp.php</w:t>
        </w:r>
      </w:hyperlink>
    </w:p>
    <w:p w14:paraId="2B118739" w14:textId="06561B03" w:rsidR="00465C3E" w:rsidRDefault="00F840B4" w:rsidP="00A74AB3">
      <w:pPr>
        <w:rPr>
          <w:b/>
          <w:bCs/>
          <w:sz w:val="24"/>
          <w:szCs w:val="24"/>
          <w:u w:val="single"/>
        </w:rPr>
      </w:pPr>
      <w:hyperlink r:id="rId17" w:history="1">
        <w:r w:rsidRPr="007F6EE7">
          <w:rPr>
            <w:rStyle w:val="Hyperlink"/>
            <w:b/>
            <w:bCs/>
            <w:sz w:val="24"/>
            <w:szCs w:val="24"/>
          </w:rPr>
          <w:t>https://www.chrischope.com/</w:t>
        </w:r>
      </w:hyperlink>
    </w:p>
    <w:p w14:paraId="5F30B5A4" w14:textId="273DD7DE" w:rsidR="00F840B4" w:rsidRDefault="00F840B4" w:rsidP="00A74AB3">
      <w:pPr>
        <w:rPr>
          <w:b/>
          <w:bCs/>
          <w:sz w:val="24"/>
          <w:szCs w:val="24"/>
          <w:u w:val="single"/>
        </w:rPr>
      </w:pPr>
      <w:hyperlink r:id="rId18" w:history="1">
        <w:r w:rsidRPr="007F6EE7">
          <w:rPr>
            <w:rStyle w:val="Hyperlink"/>
            <w:b/>
            <w:bCs/>
            <w:sz w:val="24"/>
            <w:szCs w:val="24"/>
          </w:rPr>
          <w:t>https://www.bournemouthecho.co.uk/news/10169099.chris-chope-servants-is-just-what-they-are-called/</w:t>
        </w:r>
      </w:hyperlink>
    </w:p>
    <w:p w14:paraId="3F56C986" w14:textId="7FF011D5" w:rsidR="00F840B4" w:rsidRDefault="002B78EC" w:rsidP="00A74AB3">
      <w:pPr>
        <w:rPr>
          <w:b/>
          <w:bCs/>
          <w:sz w:val="24"/>
          <w:szCs w:val="24"/>
          <w:u w:val="single"/>
        </w:rPr>
      </w:pPr>
      <w:hyperlink r:id="rId19" w:history="1">
        <w:r w:rsidRPr="007F6EE7">
          <w:rPr>
            <w:rStyle w:val="Hyperlink"/>
            <w:b/>
            <w:bCs/>
            <w:sz w:val="24"/>
            <w:szCs w:val="24"/>
          </w:rPr>
          <w:t>https://www.legislation.gov.uk/ukpga/Vict/24-25/100/crossheading/acts-causing-or-tending-to-cause-danger-to-life-or-bodily-harm</w:t>
        </w:r>
      </w:hyperlink>
    </w:p>
    <w:p w14:paraId="086BFBBD" w14:textId="77777777" w:rsidR="002B78EC" w:rsidRPr="004F032B" w:rsidRDefault="002B78EC" w:rsidP="00A74AB3">
      <w:pPr>
        <w:rPr>
          <w:b/>
          <w:bCs/>
          <w:sz w:val="24"/>
          <w:szCs w:val="24"/>
          <w:u w:val="single"/>
        </w:rPr>
      </w:pPr>
    </w:p>
    <w:sectPr w:rsidR="002B78EC" w:rsidRPr="004F03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AB3"/>
    <w:rsid w:val="00004329"/>
    <w:rsid w:val="00007BB0"/>
    <w:rsid w:val="00030433"/>
    <w:rsid w:val="00055861"/>
    <w:rsid w:val="000853BE"/>
    <w:rsid w:val="00086EAA"/>
    <w:rsid w:val="000A2664"/>
    <w:rsid w:val="000E2AA8"/>
    <w:rsid w:val="00101AA6"/>
    <w:rsid w:val="00163D82"/>
    <w:rsid w:val="001964A4"/>
    <w:rsid w:val="001D6CB4"/>
    <w:rsid w:val="001F3909"/>
    <w:rsid w:val="002152C3"/>
    <w:rsid w:val="00252104"/>
    <w:rsid w:val="00256B81"/>
    <w:rsid w:val="002864CF"/>
    <w:rsid w:val="00295AEB"/>
    <w:rsid w:val="002B78EC"/>
    <w:rsid w:val="00342CA2"/>
    <w:rsid w:val="003448BA"/>
    <w:rsid w:val="003549EA"/>
    <w:rsid w:val="00365F76"/>
    <w:rsid w:val="00375F70"/>
    <w:rsid w:val="0039695B"/>
    <w:rsid w:val="003A2684"/>
    <w:rsid w:val="003C42DA"/>
    <w:rsid w:val="003D2533"/>
    <w:rsid w:val="003E3FD3"/>
    <w:rsid w:val="00440E6F"/>
    <w:rsid w:val="00465C3E"/>
    <w:rsid w:val="00482278"/>
    <w:rsid w:val="004D310C"/>
    <w:rsid w:val="004D71EF"/>
    <w:rsid w:val="004E734B"/>
    <w:rsid w:val="004F032B"/>
    <w:rsid w:val="00512A8B"/>
    <w:rsid w:val="0055164D"/>
    <w:rsid w:val="005716D4"/>
    <w:rsid w:val="00572CD0"/>
    <w:rsid w:val="005805F3"/>
    <w:rsid w:val="00586BEE"/>
    <w:rsid w:val="005A148C"/>
    <w:rsid w:val="005B75F5"/>
    <w:rsid w:val="005C215B"/>
    <w:rsid w:val="005D0AA6"/>
    <w:rsid w:val="005D1429"/>
    <w:rsid w:val="005D26E8"/>
    <w:rsid w:val="005E60D0"/>
    <w:rsid w:val="005E7288"/>
    <w:rsid w:val="00646D77"/>
    <w:rsid w:val="006961C3"/>
    <w:rsid w:val="006B08BE"/>
    <w:rsid w:val="006C18E0"/>
    <w:rsid w:val="006E77C3"/>
    <w:rsid w:val="00746D83"/>
    <w:rsid w:val="007806D4"/>
    <w:rsid w:val="00795DAE"/>
    <w:rsid w:val="007A57F2"/>
    <w:rsid w:val="007C1C62"/>
    <w:rsid w:val="007D0FDC"/>
    <w:rsid w:val="008647D4"/>
    <w:rsid w:val="008E125A"/>
    <w:rsid w:val="008F0BC3"/>
    <w:rsid w:val="008F53A0"/>
    <w:rsid w:val="009001DC"/>
    <w:rsid w:val="00920393"/>
    <w:rsid w:val="009225D9"/>
    <w:rsid w:val="00943F10"/>
    <w:rsid w:val="009857B3"/>
    <w:rsid w:val="009D75B2"/>
    <w:rsid w:val="009E343B"/>
    <w:rsid w:val="009E560D"/>
    <w:rsid w:val="00A00E5A"/>
    <w:rsid w:val="00A03BA0"/>
    <w:rsid w:val="00A25CF1"/>
    <w:rsid w:val="00A27F11"/>
    <w:rsid w:val="00A322E2"/>
    <w:rsid w:val="00A570EF"/>
    <w:rsid w:val="00A57B3D"/>
    <w:rsid w:val="00A741C3"/>
    <w:rsid w:val="00A74AB3"/>
    <w:rsid w:val="00AE0ED8"/>
    <w:rsid w:val="00B16F7A"/>
    <w:rsid w:val="00B363B6"/>
    <w:rsid w:val="00B554B1"/>
    <w:rsid w:val="00B71365"/>
    <w:rsid w:val="00B727E3"/>
    <w:rsid w:val="00BC2DEC"/>
    <w:rsid w:val="00BF707C"/>
    <w:rsid w:val="00C25503"/>
    <w:rsid w:val="00C452E3"/>
    <w:rsid w:val="00C4629B"/>
    <w:rsid w:val="00C70969"/>
    <w:rsid w:val="00CA7894"/>
    <w:rsid w:val="00CD7075"/>
    <w:rsid w:val="00D00971"/>
    <w:rsid w:val="00D35CF3"/>
    <w:rsid w:val="00D37276"/>
    <w:rsid w:val="00D4128F"/>
    <w:rsid w:val="00D61571"/>
    <w:rsid w:val="00DB0B8D"/>
    <w:rsid w:val="00DC4896"/>
    <w:rsid w:val="00E273BA"/>
    <w:rsid w:val="00E302DA"/>
    <w:rsid w:val="00E50A56"/>
    <w:rsid w:val="00ED6C93"/>
    <w:rsid w:val="00F07FBF"/>
    <w:rsid w:val="00F46FAA"/>
    <w:rsid w:val="00F83CD9"/>
    <w:rsid w:val="00F84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FBFCD"/>
  <w15:chartTrackingRefBased/>
  <w15:docId w15:val="{BEDD1905-6EA1-4CD2-91CD-B808F3062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0A56"/>
    <w:rPr>
      <w:color w:val="0563C1" w:themeColor="hyperlink"/>
      <w:u w:val="single"/>
    </w:rPr>
  </w:style>
  <w:style w:type="character" w:styleId="UnresolvedMention">
    <w:name w:val="Unresolved Mention"/>
    <w:basedOn w:val="DefaultParagraphFont"/>
    <w:uiPriority w:val="99"/>
    <w:semiHidden/>
    <w:unhideWhenUsed/>
    <w:rsid w:val="00E50A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3/jan/18/christopher-chope-mp-calls-commons-staff-servants" TargetMode="External"/><Relationship Id="rId13" Type="http://schemas.openxmlformats.org/officeDocument/2006/relationships/hyperlink" Target="https://publications.parliament.uk/pa/ld199798/ldjudgmt/jd970724/irland01.htm" TargetMode="External"/><Relationship Id="rId18" Type="http://schemas.openxmlformats.org/officeDocument/2006/relationships/hyperlink" Target="https://www.bournemouthecho.co.uk/news/10169099.chris-chope-servants-is-just-what-they-are-called/"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s3-eu-west-2.amazonaws.com/lawcom-prod-storage-11jsxou24uy7q/uploads/2016/08/LC.-010-IMPUTED-CRIMINAL-INTENT-DIRECTOR-OF-PUBLIC-PROSECUTIONS-v.-SMITH.pdf" TargetMode="External"/><Relationship Id="rId12" Type="http://schemas.openxmlformats.org/officeDocument/2006/relationships/hyperlink" Target="https://www.lawteacher.net/cases/r-v-constanza.php" TargetMode="External"/><Relationship Id="rId17" Type="http://schemas.openxmlformats.org/officeDocument/2006/relationships/hyperlink" Target="https://www.chrischope.com/" TargetMode="External"/><Relationship Id="rId2" Type="http://schemas.openxmlformats.org/officeDocument/2006/relationships/settings" Target="settings.xml"/><Relationship Id="rId16" Type="http://schemas.openxmlformats.org/officeDocument/2006/relationships/hyperlink" Target="https://www.lawteacher.net/cases/chambers-v-dpp.php"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ps.gov.uk/legal-guidance/offences-against-person-incorporating-charging-standard" TargetMode="External"/><Relationship Id="rId11" Type="http://schemas.openxmlformats.org/officeDocument/2006/relationships/hyperlink" Target="https://www.e-lawresources.co.uk/R-v-Constanza.php" TargetMode="External"/><Relationship Id="rId5" Type="http://schemas.openxmlformats.org/officeDocument/2006/relationships/hyperlink" Target="https://www.bsbsolicitors.co.uk/areas-of-law/grievous-bodily-harm/" TargetMode="External"/><Relationship Id="rId15" Type="http://schemas.openxmlformats.org/officeDocument/2006/relationships/hyperlink" Target="https://www.judiciary.uk/wp-content/uploads/JCO/Documents/Judgments/chambers-v-dpp.pdf" TargetMode="External"/><Relationship Id="rId10" Type="http://schemas.openxmlformats.org/officeDocument/2006/relationships/hyperlink" Target="https://www.legislation.gov.uk/ukpga/Vict/24-25/100/crossheading/acts-causing-or-tending-to-cause-danger-to-life-or-bodily-harm" TargetMode="External"/><Relationship Id="rId19" Type="http://schemas.openxmlformats.org/officeDocument/2006/relationships/hyperlink" Target="https://www.legislation.gov.uk/ukpga/Vict/24-25/100/crossheading/acts-causing-or-tending-to-cause-danger-to-life-or-bodily-harm" TargetMode="External"/><Relationship Id="rId4" Type="http://schemas.openxmlformats.org/officeDocument/2006/relationships/hyperlink" Target="https://s3-eu-west-2.amazonaws.com/lawcom-prod-storage-11jsxou24uy7q/uploads/2015/11/51950-LC-HC555_Web.pdf" TargetMode="External"/><Relationship Id="rId9" Type="http://schemas.openxmlformats.org/officeDocument/2006/relationships/hyperlink" Target="https://www.cps.gov.uk/legal-guidance/offences-against-person-incorporating-charging-standard" TargetMode="External"/><Relationship Id="rId14" Type="http://schemas.openxmlformats.org/officeDocument/2006/relationships/hyperlink" Target="https://www.oxfordlawtrove.com/view/10.1093/he/9780191897641.001.0001/he-9780191897641-chapter-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4</Pages>
  <Words>2114</Words>
  <Characters>9641</Characters>
  <Application>Microsoft Office Word</Application>
  <DocSecurity>0</DocSecurity>
  <Lines>139</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Matthews</dc:creator>
  <cp:keywords/>
  <dc:description/>
  <cp:lastModifiedBy>Stephanie Matthews</cp:lastModifiedBy>
  <cp:revision>99</cp:revision>
  <dcterms:created xsi:type="dcterms:W3CDTF">2021-03-05T19:32:00Z</dcterms:created>
  <dcterms:modified xsi:type="dcterms:W3CDTF">2021-03-05T23:29:00Z</dcterms:modified>
</cp:coreProperties>
</file>