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40A656C1" w:rsidR="00D94538" w:rsidRPr="009E7778" w:rsidRDefault="00C43472">
      <w:pPr>
        <w:jc w:val="center"/>
        <w:rPr>
          <w:rFonts w:asciiTheme="minorBidi" w:hAnsiTheme="minorBidi" w:cstheme="minorBidi"/>
          <w:b/>
          <w:sz w:val="52"/>
          <w:szCs w:val="52"/>
        </w:rPr>
      </w:pPr>
      <w:r w:rsidRPr="009E7778">
        <w:rPr>
          <w:rFonts w:asciiTheme="minorBidi" w:hAnsiTheme="minorBidi" w:cstheme="minorBidi"/>
          <w:b/>
          <w:sz w:val="52"/>
          <w:szCs w:val="52"/>
        </w:rPr>
        <w:t>Assignment</w:t>
      </w:r>
      <w:r w:rsidR="009B4B91" w:rsidRPr="009E7778">
        <w:rPr>
          <w:rFonts w:asciiTheme="minorBidi" w:hAnsiTheme="minorBidi" w:cstheme="minorBidi"/>
          <w:b/>
          <w:sz w:val="52"/>
          <w:szCs w:val="52"/>
        </w:rPr>
        <w:t xml:space="preserve"> title: Component 2 – Written Report </w:t>
      </w:r>
    </w:p>
    <w:p w14:paraId="02A1547B" w14:textId="5733A7C3" w:rsidR="009B4B91" w:rsidRPr="009E7778" w:rsidRDefault="009B4B91">
      <w:pPr>
        <w:jc w:val="center"/>
        <w:rPr>
          <w:rFonts w:asciiTheme="minorBidi" w:hAnsiTheme="minorBidi" w:cstheme="minorBidi"/>
          <w:b/>
          <w:sz w:val="52"/>
          <w:szCs w:val="52"/>
        </w:rPr>
      </w:pPr>
      <w:r w:rsidRPr="009E7778">
        <w:rPr>
          <w:rFonts w:asciiTheme="minorBidi" w:hAnsiTheme="minorBidi" w:cstheme="minorBidi"/>
          <w:b/>
          <w:sz w:val="52"/>
          <w:szCs w:val="52"/>
        </w:rPr>
        <w:t xml:space="preserve">Module: Living with Care: The Older Person </w:t>
      </w:r>
    </w:p>
    <w:p w14:paraId="28FE1EBA" w14:textId="77777777" w:rsidR="009B4B91" w:rsidRPr="009E7778" w:rsidRDefault="009B4B91" w:rsidP="009B4B91">
      <w:pPr>
        <w:rPr>
          <w:rFonts w:asciiTheme="minorBidi" w:hAnsiTheme="minorBidi" w:cstheme="minorBidi"/>
          <w:b/>
          <w:sz w:val="40"/>
          <w:szCs w:val="40"/>
        </w:rPr>
      </w:pPr>
    </w:p>
    <w:p w14:paraId="00000003" w14:textId="68DB7EBD" w:rsidR="00D94538" w:rsidRPr="009E7778" w:rsidRDefault="00C43472" w:rsidP="009B4B91">
      <w:pPr>
        <w:jc w:val="center"/>
        <w:rPr>
          <w:rFonts w:asciiTheme="minorBidi" w:hAnsiTheme="minorBidi" w:cstheme="minorBidi"/>
          <w:b/>
          <w:sz w:val="52"/>
          <w:szCs w:val="52"/>
          <w:lang w:val="nl-NL"/>
        </w:rPr>
      </w:pPr>
      <w:r w:rsidRPr="009E7778">
        <w:rPr>
          <w:rFonts w:asciiTheme="minorBidi" w:hAnsiTheme="minorBidi" w:cstheme="minorBidi"/>
          <w:b/>
          <w:sz w:val="52"/>
          <w:szCs w:val="52"/>
          <w:lang w:val="nl-NL"/>
        </w:rPr>
        <w:t xml:space="preserve">Student </w:t>
      </w:r>
      <w:r w:rsidR="003221F5" w:rsidRPr="009E7778">
        <w:rPr>
          <w:rFonts w:asciiTheme="minorBidi" w:hAnsiTheme="minorBidi" w:cstheme="minorBidi"/>
          <w:b/>
          <w:sz w:val="52"/>
          <w:szCs w:val="52"/>
          <w:lang w:val="nl-NL"/>
        </w:rPr>
        <w:t>Name: Isaac</w:t>
      </w:r>
      <w:r w:rsidR="009B4B91" w:rsidRPr="009E7778">
        <w:rPr>
          <w:rFonts w:asciiTheme="minorBidi" w:hAnsiTheme="minorBidi" w:cstheme="minorBidi"/>
          <w:b/>
          <w:sz w:val="52"/>
          <w:szCs w:val="52"/>
          <w:lang w:val="nl-NL"/>
        </w:rPr>
        <w:t xml:space="preserve"> Alake</w:t>
      </w:r>
    </w:p>
    <w:p w14:paraId="00000004" w14:textId="04D7654E" w:rsidR="00D94538" w:rsidRPr="009E7778" w:rsidRDefault="00C43472">
      <w:pPr>
        <w:jc w:val="center"/>
        <w:rPr>
          <w:rFonts w:asciiTheme="minorBidi" w:hAnsiTheme="minorBidi" w:cstheme="minorBidi"/>
          <w:b/>
          <w:sz w:val="52"/>
          <w:szCs w:val="52"/>
          <w:lang w:val="nl-NL"/>
        </w:rPr>
      </w:pPr>
      <w:r w:rsidRPr="009E7778">
        <w:rPr>
          <w:rFonts w:asciiTheme="minorBidi" w:hAnsiTheme="minorBidi" w:cstheme="minorBidi"/>
          <w:b/>
          <w:sz w:val="52"/>
          <w:szCs w:val="52"/>
          <w:lang w:val="nl-NL"/>
        </w:rPr>
        <w:t>Student ID:</w:t>
      </w:r>
      <w:r w:rsidR="009B4B91" w:rsidRPr="009E7778">
        <w:rPr>
          <w:rFonts w:asciiTheme="minorBidi" w:hAnsiTheme="minorBidi" w:cstheme="minorBidi"/>
          <w:b/>
          <w:sz w:val="52"/>
          <w:szCs w:val="52"/>
          <w:lang w:val="nl-NL"/>
        </w:rPr>
        <w:t>2132943</w:t>
      </w:r>
    </w:p>
    <w:p w14:paraId="1A8D3019" w14:textId="65551A07" w:rsidR="009B4B91" w:rsidRPr="009E7778" w:rsidRDefault="009B4B91">
      <w:pPr>
        <w:jc w:val="center"/>
        <w:rPr>
          <w:rFonts w:asciiTheme="minorBidi" w:hAnsiTheme="minorBidi" w:cstheme="minorBidi"/>
          <w:b/>
          <w:sz w:val="52"/>
          <w:szCs w:val="52"/>
        </w:rPr>
      </w:pPr>
      <w:r w:rsidRPr="009E7778">
        <w:rPr>
          <w:rFonts w:asciiTheme="minorBidi" w:hAnsiTheme="minorBidi" w:cstheme="minorBidi"/>
          <w:b/>
          <w:sz w:val="52"/>
          <w:szCs w:val="52"/>
        </w:rPr>
        <w:t xml:space="preserve">Module </w:t>
      </w:r>
      <w:r w:rsidR="003221F5" w:rsidRPr="009E7778">
        <w:rPr>
          <w:rFonts w:asciiTheme="minorBidi" w:hAnsiTheme="minorBidi" w:cstheme="minorBidi"/>
          <w:b/>
          <w:sz w:val="52"/>
          <w:szCs w:val="52"/>
        </w:rPr>
        <w:t>Code: BMHP</w:t>
      </w:r>
      <w:r w:rsidRPr="009E7778">
        <w:rPr>
          <w:rFonts w:asciiTheme="minorBidi" w:hAnsiTheme="minorBidi" w:cstheme="minorBidi"/>
          <w:b/>
          <w:sz w:val="52"/>
          <w:szCs w:val="52"/>
        </w:rPr>
        <w:t>6009</w:t>
      </w:r>
    </w:p>
    <w:p w14:paraId="665A5D52" w14:textId="7A884CAF" w:rsidR="009B4B91" w:rsidRPr="009E7778" w:rsidRDefault="009B4B91">
      <w:pPr>
        <w:jc w:val="center"/>
        <w:rPr>
          <w:rFonts w:asciiTheme="minorBidi" w:hAnsiTheme="minorBidi" w:cstheme="minorBidi"/>
          <w:b/>
          <w:sz w:val="52"/>
          <w:szCs w:val="52"/>
        </w:rPr>
      </w:pPr>
      <w:r w:rsidRPr="009E7778">
        <w:rPr>
          <w:rFonts w:asciiTheme="minorBidi" w:hAnsiTheme="minorBidi" w:cstheme="minorBidi"/>
          <w:b/>
          <w:sz w:val="52"/>
          <w:szCs w:val="52"/>
        </w:rPr>
        <w:t xml:space="preserve">Tutor </w:t>
      </w:r>
      <w:r w:rsidR="003221F5" w:rsidRPr="009E7778">
        <w:rPr>
          <w:rFonts w:asciiTheme="minorBidi" w:hAnsiTheme="minorBidi" w:cstheme="minorBidi"/>
          <w:b/>
          <w:sz w:val="52"/>
          <w:szCs w:val="52"/>
        </w:rPr>
        <w:t>N</w:t>
      </w:r>
      <w:r w:rsidRPr="009E7778">
        <w:rPr>
          <w:rFonts w:asciiTheme="minorBidi" w:hAnsiTheme="minorBidi" w:cstheme="minorBidi"/>
          <w:b/>
          <w:sz w:val="52"/>
          <w:szCs w:val="52"/>
        </w:rPr>
        <w:t>ame: Joanne Davies</w:t>
      </w:r>
    </w:p>
    <w:p w14:paraId="00000005" w14:textId="77777777" w:rsidR="00D94538" w:rsidRPr="009E7778" w:rsidRDefault="00C43472">
      <w:pPr>
        <w:jc w:val="center"/>
        <w:rPr>
          <w:rFonts w:asciiTheme="minorBidi" w:hAnsiTheme="minorBidi" w:cstheme="minorBidi"/>
        </w:rPr>
      </w:pPr>
      <w:r w:rsidRPr="009E7778">
        <w:rPr>
          <w:rFonts w:asciiTheme="minorBidi" w:hAnsiTheme="minorBidi" w:cstheme="minorBidi"/>
        </w:rPr>
        <w:br w:type="page"/>
      </w:r>
    </w:p>
    <w:p w14:paraId="00000006" w14:textId="77777777" w:rsidR="00D94538" w:rsidRPr="009E7778" w:rsidRDefault="00C43472">
      <w:pPr>
        <w:jc w:val="center"/>
        <w:rPr>
          <w:rFonts w:asciiTheme="minorBidi" w:hAnsiTheme="minorBidi" w:cstheme="minorBidi"/>
          <w:b/>
          <w:sz w:val="28"/>
          <w:szCs w:val="28"/>
        </w:rPr>
      </w:pPr>
      <w:r w:rsidRPr="009E7778">
        <w:rPr>
          <w:rFonts w:asciiTheme="minorBidi" w:hAnsiTheme="minorBidi" w:cstheme="minorBidi"/>
          <w:b/>
          <w:sz w:val="28"/>
          <w:szCs w:val="28"/>
        </w:rPr>
        <w:lastRenderedPageBreak/>
        <w:t>Table of Content</w:t>
      </w:r>
    </w:p>
    <w:p w14:paraId="00000007" w14:textId="77777777" w:rsidR="00D94538" w:rsidRPr="009E7778" w:rsidRDefault="00D94538">
      <w:pPr>
        <w:jc w:val="left"/>
        <w:rPr>
          <w:rFonts w:asciiTheme="minorBidi" w:hAnsiTheme="minorBidi" w:cstheme="minorBidi"/>
        </w:rPr>
      </w:pPr>
    </w:p>
    <w:sdt>
      <w:sdtPr>
        <w:rPr>
          <w:rFonts w:asciiTheme="minorBidi" w:hAnsiTheme="minorBidi" w:cstheme="minorBidi"/>
        </w:rPr>
        <w:id w:val="1022818646"/>
        <w:docPartObj>
          <w:docPartGallery w:val="Table of Contents"/>
          <w:docPartUnique/>
        </w:docPartObj>
      </w:sdtPr>
      <w:sdtEndPr/>
      <w:sdtContent>
        <w:p w14:paraId="00000009" w14:textId="1A427AD6" w:rsidR="00D94538" w:rsidRPr="009E7778" w:rsidRDefault="00C43472">
          <w:pPr>
            <w:widowControl w:val="0"/>
            <w:tabs>
              <w:tab w:val="right" w:leader="dot" w:pos="12000"/>
            </w:tabs>
            <w:spacing w:before="60"/>
            <w:jc w:val="left"/>
            <w:rPr>
              <w:rFonts w:asciiTheme="minorBidi" w:hAnsiTheme="minorBidi" w:cstheme="minorBidi"/>
              <w:color w:val="000000"/>
            </w:rPr>
          </w:pPr>
          <w:r w:rsidRPr="009E7778">
            <w:rPr>
              <w:rFonts w:asciiTheme="minorBidi" w:hAnsiTheme="minorBidi" w:cstheme="minorBidi"/>
            </w:rPr>
            <w:fldChar w:fldCharType="begin"/>
          </w:r>
          <w:r w:rsidRPr="009E7778">
            <w:rPr>
              <w:rFonts w:asciiTheme="minorBidi" w:hAnsiTheme="minorBidi" w:cstheme="minorBidi"/>
            </w:rPr>
            <w:instrText xml:space="preserve"> TOC \h \u \z \t "Heading 1,1,Heading 2,2,Heading 3,3,Heading 4,4,Heading 5,5,Heading 6,6,"</w:instrText>
          </w:r>
          <w:r w:rsidRPr="009E7778">
            <w:rPr>
              <w:rFonts w:asciiTheme="minorBidi" w:hAnsiTheme="minorBidi" w:cstheme="minorBidi"/>
            </w:rPr>
            <w:fldChar w:fldCharType="separate"/>
          </w:r>
          <w:hyperlink w:anchor="_ck7wr7nszqq4">
            <w:r w:rsidRPr="009E7778">
              <w:rPr>
                <w:rFonts w:asciiTheme="minorBidi" w:hAnsiTheme="minorBidi" w:cstheme="minorBidi"/>
                <w:color w:val="000000"/>
              </w:rPr>
              <w:t>Introduction</w:t>
            </w:r>
            <w:r w:rsidRPr="009E7778">
              <w:rPr>
                <w:rFonts w:asciiTheme="minorBidi" w:hAnsiTheme="minorBidi" w:cstheme="minorBidi"/>
                <w:color w:val="000000"/>
              </w:rPr>
              <w:tab/>
              <w:t>2</w:t>
            </w:r>
          </w:hyperlink>
        </w:p>
        <w:p w14:paraId="0000000A" w14:textId="77777777" w:rsidR="00D94538" w:rsidRPr="009E7778" w:rsidRDefault="0089085E">
          <w:pPr>
            <w:widowControl w:val="0"/>
            <w:tabs>
              <w:tab w:val="right" w:leader="dot" w:pos="12000"/>
            </w:tabs>
            <w:spacing w:before="60"/>
            <w:ind w:left="360"/>
            <w:jc w:val="left"/>
            <w:rPr>
              <w:rFonts w:asciiTheme="minorBidi" w:hAnsiTheme="minorBidi" w:cstheme="minorBidi"/>
              <w:color w:val="000000"/>
            </w:rPr>
          </w:pPr>
          <w:hyperlink w:anchor="_2pdqszh3kh71">
            <w:r w:rsidR="00C43472" w:rsidRPr="009E7778">
              <w:rPr>
                <w:rFonts w:asciiTheme="minorBidi" w:hAnsiTheme="minorBidi" w:cstheme="minorBidi"/>
                <w:color w:val="000000"/>
              </w:rPr>
              <w:t>Brief Explanation of the Case Study</w:t>
            </w:r>
            <w:r w:rsidR="00C43472" w:rsidRPr="009E7778">
              <w:rPr>
                <w:rFonts w:asciiTheme="minorBidi" w:hAnsiTheme="minorBidi" w:cstheme="minorBidi"/>
                <w:color w:val="000000"/>
              </w:rPr>
              <w:tab/>
              <w:t>2</w:t>
            </w:r>
          </w:hyperlink>
        </w:p>
        <w:p w14:paraId="0000000B" w14:textId="77777777" w:rsidR="00D94538" w:rsidRPr="009E7778" w:rsidRDefault="0089085E">
          <w:pPr>
            <w:widowControl w:val="0"/>
            <w:tabs>
              <w:tab w:val="right" w:leader="dot" w:pos="12000"/>
            </w:tabs>
            <w:spacing w:before="60"/>
            <w:ind w:left="360"/>
            <w:jc w:val="left"/>
            <w:rPr>
              <w:rFonts w:asciiTheme="minorBidi" w:hAnsiTheme="minorBidi" w:cstheme="minorBidi"/>
              <w:color w:val="000000"/>
            </w:rPr>
          </w:pPr>
          <w:hyperlink w:anchor="_v0o4syjr0i20">
            <w:r w:rsidR="00C43472" w:rsidRPr="009E7778">
              <w:rPr>
                <w:rFonts w:asciiTheme="minorBidi" w:hAnsiTheme="minorBidi" w:cstheme="minorBidi"/>
                <w:color w:val="000000"/>
              </w:rPr>
              <w:t>Health and Social Care Need</w:t>
            </w:r>
            <w:r w:rsidR="00C43472" w:rsidRPr="009E7778">
              <w:rPr>
                <w:rFonts w:asciiTheme="minorBidi" w:hAnsiTheme="minorBidi" w:cstheme="minorBidi"/>
                <w:color w:val="000000"/>
              </w:rPr>
              <w:tab/>
              <w:t>3</w:t>
            </w:r>
          </w:hyperlink>
        </w:p>
        <w:p w14:paraId="0000000C" w14:textId="77777777" w:rsidR="00D94538" w:rsidRPr="009E7778" w:rsidRDefault="0089085E">
          <w:pPr>
            <w:widowControl w:val="0"/>
            <w:tabs>
              <w:tab w:val="right" w:leader="dot" w:pos="12000"/>
            </w:tabs>
            <w:spacing w:before="60"/>
            <w:ind w:left="360"/>
            <w:jc w:val="left"/>
            <w:rPr>
              <w:rFonts w:asciiTheme="minorBidi" w:hAnsiTheme="minorBidi" w:cstheme="minorBidi"/>
              <w:color w:val="000000"/>
            </w:rPr>
          </w:pPr>
          <w:hyperlink w:anchor="_1cabb1u5zuhp">
            <w:r w:rsidR="00C43472" w:rsidRPr="009E7778">
              <w:rPr>
                <w:rFonts w:asciiTheme="minorBidi" w:hAnsiTheme="minorBidi" w:cstheme="minorBidi"/>
                <w:color w:val="000000"/>
              </w:rPr>
              <w:t>Relevant Support and Intervention</w:t>
            </w:r>
            <w:r w:rsidR="00C43472" w:rsidRPr="009E7778">
              <w:rPr>
                <w:rFonts w:asciiTheme="minorBidi" w:hAnsiTheme="minorBidi" w:cstheme="minorBidi"/>
                <w:color w:val="000000"/>
              </w:rPr>
              <w:tab/>
              <w:t>5</w:t>
            </w:r>
          </w:hyperlink>
        </w:p>
        <w:p w14:paraId="0000000D" w14:textId="77777777" w:rsidR="00D94538" w:rsidRPr="009E7778" w:rsidRDefault="0089085E">
          <w:pPr>
            <w:widowControl w:val="0"/>
            <w:tabs>
              <w:tab w:val="right" w:leader="dot" w:pos="12000"/>
            </w:tabs>
            <w:spacing w:before="60"/>
            <w:ind w:left="360"/>
            <w:jc w:val="left"/>
            <w:rPr>
              <w:rFonts w:asciiTheme="minorBidi" w:hAnsiTheme="minorBidi" w:cstheme="minorBidi"/>
              <w:color w:val="000000"/>
            </w:rPr>
          </w:pPr>
          <w:hyperlink w:anchor="_e77oerejwlg4">
            <w:r w:rsidR="00C43472" w:rsidRPr="009E7778">
              <w:rPr>
                <w:rFonts w:asciiTheme="minorBidi" w:hAnsiTheme="minorBidi" w:cstheme="minorBidi"/>
                <w:color w:val="000000"/>
              </w:rPr>
              <w:t>Policy and Legislation</w:t>
            </w:r>
            <w:r w:rsidR="00C43472" w:rsidRPr="009E7778">
              <w:rPr>
                <w:rFonts w:asciiTheme="minorBidi" w:hAnsiTheme="minorBidi" w:cstheme="minorBidi"/>
                <w:color w:val="000000"/>
              </w:rPr>
              <w:tab/>
              <w:t>6</w:t>
            </w:r>
          </w:hyperlink>
        </w:p>
        <w:p w14:paraId="0000000E"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cejbn9etskdg">
            <w:r w:rsidR="00C43472" w:rsidRPr="009E7778">
              <w:rPr>
                <w:rFonts w:asciiTheme="minorBidi" w:hAnsiTheme="minorBidi" w:cstheme="minorBidi"/>
                <w:color w:val="000000"/>
              </w:rPr>
              <w:t>Care Act 2014</w:t>
            </w:r>
            <w:r w:rsidR="00C43472" w:rsidRPr="009E7778">
              <w:rPr>
                <w:rFonts w:asciiTheme="minorBidi" w:hAnsiTheme="minorBidi" w:cstheme="minorBidi"/>
                <w:color w:val="000000"/>
              </w:rPr>
              <w:tab/>
              <w:t>6</w:t>
            </w:r>
          </w:hyperlink>
        </w:p>
        <w:p w14:paraId="0000000F"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udkwtrimjtbt">
            <w:r w:rsidR="00C43472" w:rsidRPr="009E7778">
              <w:rPr>
                <w:rFonts w:asciiTheme="minorBidi" w:hAnsiTheme="minorBidi" w:cstheme="minorBidi"/>
                <w:color w:val="000000"/>
              </w:rPr>
              <w:t>Other Relevant Policies</w:t>
            </w:r>
            <w:r w:rsidR="00C43472" w:rsidRPr="009E7778">
              <w:rPr>
                <w:rFonts w:asciiTheme="minorBidi" w:hAnsiTheme="minorBidi" w:cstheme="minorBidi"/>
                <w:color w:val="000000"/>
              </w:rPr>
              <w:tab/>
              <w:t>7</w:t>
            </w:r>
          </w:hyperlink>
        </w:p>
        <w:p w14:paraId="00000010"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pqtn2arko88r">
            <w:r w:rsidR="00C43472" w:rsidRPr="009E7778">
              <w:rPr>
                <w:rFonts w:asciiTheme="minorBidi" w:hAnsiTheme="minorBidi" w:cstheme="minorBidi"/>
                <w:color w:val="000000"/>
              </w:rPr>
              <w:t>Mental Health Legislation</w:t>
            </w:r>
            <w:r w:rsidR="00C43472" w:rsidRPr="009E7778">
              <w:rPr>
                <w:rFonts w:asciiTheme="minorBidi" w:hAnsiTheme="minorBidi" w:cstheme="minorBidi"/>
                <w:color w:val="000000"/>
              </w:rPr>
              <w:tab/>
              <w:t>7</w:t>
            </w:r>
          </w:hyperlink>
        </w:p>
        <w:p w14:paraId="00000011" w14:textId="77777777" w:rsidR="00D94538" w:rsidRPr="009E7778" w:rsidRDefault="0089085E">
          <w:pPr>
            <w:widowControl w:val="0"/>
            <w:tabs>
              <w:tab w:val="right" w:leader="dot" w:pos="12000"/>
            </w:tabs>
            <w:spacing w:before="60"/>
            <w:ind w:left="360"/>
            <w:jc w:val="left"/>
            <w:rPr>
              <w:rFonts w:asciiTheme="minorBidi" w:hAnsiTheme="minorBidi" w:cstheme="minorBidi"/>
              <w:color w:val="000000"/>
            </w:rPr>
          </w:pPr>
          <w:hyperlink w:anchor="_w0pr7xre13v4">
            <w:r w:rsidR="00C43472" w:rsidRPr="009E7778">
              <w:rPr>
                <w:rFonts w:asciiTheme="minorBidi" w:hAnsiTheme="minorBidi" w:cstheme="minorBidi"/>
                <w:color w:val="000000"/>
              </w:rPr>
              <w:t>Theories</w:t>
            </w:r>
            <w:r w:rsidR="00C43472" w:rsidRPr="009E7778">
              <w:rPr>
                <w:rFonts w:asciiTheme="minorBidi" w:hAnsiTheme="minorBidi" w:cstheme="minorBidi"/>
                <w:color w:val="000000"/>
              </w:rPr>
              <w:tab/>
              <w:t>8</w:t>
            </w:r>
          </w:hyperlink>
        </w:p>
        <w:p w14:paraId="00000012"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7pk7q5z2izd1">
            <w:r w:rsidR="00C43472" w:rsidRPr="009E7778">
              <w:rPr>
                <w:rFonts w:asciiTheme="minorBidi" w:hAnsiTheme="minorBidi" w:cstheme="minorBidi"/>
                <w:color w:val="000000"/>
              </w:rPr>
              <w:t>Disengagement Theory</w:t>
            </w:r>
            <w:r w:rsidR="00C43472" w:rsidRPr="009E7778">
              <w:rPr>
                <w:rFonts w:asciiTheme="minorBidi" w:hAnsiTheme="minorBidi" w:cstheme="minorBidi"/>
                <w:color w:val="000000"/>
              </w:rPr>
              <w:tab/>
              <w:t>8</w:t>
            </w:r>
          </w:hyperlink>
        </w:p>
        <w:p w14:paraId="00000013"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6ru8fzq87h0i">
            <w:r w:rsidR="00C43472" w:rsidRPr="009E7778">
              <w:rPr>
                <w:rFonts w:asciiTheme="minorBidi" w:hAnsiTheme="minorBidi" w:cstheme="minorBidi"/>
                <w:color w:val="000000"/>
              </w:rPr>
              <w:t>Activity Theory</w:t>
            </w:r>
            <w:r w:rsidR="00C43472" w:rsidRPr="009E7778">
              <w:rPr>
                <w:rFonts w:asciiTheme="minorBidi" w:hAnsiTheme="minorBidi" w:cstheme="minorBidi"/>
                <w:color w:val="000000"/>
              </w:rPr>
              <w:tab/>
              <w:t>9</w:t>
            </w:r>
          </w:hyperlink>
        </w:p>
        <w:p w14:paraId="00000014"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guhdlpw7ey7u">
            <w:r w:rsidR="00C43472" w:rsidRPr="009E7778">
              <w:rPr>
                <w:rFonts w:asciiTheme="minorBidi" w:hAnsiTheme="minorBidi" w:cstheme="minorBidi"/>
                <w:color w:val="000000"/>
              </w:rPr>
              <w:t>Continuity Theory</w:t>
            </w:r>
            <w:r w:rsidR="00C43472" w:rsidRPr="009E7778">
              <w:rPr>
                <w:rFonts w:asciiTheme="minorBidi" w:hAnsiTheme="minorBidi" w:cstheme="minorBidi"/>
                <w:color w:val="000000"/>
              </w:rPr>
              <w:tab/>
              <w:t>9</w:t>
            </w:r>
          </w:hyperlink>
        </w:p>
        <w:p w14:paraId="00000015" w14:textId="77777777" w:rsidR="00D94538" w:rsidRPr="009E7778" w:rsidRDefault="0089085E">
          <w:pPr>
            <w:widowControl w:val="0"/>
            <w:tabs>
              <w:tab w:val="right" w:leader="dot" w:pos="12000"/>
            </w:tabs>
            <w:spacing w:before="60"/>
            <w:ind w:left="720"/>
            <w:jc w:val="left"/>
            <w:rPr>
              <w:rFonts w:asciiTheme="minorBidi" w:hAnsiTheme="minorBidi" w:cstheme="minorBidi"/>
              <w:color w:val="000000"/>
            </w:rPr>
          </w:pPr>
          <w:hyperlink w:anchor="_i3ktmilef2p4">
            <w:r w:rsidR="00C43472" w:rsidRPr="009E7778">
              <w:rPr>
                <w:rFonts w:asciiTheme="minorBidi" w:hAnsiTheme="minorBidi" w:cstheme="minorBidi"/>
                <w:color w:val="000000"/>
              </w:rPr>
              <w:t>Maslow’s Hierarchy of Needs</w:t>
            </w:r>
            <w:r w:rsidR="00C43472" w:rsidRPr="009E7778">
              <w:rPr>
                <w:rFonts w:asciiTheme="minorBidi" w:hAnsiTheme="minorBidi" w:cstheme="minorBidi"/>
                <w:color w:val="000000"/>
              </w:rPr>
              <w:tab/>
              <w:t>9</w:t>
            </w:r>
          </w:hyperlink>
        </w:p>
        <w:p w14:paraId="00000016" w14:textId="77777777" w:rsidR="00D94538" w:rsidRPr="009E7778" w:rsidRDefault="0089085E">
          <w:pPr>
            <w:widowControl w:val="0"/>
            <w:tabs>
              <w:tab w:val="right" w:leader="dot" w:pos="12000"/>
            </w:tabs>
            <w:spacing w:before="60"/>
            <w:jc w:val="left"/>
            <w:rPr>
              <w:rFonts w:asciiTheme="minorBidi" w:hAnsiTheme="minorBidi" w:cstheme="minorBidi"/>
              <w:color w:val="000000"/>
            </w:rPr>
          </w:pPr>
          <w:hyperlink w:anchor="_wc68lxz0hy4z">
            <w:r w:rsidR="00C43472" w:rsidRPr="009E7778">
              <w:rPr>
                <w:rFonts w:asciiTheme="minorBidi" w:hAnsiTheme="minorBidi" w:cstheme="minorBidi"/>
                <w:color w:val="000000"/>
              </w:rPr>
              <w:t>Conclusion</w:t>
            </w:r>
            <w:r w:rsidR="00C43472" w:rsidRPr="009E7778">
              <w:rPr>
                <w:rFonts w:asciiTheme="minorBidi" w:hAnsiTheme="minorBidi" w:cstheme="minorBidi"/>
                <w:color w:val="000000"/>
              </w:rPr>
              <w:tab/>
              <w:t>9</w:t>
            </w:r>
          </w:hyperlink>
        </w:p>
        <w:p w14:paraId="00000017" w14:textId="77777777" w:rsidR="00D94538" w:rsidRPr="009E7778" w:rsidRDefault="0089085E">
          <w:pPr>
            <w:widowControl w:val="0"/>
            <w:tabs>
              <w:tab w:val="right" w:leader="dot" w:pos="12000"/>
            </w:tabs>
            <w:spacing w:before="60"/>
            <w:jc w:val="left"/>
            <w:rPr>
              <w:rFonts w:asciiTheme="minorBidi" w:hAnsiTheme="minorBidi" w:cstheme="minorBidi"/>
              <w:color w:val="000000"/>
            </w:rPr>
          </w:pPr>
          <w:hyperlink w:anchor="_laeandlo44bs">
            <w:r w:rsidR="00C43472" w:rsidRPr="009E7778">
              <w:rPr>
                <w:rFonts w:asciiTheme="minorBidi" w:hAnsiTheme="minorBidi" w:cstheme="minorBidi"/>
                <w:color w:val="000000"/>
              </w:rPr>
              <w:t>Recommendations</w:t>
            </w:r>
            <w:r w:rsidR="00C43472" w:rsidRPr="009E7778">
              <w:rPr>
                <w:rFonts w:asciiTheme="minorBidi" w:hAnsiTheme="minorBidi" w:cstheme="minorBidi"/>
                <w:color w:val="000000"/>
              </w:rPr>
              <w:tab/>
              <w:t>10</w:t>
            </w:r>
          </w:hyperlink>
        </w:p>
        <w:p w14:paraId="00000018" w14:textId="77777777" w:rsidR="00D94538" w:rsidRPr="009E7778" w:rsidRDefault="0089085E">
          <w:pPr>
            <w:widowControl w:val="0"/>
            <w:tabs>
              <w:tab w:val="right" w:leader="dot" w:pos="12000"/>
            </w:tabs>
            <w:spacing w:before="60"/>
            <w:jc w:val="left"/>
            <w:rPr>
              <w:rFonts w:asciiTheme="minorBidi" w:hAnsiTheme="minorBidi" w:cstheme="minorBidi"/>
              <w:color w:val="000000"/>
            </w:rPr>
          </w:pPr>
          <w:hyperlink w:anchor="_qiijlikvlayj">
            <w:r w:rsidR="00C43472" w:rsidRPr="009E7778">
              <w:rPr>
                <w:rFonts w:asciiTheme="minorBidi" w:hAnsiTheme="minorBidi" w:cstheme="minorBidi"/>
                <w:color w:val="000000"/>
              </w:rPr>
              <w:t>Reference</w:t>
            </w:r>
            <w:r w:rsidR="00C43472" w:rsidRPr="009E7778">
              <w:rPr>
                <w:rFonts w:asciiTheme="minorBidi" w:hAnsiTheme="minorBidi" w:cstheme="minorBidi"/>
                <w:color w:val="000000"/>
              </w:rPr>
              <w:tab/>
              <w:t>11</w:t>
            </w:r>
          </w:hyperlink>
          <w:r w:rsidR="00C43472" w:rsidRPr="009E7778">
            <w:rPr>
              <w:rFonts w:asciiTheme="minorBidi" w:hAnsiTheme="minorBidi" w:cstheme="minorBidi"/>
            </w:rPr>
            <w:fldChar w:fldCharType="end"/>
          </w:r>
        </w:p>
      </w:sdtContent>
    </w:sdt>
    <w:p w14:paraId="00000019" w14:textId="77777777" w:rsidR="00D94538" w:rsidRPr="009E7778" w:rsidRDefault="00D94538">
      <w:pPr>
        <w:jc w:val="left"/>
        <w:rPr>
          <w:rFonts w:asciiTheme="minorBidi" w:hAnsiTheme="minorBidi" w:cstheme="minorBidi"/>
        </w:rPr>
      </w:pPr>
    </w:p>
    <w:p w14:paraId="0000001A" w14:textId="77777777" w:rsidR="00D94538" w:rsidRPr="009E7778" w:rsidRDefault="00C43472">
      <w:pPr>
        <w:pStyle w:val="Heading1"/>
        <w:rPr>
          <w:rFonts w:asciiTheme="minorBidi" w:hAnsiTheme="minorBidi" w:cstheme="minorBidi"/>
        </w:rPr>
      </w:pPr>
      <w:bookmarkStart w:id="0" w:name="_bqaf5gutx2zh" w:colFirst="0" w:colLast="0"/>
      <w:bookmarkEnd w:id="0"/>
      <w:r w:rsidRPr="009E7778">
        <w:rPr>
          <w:rFonts w:asciiTheme="minorBidi" w:hAnsiTheme="minorBidi" w:cstheme="minorBidi"/>
        </w:rPr>
        <w:br w:type="page"/>
      </w:r>
    </w:p>
    <w:p w14:paraId="0000001B" w14:textId="77777777" w:rsidR="00D94538" w:rsidRPr="009E7778" w:rsidRDefault="00C43472">
      <w:pPr>
        <w:pStyle w:val="Heading1"/>
        <w:rPr>
          <w:rFonts w:asciiTheme="minorBidi" w:hAnsiTheme="minorBidi" w:cstheme="minorBidi"/>
        </w:rPr>
      </w:pPr>
      <w:bookmarkStart w:id="1" w:name="_ck7wr7nszqq4" w:colFirst="0" w:colLast="0"/>
      <w:bookmarkEnd w:id="1"/>
      <w:r w:rsidRPr="009E7778">
        <w:rPr>
          <w:rFonts w:asciiTheme="minorBidi" w:hAnsiTheme="minorBidi" w:cstheme="minorBidi"/>
        </w:rPr>
        <w:lastRenderedPageBreak/>
        <w:t xml:space="preserve">Introduction </w:t>
      </w:r>
    </w:p>
    <w:p w14:paraId="0000001C" w14:textId="77777777" w:rsidR="00D94538" w:rsidRPr="009E7778" w:rsidRDefault="00D94538">
      <w:pPr>
        <w:rPr>
          <w:rFonts w:asciiTheme="minorBidi" w:hAnsiTheme="minorBidi" w:cstheme="minorBidi"/>
        </w:rPr>
      </w:pPr>
    </w:p>
    <w:p w14:paraId="0000001D" w14:textId="77777777" w:rsidR="00D94538" w:rsidRPr="009E7778" w:rsidRDefault="00C43472">
      <w:pPr>
        <w:rPr>
          <w:rFonts w:asciiTheme="minorBidi" w:eastAsia="Times New Roman" w:hAnsiTheme="minorBidi" w:cstheme="minorBidi"/>
        </w:rPr>
      </w:pPr>
      <w:r w:rsidRPr="009E7778">
        <w:rPr>
          <w:rFonts w:asciiTheme="minorBidi" w:eastAsia="Times New Roman" w:hAnsiTheme="minorBidi" w:cstheme="minorBidi"/>
        </w:rPr>
        <w:t>Old age, which is a phase of life commonly described as the later stage in life, is generally considered to begin at 65 years and above. One of the important demographic factors seen in the UK is that the population is aging. It is noteworthy that the population of the older population in England is gradually increasing. Over the last 40 years, this population aged 50+ years has grown by over 6 million people (ageing-better.org.uk, 2024). Over sixty five years age wise 10 million people are there and they comprise 18% of total population.</w:t>
      </w:r>
    </w:p>
    <w:p w14:paraId="0000001E" w14:textId="77777777" w:rsidR="00D94538" w:rsidRDefault="00D94538">
      <w:pPr>
        <w:rPr>
          <w:rFonts w:asciiTheme="minorBidi" w:eastAsia="Times New Roman" w:hAnsiTheme="minorBidi" w:cstheme="minorBidi"/>
        </w:rPr>
      </w:pPr>
    </w:p>
    <w:p w14:paraId="654B0D80" w14:textId="77777777" w:rsidR="00480615" w:rsidRDefault="00480615">
      <w:pPr>
        <w:rPr>
          <w:rFonts w:asciiTheme="minorBidi" w:eastAsia="Times New Roman" w:hAnsiTheme="minorBidi" w:cstheme="minorBidi"/>
        </w:rPr>
      </w:pPr>
    </w:p>
    <w:p w14:paraId="5D8AD3EA" w14:textId="3FCA1C8B" w:rsidR="00480615" w:rsidRPr="00480615" w:rsidRDefault="00480615" w:rsidP="00480615">
      <w:pPr>
        <w:rPr>
          <w:rFonts w:asciiTheme="minorBidi" w:eastAsia="Times New Roman" w:hAnsiTheme="minorBidi" w:cstheme="minorBidi"/>
        </w:rPr>
      </w:pPr>
      <w:r w:rsidRPr="00480615">
        <w:rPr>
          <w:rFonts w:asciiTheme="minorBidi" w:eastAsia="Times New Roman" w:hAnsiTheme="minorBidi" w:cstheme="minorBidi"/>
        </w:rPr>
        <w:t xml:space="preserve">The standard of living has risen, medical treatments have become more effective, and technologies in treating diseases have improved, hence raising people’s life spans. The UK has experienced a reduced fertility rate for many decades implying that there are few children born per woman and this trend contributes to an increased aging population ratio (Berrington et al., 2021). There is a large generation known as the Baby Boomers born after World War II from 1946 to 1964 because of increased childbirth. This report shall therefore cover the overall old age population and the issues that they are facing based on a specific case study. The report shall include the health and social care needs of the individual, the necessary support and intervention for that individual and the policies and legislations that are useful in helping. “The Care Act 2014 sets out local when accessing people’s care and support needs” (GOV.UK, 2024). This is a set out law of regulation that requires authorities to make sure service user such as John shall be addressed along with appropriate recommendations for his needs without delay or serious impacts to his personal needs. </w:t>
      </w:r>
    </w:p>
    <w:p w14:paraId="00000021" w14:textId="548648A2" w:rsidR="00D94538" w:rsidRPr="009E7778" w:rsidRDefault="00D94538">
      <w:pPr>
        <w:pStyle w:val="Heading1"/>
        <w:rPr>
          <w:rFonts w:asciiTheme="minorBidi" w:hAnsiTheme="minorBidi" w:cstheme="minorBidi"/>
        </w:rPr>
      </w:pPr>
      <w:bookmarkStart w:id="2" w:name="_wo4e7z1zljvw" w:colFirst="0" w:colLast="0"/>
      <w:bookmarkEnd w:id="2"/>
    </w:p>
    <w:p w14:paraId="00000022" w14:textId="0C178398" w:rsidR="00D94538" w:rsidRPr="0064365B" w:rsidRDefault="00424287">
      <w:pPr>
        <w:pStyle w:val="Heading2"/>
        <w:rPr>
          <w:rFonts w:asciiTheme="minorBidi" w:hAnsiTheme="minorBidi" w:cstheme="minorBidi"/>
        </w:rPr>
      </w:pPr>
      <w:bookmarkStart w:id="3" w:name="_2pdqszh3kh71" w:colFirst="0" w:colLast="0"/>
      <w:bookmarkEnd w:id="3"/>
      <w:r w:rsidRPr="0064365B">
        <w:rPr>
          <w:rFonts w:asciiTheme="minorBidi" w:hAnsiTheme="minorBidi" w:cstheme="minorBidi"/>
        </w:rPr>
        <w:t xml:space="preserve">John 80 years </w:t>
      </w:r>
    </w:p>
    <w:p w14:paraId="00000023" w14:textId="71C823B8" w:rsidR="00D94538" w:rsidRPr="009E7778" w:rsidRDefault="00C43472">
      <w:pPr>
        <w:rPr>
          <w:rFonts w:asciiTheme="minorBidi" w:eastAsia="Times New Roman" w:hAnsiTheme="minorBidi" w:cstheme="minorBidi"/>
        </w:rPr>
      </w:pPr>
      <w:r w:rsidRPr="009E7778">
        <w:rPr>
          <w:rFonts w:asciiTheme="minorBidi" w:eastAsia="Times New Roman" w:hAnsiTheme="minorBidi" w:cstheme="minorBidi"/>
        </w:rPr>
        <w:t xml:space="preserve">John is an </w:t>
      </w:r>
      <w:r w:rsidR="00CE5A2D" w:rsidRPr="009E7778">
        <w:rPr>
          <w:rFonts w:asciiTheme="minorBidi" w:eastAsia="Times New Roman" w:hAnsiTheme="minorBidi" w:cstheme="minorBidi"/>
        </w:rPr>
        <w:t>80-year-old</w:t>
      </w:r>
      <w:r w:rsidRPr="009E7778">
        <w:rPr>
          <w:rFonts w:asciiTheme="minorBidi" w:eastAsia="Times New Roman" w:hAnsiTheme="minorBidi" w:cstheme="minorBidi"/>
        </w:rPr>
        <w:t xml:space="preserve"> man from Sunderland who is a widower after his wife passed away recently. He was very lonely with negligible social contact, and he only saw his daughter or granddaughter once in two weeks. He suffered from a severe feeling of grief that forced him to look for bereavement counseling services from St Benedict’s Hospice. However, </w:t>
      </w:r>
      <w:r w:rsidRPr="009E7778">
        <w:rPr>
          <w:rFonts w:asciiTheme="minorBidi" w:eastAsia="Times New Roman" w:hAnsiTheme="minorBidi" w:cstheme="minorBidi"/>
        </w:rPr>
        <w:lastRenderedPageBreak/>
        <w:t>this support did not help much, as John remained lonely and isolated; he barely spoke to people and could go days with no one to communicate with.</w:t>
      </w:r>
    </w:p>
    <w:p w14:paraId="00000024" w14:textId="6A83F5A7" w:rsidR="00D94538" w:rsidRDefault="00D94538">
      <w:pPr>
        <w:rPr>
          <w:rFonts w:asciiTheme="minorBidi" w:eastAsia="Times New Roman" w:hAnsiTheme="minorBidi" w:cstheme="minorBidi"/>
        </w:rPr>
      </w:pPr>
    </w:p>
    <w:p w14:paraId="5424110D" w14:textId="77777777" w:rsidR="00480615" w:rsidRPr="006B1000" w:rsidRDefault="00480615" w:rsidP="00480615">
      <w:pPr>
        <w:rPr>
          <w:rFonts w:asciiTheme="minorBidi" w:eastAsia="Times New Roman" w:hAnsiTheme="minorBidi" w:cstheme="minorBidi"/>
        </w:rPr>
      </w:pPr>
    </w:p>
    <w:p w14:paraId="06AEF239" w14:textId="13C318CE" w:rsidR="00480615" w:rsidRPr="006B1000" w:rsidRDefault="00480615" w:rsidP="00480615">
      <w:pPr>
        <w:rPr>
          <w:rFonts w:asciiTheme="minorBidi" w:eastAsia="Times New Roman" w:hAnsiTheme="minorBidi" w:cstheme="minorBidi"/>
        </w:rPr>
      </w:pPr>
      <w:r w:rsidRPr="006B1000">
        <w:rPr>
          <w:rFonts w:asciiTheme="minorBidi" w:eastAsia="Times New Roman" w:hAnsiTheme="minorBidi" w:cstheme="minorBidi"/>
        </w:rPr>
        <w:t xml:space="preserve">The intervention of domiciliary care support is a required approach of intervention for John’s health. Promoting his independence, emotional wellbeing and tailored personal care ensuring a high level of care and attention to his health. “Most of the care is personal including help with day-to-day activities such as cleaning, washing, dressing and preparing meals” (Wardle, 2024). Domiciliary care optimizes in delivering professional assistance to elderly individuals within their own homes. “Services may involve routine household tasks within or outside the home, personal care of the client and other associated domestic services” (GOV.UK, 2024) There is more privacy and dignity within the domiciliary care which is beneficial for John to feel empowered. </w:t>
      </w:r>
    </w:p>
    <w:p w14:paraId="008F27AA" w14:textId="77777777" w:rsidR="00480615" w:rsidRPr="006B1000" w:rsidRDefault="00480615" w:rsidP="00480615">
      <w:pPr>
        <w:rPr>
          <w:rFonts w:asciiTheme="minorBidi" w:eastAsia="Times New Roman" w:hAnsiTheme="minorBidi" w:cstheme="minorBidi"/>
        </w:rPr>
      </w:pPr>
    </w:p>
    <w:p w14:paraId="0EF145A8" w14:textId="77777777" w:rsidR="00480615" w:rsidRPr="006B1000" w:rsidRDefault="00480615" w:rsidP="00480615">
      <w:pPr>
        <w:rPr>
          <w:rFonts w:asciiTheme="minorBidi" w:eastAsia="Times New Roman" w:hAnsiTheme="minorBidi" w:cstheme="minorBidi"/>
        </w:rPr>
      </w:pPr>
    </w:p>
    <w:p w14:paraId="5909E78B" w14:textId="77D7D01E" w:rsidR="00480615" w:rsidRPr="006B1000" w:rsidRDefault="00480615" w:rsidP="00480615">
      <w:pPr>
        <w:rPr>
          <w:rFonts w:asciiTheme="minorBidi" w:eastAsia="Times New Roman" w:hAnsiTheme="minorBidi" w:cstheme="minorBidi"/>
        </w:rPr>
      </w:pPr>
      <w:r w:rsidRPr="006B1000">
        <w:rPr>
          <w:rFonts w:asciiTheme="minorBidi" w:eastAsia="Times New Roman" w:hAnsiTheme="minorBidi" w:cstheme="minorBidi"/>
        </w:rPr>
        <w:t xml:space="preserve">However, </w:t>
      </w:r>
      <w:proofErr w:type="spellStart"/>
      <w:r w:rsidRPr="006B1000">
        <w:rPr>
          <w:rFonts w:asciiTheme="minorBidi" w:eastAsia="Times New Roman" w:hAnsiTheme="minorBidi" w:cstheme="minorBidi"/>
        </w:rPr>
        <w:t>Mr</w:t>
      </w:r>
      <w:proofErr w:type="spellEnd"/>
      <w:r w:rsidRPr="006B1000">
        <w:rPr>
          <w:rFonts w:asciiTheme="minorBidi" w:eastAsia="Times New Roman" w:hAnsiTheme="minorBidi" w:cstheme="minorBidi"/>
        </w:rPr>
        <w:t xml:space="preserve"> John could potentially experience potential challenges whilst accessing the Domiciliary service such as social isolation with limited interaction with peers and caregivers compared to the residential settings. “Home care can be an isolating experience because the caregiver only visits for limited time, there is a lack of social contact, which can be detrimental to an individual mental </w:t>
      </w:r>
      <w:r w:rsidR="006B1000" w:rsidRPr="006B1000">
        <w:rPr>
          <w:rFonts w:asciiTheme="minorBidi" w:eastAsia="Times New Roman" w:hAnsiTheme="minorBidi" w:cstheme="minorBidi"/>
        </w:rPr>
        <w:t>health” (</w:t>
      </w:r>
      <w:proofErr w:type="spellStart"/>
      <w:r w:rsidR="006B1000" w:rsidRPr="006B1000">
        <w:rPr>
          <w:rFonts w:asciiTheme="minorBidi" w:eastAsia="Times New Roman" w:hAnsiTheme="minorBidi" w:cstheme="minorBidi"/>
        </w:rPr>
        <w:t>Qubixcare</w:t>
      </w:r>
      <w:proofErr w:type="spellEnd"/>
      <w:r w:rsidRPr="006B1000">
        <w:rPr>
          <w:rFonts w:asciiTheme="minorBidi" w:eastAsia="Times New Roman" w:hAnsiTheme="minorBidi" w:cstheme="minorBidi"/>
        </w:rPr>
        <w:t xml:space="preserve">, 2024). The possible result of continuous oversight can sometimes lead to the possibility of missed medication, with the lack of attention and inconsistency level of care towards Johns tailored treatment, which may require the multiple use of services. Home care providers often need to collaborate with various of other healthcare professionals, community </w:t>
      </w:r>
      <w:r w:rsidR="006B1000" w:rsidRPr="006B1000">
        <w:rPr>
          <w:rFonts w:asciiTheme="minorBidi" w:eastAsia="Times New Roman" w:hAnsiTheme="minorBidi" w:cstheme="minorBidi"/>
        </w:rPr>
        <w:t>organizations</w:t>
      </w:r>
      <w:r w:rsidRPr="006B1000">
        <w:rPr>
          <w:rFonts w:asciiTheme="minorBidi" w:eastAsia="Times New Roman" w:hAnsiTheme="minorBidi" w:cstheme="minorBidi"/>
        </w:rPr>
        <w:t xml:space="preserve"> and family members to ensure all care needs are addressed properly” (Wardle,2024). </w:t>
      </w:r>
    </w:p>
    <w:p w14:paraId="6C049699" w14:textId="77777777" w:rsidR="00480615" w:rsidRPr="006B1000" w:rsidRDefault="00480615" w:rsidP="00480615">
      <w:pPr>
        <w:rPr>
          <w:rFonts w:asciiTheme="minorBidi" w:eastAsia="Times New Roman" w:hAnsiTheme="minorBidi" w:cstheme="minorBidi"/>
        </w:rPr>
      </w:pPr>
    </w:p>
    <w:p w14:paraId="07125EAD" w14:textId="77777777" w:rsidR="00480615" w:rsidRDefault="00480615" w:rsidP="00480615"/>
    <w:p w14:paraId="66C6C652" w14:textId="77777777" w:rsidR="00480615" w:rsidRDefault="00480615" w:rsidP="00480615"/>
    <w:p w14:paraId="29C8E4C6" w14:textId="77777777" w:rsidR="00480615" w:rsidRPr="009E7778" w:rsidRDefault="00480615">
      <w:pPr>
        <w:rPr>
          <w:rFonts w:asciiTheme="minorBidi" w:eastAsia="Times New Roman" w:hAnsiTheme="minorBidi" w:cstheme="minorBidi"/>
        </w:rPr>
      </w:pPr>
    </w:p>
    <w:p w14:paraId="00000025" w14:textId="00B68626" w:rsidR="00D94538" w:rsidRDefault="00C43472">
      <w:pPr>
        <w:rPr>
          <w:rFonts w:asciiTheme="minorBidi" w:eastAsia="Times New Roman" w:hAnsiTheme="minorBidi" w:cstheme="minorBidi"/>
        </w:rPr>
      </w:pPr>
      <w:r w:rsidRPr="002E34BF">
        <w:rPr>
          <w:rFonts w:asciiTheme="minorBidi" w:eastAsia="Times New Roman" w:hAnsiTheme="minorBidi" w:cstheme="minorBidi"/>
        </w:rPr>
        <w:lastRenderedPageBreak/>
        <w:t>John told stories of how lonely he was and how he could not stand being home with nothing, and how he yearned to converse. For instance, he used to take the local bus to run errands, simply to be in the presence of other people. He also lost interesting things to talk over daily and felt a marginalization from others, which only worsened his loneliness. John had to reform how to perform routine activities that he used to handle with his wife handling them on his behalf. This only served to amplify feelings of hopelessness and loneliness that he already harbored.</w:t>
      </w:r>
    </w:p>
    <w:p w14:paraId="1748A476" w14:textId="77777777" w:rsidR="00424287" w:rsidRPr="002E34BF" w:rsidRDefault="00424287">
      <w:pPr>
        <w:rPr>
          <w:rFonts w:asciiTheme="minorBidi" w:eastAsia="Times New Roman" w:hAnsiTheme="minorBidi" w:cstheme="minorBidi"/>
        </w:rPr>
      </w:pPr>
    </w:p>
    <w:p w14:paraId="00000029" w14:textId="24E6F6B1" w:rsidR="00D94538" w:rsidRPr="00424287" w:rsidRDefault="00D94538">
      <w:pPr>
        <w:rPr>
          <w:rFonts w:asciiTheme="minorBidi" w:eastAsia="Times New Roman" w:hAnsiTheme="minorBidi" w:cstheme="minorBidi"/>
        </w:rPr>
      </w:pPr>
    </w:p>
    <w:p w14:paraId="6DCCD154" w14:textId="77777777" w:rsidR="00424287" w:rsidRPr="009E7778" w:rsidRDefault="00424287">
      <w:pPr>
        <w:rPr>
          <w:rFonts w:asciiTheme="minorBidi" w:hAnsiTheme="minorBidi" w:cstheme="minorBidi"/>
        </w:rPr>
      </w:pPr>
    </w:p>
    <w:p w14:paraId="0000002A" w14:textId="6D04AE83" w:rsidR="00D94538" w:rsidRPr="009E7778" w:rsidRDefault="00C43472">
      <w:pPr>
        <w:pStyle w:val="Heading2"/>
        <w:rPr>
          <w:rFonts w:asciiTheme="minorBidi" w:hAnsiTheme="minorBidi" w:cstheme="minorBidi"/>
        </w:rPr>
      </w:pPr>
      <w:bookmarkStart w:id="4" w:name="_v0o4syjr0i20" w:colFirst="0" w:colLast="0"/>
      <w:bookmarkEnd w:id="4"/>
      <w:r w:rsidRPr="009E7778">
        <w:rPr>
          <w:rFonts w:asciiTheme="minorBidi" w:hAnsiTheme="minorBidi" w:cstheme="minorBidi"/>
        </w:rPr>
        <w:t>Health and Social Care Need</w:t>
      </w:r>
      <w:r w:rsidR="002E34BF">
        <w:rPr>
          <w:rFonts w:asciiTheme="minorBidi" w:hAnsiTheme="minorBidi" w:cstheme="minorBidi"/>
        </w:rPr>
        <w:t>s</w:t>
      </w:r>
      <w:r w:rsidRPr="009E7778">
        <w:rPr>
          <w:rFonts w:asciiTheme="minorBidi" w:hAnsiTheme="minorBidi" w:cstheme="minorBidi"/>
        </w:rPr>
        <w:t xml:space="preserve"> </w:t>
      </w:r>
    </w:p>
    <w:p w14:paraId="0000002B" w14:textId="60CD84A2" w:rsidR="00D94538" w:rsidRPr="009E7778" w:rsidRDefault="00C43472">
      <w:pPr>
        <w:rPr>
          <w:rFonts w:asciiTheme="minorBidi" w:hAnsiTheme="minorBidi" w:cstheme="minorBidi"/>
        </w:rPr>
      </w:pPr>
      <w:r w:rsidRPr="009E7778">
        <w:rPr>
          <w:rFonts w:asciiTheme="minorBidi" w:hAnsiTheme="minorBidi" w:cstheme="minorBidi"/>
        </w:rPr>
        <w:t>John, an 80-year-old widower from Sunderland, has diverse health and social care necessities that require multifaceted management. Regarding the medical aspect, John’s age is a high-risk facet for considerable diseases intrinsic in elderly patients like hypertension, arthritis, and diabetes. It is just prudent to always ensure that he is in a very healthy condition by often undergoing physical checkups (</w:t>
      </w:r>
      <w:r w:rsidRPr="009E7778">
        <w:rPr>
          <w:rFonts w:asciiTheme="minorBidi" w:hAnsiTheme="minorBidi" w:cstheme="minorBidi"/>
          <w:color w:val="222222"/>
          <w:highlight w:val="white"/>
        </w:rPr>
        <w:t xml:space="preserve">Davis </w:t>
      </w:r>
      <w:r w:rsidRPr="009E7778">
        <w:rPr>
          <w:rFonts w:asciiTheme="minorBidi" w:hAnsiTheme="minorBidi" w:cstheme="minorBidi"/>
          <w:i/>
          <w:color w:val="222222"/>
          <w:highlight w:val="white"/>
        </w:rPr>
        <w:t>et al.,</w:t>
      </w:r>
      <w:r w:rsidRPr="009E7778">
        <w:rPr>
          <w:rFonts w:asciiTheme="minorBidi" w:hAnsiTheme="minorBidi" w:cstheme="minorBidi"/>
          <w:color w:val="222222"/>
          <w:highlight w:val="white"/>
        </w:rPr>
        <w:t xml:space="preserve"> 2020)</w:t>
      </w:r>
      <w:r w:rsidRPr="009E7778">
        <w:rPr>
          <w:rFonts w:asciiTheme="minorBidi" w:hAnsiTheme="minorBidi" w:cstheme="minorBidi"/>
        </w:rPr>
        <w:t xml:space="preserve">. Further, he is lately a grieving husband, and a </w:t>
      </w:r>
      <w:r w:rsidR="000E43F1" w:rsidRPr="009E7778">
        <w:rPr>
          <w:rFonts w:asciiTheme="minorBidi" w:hAnsiTheme="minorBidi" w:cstheme="minorBidi"/>
        </w:rPr>
        <w:t>recent diagnostic show</w:t>
      </w:r>
      <w:r w:rsidRPr="009E7778">
        <w:rPr>
          <w:rFonts w:asciiTheme="minorBidi" w:hAnsiTheme="minorBidi" w:cstheme="minorBidi"/>
        </w:rPr>
        <w:t xml:space="preserve"> that there is a present state of emotional disturbance confirmed by a recent bereavement, thus suggesting that he needs to seek bereavement support and possibly counseling after losing his wife. His medical care </w:t>
      </w:r>
      <w:r w:rsidR="00CE5A2D" w:rsidRPr="009E7778">
        <w:rPr>
          <w:rFonts w:asciiTheme="minorBidi" w:hAnsiTheme="minorBidi" w:cstheme="minorBidi"/>
        </w:rPr>
        <w:t>commissive</w:t>
      </w:r>
      <w:r w:rsidRPr="009E7778">
        <w:rPr>
          <w:rFonts w:asciiTheme="minorBidi" w:hAnsiTheme="minorBidi" w:cstheme="minorBidi"/>
        </w:rPr>
        <w:t xml:space="preserve"> not only the treatment of the chronic diseases he has but also the prevention of all related problems from arising in a health care approach to his age and conditions.</w:t>
      </w:r>
    </w:p>
    <w:p w14:paraId="0000002C" w14:textId="77777777" w:rsidR="00D94538" w:rsidRPr="009E7778" w:rsidRDefault="00C43472">
      <w:pPr>
        <w:rPr>
          <w:rFonts w:asciiTheme="minorBidi" w:hAnsiTheme="minorBidi" w:cstheme="minorBidi"/>
        </w:rPr>
      </w:pPr>
      <w:r w:rsidRPr="009E7778">
        <w:rPr>
          <w:rFonts w:asciiTheme="minorBidi" w:hAnsiTheme="minorBidi" w:cstheme="minorBidi"/>
        </w:rPr>
        <w:t>Secondly, the case of John raises diagnosable mental conditions, which are mainly anchored on loneliness and the inability to establish social relations. John has been lonely after losing his wife, and his interactions are not only rare but occasional visits from his daughter and his granddaughter. Social isolation often worsens with age and can result in negative psychological effects such as depression or anxiety, and deteriorate the quality of mental health (</w:t>
      </w:r>
      <w:r w:rsidRPr="009E7778">
        <w:rPr>
          <w:rFonts w:asciiTheme="minorBidi" w:hAnsiTheme="minorBidi" w:cstheme="minorBidi"/>
          <w:color w:val="222222"/>
          <w:highlight w:val="white"/>
        </w:rPr>
        <w:t>Andreucci, Russo, and Olszewska-Guizzo, 2019)</w:t>
      </w:r>
      <w:r w:rsidRPr="009E7778">
        <w:rPr>
          <w:rFonts w:asciiTheme="minorBidi" w:hAnsiTheme="minorBidi" w:cstheme="minorBidi"/>
        </w:rPr>
        <w:t xml:space="preserve">. There needs to be social interaction activities perhaps through other supports such as community participation and services to avoid loneliness or lack of company. However, activities like </w:t>
      </w:r>
      <w:r w:rsidRPr="009E7778">
        <w:rPr>
          <w:rFonts w:asciiTheme="minorBidi" w:hAnsiTheme="minorBidi" w:cstheme="minorBidi"/>
        </w:rPr>
        <w:lastRenderedPageBreak/>
        <w:t>cognitive behavior therapy or group counseling for solitary living would be useful to help John handle his feelings and enable him to go through life on his own.</w:t>
      </w:r>
    </w:p>
    <w:p w14:paraId="0000002D" w14:textId="77777777" w:rsidR="00D94538" w:rsidRPr="009E7778" w:rsidRDefault="00C43472">
      <w:pPr>
        <w:rPr>
          <w:rFonts w:asciiTheme="minorBidi" w:hAnsiTheme="minorBidi" w:cstheme="minorBidi"/>
        </w:rPr>
      </w:pPr>
      <w:r w:rsidRPr="009E7778">
        <w:rPr>
          <w:rFonts w:asciiTheme="minorBidi" w:hAnsiTheme="minorBidi" w:cstheme="minorBidi"/>
        </w:rPr>
        <w:t>Besides exhibiting symptoms of depression, John has other personal needs that include self-care needs where one requires someone to help them with activities of daily living as well as emotional help. He has whined about how he struggles to cope with tasks that he performed together with his wife which hints at a potential need for help in the areas of cleaning, cooking, and even possibly moving around the house. Assuming the personal care of John encompasses not only their physical requirements but also their socioemotional well-being, it is necessary to create a supportive and validating environment where the treated individual receives adequate amounts of affection and feels included (</w:t>
      </w:r>
      <w:r w:rsidRPr="009E7778">
        <w:rPr>
          <w:rFonts w:asciiTheme="minorBidi" w:hAnsiTheme="minorBidi" w:cstheme="minorBidi"/>
          <w:color w:val="222222"/>
          <w:highlight w:val="white"/>
        </w:rPr>
        <w:t>Şahin, Özer, and Yanardağ, 2019)</w:t>
      </w:r>
      <w:r w:rsidRPr="009E7778">
        <w:rPr>
          <w:rFonts w:asciiTheme="minorBidi" w:hAnsiTheme="minorBidi" w:cstheme="minorBidi"/>
        </w:rPr>
        <w:t>. For instance, it may entail supporting him to participate in activities that he loves, as well as making sure that he obtains services that enhance his standard of living. Further, the care should be individualized to consider his choice, self-ability, and skills, with suitable assistance being offered to him to address and meet his needs to enhance his quality of life.</w:t>
      </w:r>
    </w:p>
    <w:p w14:paraId="0000002E" w14:textId="184F0A72" w:rsidR="00D94538" w:rsidRPr="006B1000" w:rsidRDefault="00C43472">
      <w:pPr>
        <w:rPr>
          <w:rFonts w:asciiTheme="minorBidi" w:hAnsiTheme="minorBidi" w:cstheme="minorBidi"/>
          <w:color w:val="222222"/>
          <w:highlight w:val="white"/>
        </w:rPr>
      </w:pPr>
      <w:r w:rsidRPr="009E7778">
        <w:rPr>
          <w:rFonts w:asciiTheme="minorBidi" w:hAnsiTheme="minorBidi" w:cstheme="minorBidi"/>
        </w:rPr>
        <w:t xml:space="preserve">Therefore, it can be seen that in John’s case, his health and social care needs are diverse and complex and they include medical care, mental health, and personal needs. If community organizations and healthcare providers seeking to support such aging patients focus on enhanced health promotion, self-care management, supportive care, and </w:t>
      </w:r>
      <w:r w:rsidRPr="006B1000">
        <w:rPr>
          <w:rFonts w:asciiTheme="minorBidi" w:hAnsiTheme="minorBidi" w:cstheme="minorBidi"/>
        </w:rPr>
        <w:t>patient-centered interventions (</w:t>
      </w:r>
      <w:r w:rsidRPr="009E7778">
        <w:rPr>
          <w:rFonts w:asciiTheme="minorBidi" w:hAnsiTheme="minorBidi" w:cstheme="minorBidi"/>
          <w:color w:val="222222"/>
          <w:highlight w:val="white"/>
        </w:rPr>
        <w:t>Brooke and Clark, 2020)</w:t>
      </w:r>
      <w:r w:rsidRPr="009E7778">
        <w:rPr>
          <w:rFonts w:asciiTheme="minorBidi" w:hAnsiTheme="minorBidi" w:cstheme="minorBidi"/>
        </w:rPr>
        <w:t>, then John and other patients in the later phases of life can lead optimum lives.</w:t>
      </w:r>
      <w:r w:rsidR="006B1000" w:rsidRPr="006B1000">
        <w:t xml:space="preserve"> </w:t>
      </w:r>
      <w:r w:rsidR="006B1000" w:rsidRPr="006B1000">
        <w:rPr>
          <w:rFonts w:asciiTheme="minorBidi" w:hAnsiTheme="minorBidi" w:cstheme="minorBidi"/>
          <w:color w:val="222222"/>
          <w:highlight w:val="white"/>
        </w:rPr>
        <w:t xml:space="preserve">The Person-centered care is described as a care which is responsive to an individual needs, values, circumstances, and preferences. The definition of ‘treating patients as individuals and equal partners in the business of healing’ (Coulter and Oldham, 2016). The principles </w:t>
      </w:r>
      <w:r w:rsidR="006B1000">
        <w:rPr>
          <w:rFonts w:asciiTheme="minorBidi" w:hAnsiTheme="minorBidi" w:cstheme="minorBidi"/>
          <w:color w:val="222222"/>
          <w:highlight w:val="white"/>
        </w:rPr>
        <w:t>are</w:t>
      </w:r>
      <w:r w:rsidR="006B1000" w:rsidRPr="006B1000">
        <w:rPr>
          <w:rFonts w:asciiTheme="minorBidi" w:hAnsiTheme="minorBidi" w:cstheme="minorBidi"/>
          <w:color w:val="222222"/>
          <w:highlight w:val="white"/>
        </w:rPr>
        <w:t xml:space="preserve"> described as the approach of focusing on person centered care which is achieved about a patient’s needs rather than needs of service. “Person- centered approaches underpins existing dementia, learning disabilities, mental health and end of life care core skills frameworks” (NHS, 2023).</w:t>
      </w:r>
      <w:r w:rsidRPr="009E7778">
        <w:rPr>
          <w:rFonts w:asciiTheme="minorBidi" w:hAnsiTheme="minorBidi" w:cstheme="minorBidi"/>
        </w:rPr>
        <w:t xml:space="preserve"> The staff of social services, healthcare professionals, and John’s support system must consider their respective roles in developing and implementing a care plan that meets John’s current and emerging needs while preserving his inherent value, purpose, and relationships within his life.</w:t>
      </w:r>
    </w:p>
    <w:p w14:paraId="0000002F" w14:textId="77777777" w:rsidR="00D94538" w:rsidRPr="009E7778" w:rsidRDefault="00D94538">
      <w:pPr>
        <w:rPr>
          <w:rFonts w:asciiTheme="minorBidi" w:hAnsiTheme="minorBidi" w:cstheme="minorBidi"/>
        </w:rPr>
      </w:pPr>
    </w:p>
    <w:p w14:paraId="00000030" w14:textId="77777777" w:rsidR="00D94538" w:rsidRPr="009E7778" w:rsidRDefault="00C43472">
      <w:pPr>
        <w:pStyle w:val="Heading2"/>
        <w:rPr>
          <w:rFonts w:asciiTheme="minorBidi" w:hAnsiTheme="minorBidi" w:cstheme="minorBidi"/>
        </w:rPr>
      </w:pPr>
      <w:bookmarkStart w:id="5" w:name="_1cabb1u5zuhp" w:colFirst="0" w:colLast="0"/>
      <w:bookmarkEnd w:id="5"/>
      <w:r w:rsidRPr="009E7778">
        <w:rPr>
          <w:rFonts w:asciiTheme="minorBidi" w:hAnsiTheme="minorBidi" w:cstheme="minorBidi"/>
        </w:rPr>
        <w:t>Relevant Support and Intervention</w:t>
      </w:r>
    </w:p>
    <w:p w14:paraId="00000031" w14:textId="77777777" w:rsidR="00D94538" w:rsidRPr="009E7778" w:rsidRDefault="00C43472">
      <w:pPr>
        <w:rPr>
          <w:rFonts w:asciiTheme="minorBidi" w:hAnsiTheme="minorBidi" w:cstheme="minorBidi"/>
        </w:rPr>
      </w:pPr>
      <w:r w:rsidRPr="009E7778">
        <w:rPr>
          <w:rFonts w:asciiTheme="minorBidi" w:hAnsiTheme="minorBidi" w:cstheme="minorBidi"/>
        </w:rPr>
        <w:t>John, an 80-year-old widower from Sunderland, presented with numerous multi-factorial health and social care needs and therefore receives an extensive range of care. Domiciliary care would be required by John. Since his wife died he is challenged even with simple things like washing dishes or preparing food. Domiciliary care workers would be able to help him with these things, making sure that the living space in his own home is safe and clean but allowing him to do as much for himself as possible (</w:t>
      </w:r>
      <w:r w:rsidRPr="009E7778">
        <w:rPr>
          <w:rFonts w:asciiTheme="minorBidi" w:hAnsiTheme="minorBidi" w:cstheme="minorBidi"/>
          <w:color w:val="222222"/>
          <w:highlight w:val="white"/>
        </w:rPr>
        <w:t>Gardiner</w:t>
      </w:r>
      <w:r w:rsidRPr="009E7778">
        <w:rPr>
          <w:rFonts w:asciiTheme="minorBidi" w:hAnsiTheme="minorBidi" w:cstheme="minorBidi"/>
          <w:i/>
          <w:color w:val="222222"/>
          <w:highlight w:val="white"/>
        </w:rPr>
        <w:t xml:space="preserve"> et al.,</w:t>
      </w:r>
      <w:r w:rsidRPr="009E7778">
        <w:rPr>
          <w:rFonts w:asciiTheme="minorBidi" w:hAnsiTheme="minorBidi" w:cstheme="minorBidi"/>
          <w:color w:val="222222"/>
          <w:highlight w:val="white"/>
        </w:rPr>
        <w:t xml:space="preserve"> 2020)</w:t>
      </w:r>
      <w:r w:rsidRPr="009E7778">
        <w:rPr>
          <w:rFonts w:asciiTheme="minorBidi" w:hAnsiTheme="minorBidi" w:cstheme="minorBidi"/>
        </w:rPr>
        <w:t>. These are important in ensuring that John remains as independent and comfortable as possible at home. Apart from domiciliary care John may require nursing care. Considering his age, he still needs constant health check-ups and proper management of his chronic illnesses. Nursing professionals would be able to coordinate and monitor health and well-being, dispense medication, or treat any illness that may occur. Such care would assist in preventing complications and ensure that John’s healthcare needs are managed holistically, to his benefit.</w:t>
      </w:r>
    </w:p>
    <w:p w14:paraId="00000032" w14:textId="77777777" w:rsidR="00D94538" w:rsidRPr="009E7778" w:rsidRDefault="00D94538">
      <w:pPr>
        <w:rPr>
          <w:rFonts w:asciiTheme="minorBidi" w:hAnsiTheme="minorBidi" w:cstheme="minorBidi"/>
        </w:rPr>
      </w:pPr>
    </w:p>
    <w:p w14:paraId="00000033" w14:textId="77777777" w:rsidR="00D94538" w:rsidRPr="009E7778" w:rsidRDefault="00C43472">
      <w:pPr>
        <w:rPr>
          <w:rFonts w:asciiTheme="minorBidi" w:hAnsiTheme="minorBidi" w:cstheme="minorBidi"/>
        </w:rPr>
      </w:pPr>
      <w:r w:rsidRPr="009E7778">
        <w:rPr>
          <w:rFonts w:asciiTheme="minorBidi" w:hAnsiTheme="minorBidi" w:cstheme="minorBidi"/>
        </w:rPr>
        <w:t>Furthermore, John would find solace and relief in getting support from healthcare practitioners and organizations from the third-party sector. It is about counseling and therapy sessions that could help John come to terms with his bereavement since his spouse has passed on. Other charities or non-profit organizations, such as Age UK Sunderland, could provide social interactions and companionship, which would help John alleviate loneliness and prevent his situation from worsening. Another factor that would be relevant in the care of John is advocacy. A supporter could help to make sure that John could express himself in decisions concerning his care, choices, and liberties (</w:t>
      </w:r>
      <w:r w:rsidRPr="009E7778">
        <w:rPr>
          <w:rFonts w:asciiTheme="minorBidi" w:hAnsiTheme="minorBidi" w:cstheme="minorBidi"/>
          <w:color w:val="222222"/>
          <w:highlight w:val="white"/>
        </w:rPr>
        <w:t xml:space="preserve">Emerson </w:t>
      </w:r>
      <w:r w:rsidRPr="009E7778">
        <w:rPr>
          <w:rFonts w:asciiTheme="minorBidi" w:hAnsiTheme="minorBidi" w:cstheme="minorBidi"/>
          <w:i/>
          <w:color w:val="222222"/>
          <w:highlight w:val="white"/>
        </w:rPr>
        <w:t xml:space="preserve">et al., </w:t>
      </w:r>
      <w:r w:rsidRPr="009E7778">
        <w:rPr>
          <w:rFonts w:asciiTheme="minorBidi" w:hAnsiTheme="minorBidi" w:cstheme="minorBidi"/>
          <w:color w:val="222222"/>
          <w:highlight w:val="white"/>
        </w:rPr>
        <w:t>2021)</w:t>
      </w:r>
      <w:r w:rsidRPr="009E7778">
        <w:rPr>
          <w:rFonts w:asciiTheme="minorBidi" w:hAnsiTheme="minorBidi" w:cstheme="minorBidi"/>
        </w:rPr>
        <w:t>. Professionals who have access to proper healthcare systems can alleviate concerns, and get the right services that suit the individual needs of John. This advocacy would enable John to control his fate and be in a position to make the right decisions regarding his fate.</w:t>
      </w:r>
    </w:p>
    <w:p w14:paraId="00000034" w14:textId="77777777" w:rsidR="00D94538" w:rsidRPr="009E7778" w:rsidRDefault="00C43472">
      <w:pPr>
        <w:rPr>
          <w:rFonts w:asciiTheme="minorBidi" w:hAnsiTheme="minorBidi" w:cstheme="minorBidi"/>
        </w:rPr>
      </w:pPr>
      <w:r w:rsidRPr="009E7778">
        <w:rPr>
          <w:rFonts w:asciiTheme="minorBidi" w:hAnsiTheme="minorBidi" w:cstheme="minorBidi"/>
        </w:rPr>
        <w:t xml:space="preserve">Nevertheless, despite the prominent requirement for this assistance, there are substantial gaps between John's requirements and the availability of H+SC or health and social care assistance. In many provinces in the UK, including Sunderland, there are obstacles such </w:t>
      </w:r>
      <w:r w:rsidRPr="009E7778">
        <w:rPr>
          <w:rFonts w:asciiTheme="minorBidi" w:hAnsiTheme="minorBidi" w:cstheme="minorBidi"/>
        </w:rPr>
        <w:lastRenderedPageBreak/>
        <w:t>as deficits in nursing and domiciliary care teams, prolonged waiting lists for assistance, and budget limitations concerning the requirement and condition of mental health aid as well as social actions (</w:t>
      </w:r>
      <w:r w:rsidRPr="009E7778">
        <w:rPr>
          <w:rFonts w:asciiTheme="minorBidi" w:hAnsiTheme="minorBidi" w:cstheme="minorBidi"/>
          <w:color w:val="222222"/>
          <w:highlight w:val="white"/>
        </w:rPr>
        <w:t>McNamara</w:t>
      </w:r>
      <w:r w:rsidRPr="009E7778">
        <w:rPr>
          <w:rFonts w:asciiTheme="minorBidi" w:hAnsiTheme="minorBidi" w:cstheme="minorBidi"/>
          <w:i/>
          <w:color w:val="222222"/>
          <w:highlight w:val="white"/>
        </w:rPr>
        <w:t xml:space="preserve"> et al.,</w:t>
      </w:r>
      <w:r w:rsidRPr="009E7778">
        <w:rPr>
          <w:rFonts w:asciiTheme="minorBidi" w:hAnsiTheme="minorBidi" w:cstheme="minorBidi"/>
          <w:color w:val="222222"/>
          <w:highlight w:val="white"/>
        </w:rPr>
        <w:t xml:space="preserve"> 2021)</w:t>
      </w:r>
      <w:r w:rsidRPr="009E7778">
        <w:rPr>
          <w:rFonts w:asciiTheme="minorBidi" w:hAnsiTheme="minorBidi" w:cstheme="minorBidi"/>
        </w:rPr>
        <w:t>.</w:t>
      </w:r>
    </w:p>
    <w:p w14:paraId="00000035" w14:textId="77777777" w:rsidR="00D94538" w:rsidRPr="009E7778" w:rsidRDefault="00C43472">
      <w:pPr>
        <w:rPr>
          <w:rFonts w:asciiTheme="minorBidi" w:hAnsiTheme="minorBidi" w:cstheme="minorBidi"/>
        </w:rPr>
      </w:pPr>
      <w:r w:rsidRPr="009E7778">
        <w:rPr>
          <w:rFonts w:asciiTheme="minorBidi" w:hAnsiTheme="minorBidi" w:cstheme="minorBidi"/>
        </w:rPr>
        <w:t>Glancing to the future, as people age and the need for care for the aged people rises, these gaps are conceivable to broaden without acceptable planning and acquisition in health as well as social care plans. Managing these obstacles and gaps mandates visionary benchmarks, including the development of the workforce, enhanced integration of social and health care assistance, and enriched collaboration between charities, advocacy groups, and healthcare providers (</w:t>
      </w:r>
      <w:r w:rsidRPr="009E7778">
        <w:rPr>
          <w:rFonts w:asciiTheme="minorBidi" w:hAnsiTheme="minorBidi" w:cstheme="minorBidi"/>
          <w:color w:val="222222"/>
          <w:highlight w:val="white"/>
        </w:rPr>
        <w:t>Czaja, Moxley, and Rogers, 2021)</w:t>
      </w:r>
      <w:r w:rsidRPr="009E7778">
        <w:rPr>
          <w:rFonts w:asciiTheme="minorBidi" w:hAnsiTheme="minorBidi" w:cstheme="minorBidi"/>
        </w:rPr>
        <w:t xml:space="preserve">. Likewise, enriching the accessibility as well as the availability of person-centered health and social care concerns facilitates holistic practices that prioritize personal requirements and choices. This includes promoting alliances between healthcare providers, community associations, and local leaders to construct a corroborating network for elderly people like John. By bridging the gaps between available and needed services, people can confirm that John obtained the comprehensive aid necessary to live with satisfaction, freedom, and optimal quality of life. </w:t>
      </w:r>
    </w:p>
    <w:p w14:paraId="00000036" w14:textId="77777777" w:rsidR="00D94538" w:rsidRPr="009E7778" w:rsidRDefault="00D94538">
      <w:pPr>
        <w:rPr>
          <w:rFonts w:asciiTheme="minorBidi" w:hAnsiTheme="minorBidi" w:cstheme="minorBidi"/>
        </w:rPr>
      </w:pPr>
    </w:p>
    <w:p w14:paraId="00000037" w14:textId="77777777" w:rsidR="00D94538" w:rsidRPr="009E7778" w:rsidRDefault="00C43472">
      <w:pPr>
        <w:pStyle w:val="Heading2"/>
        <w:rPr>
          <w:rFonts w:asciiTheme="minorBidi" w:hAnsiTheme="minorBidi" w:cstheme="minorBidi"/>
        </w:rPr>
      </w:pPr>
      <w:bookmarkStart w:id="6" w:name="_e77oerejwlg4" w:colFirst="0" w:colLast="0"/>
      <w:bookmarkEnd w:id="6"/>
      <w:r w:rsidRPr="009E7778">
        <w:rPr>
          <w:rFonts w:asciiTheme="minorBidi" w:hAnsiTheme="minorBidi" w:cstheme="minorBidi"/>
        </w:rPr>
        <w:t xml:space="preserve">Policy and Legislation  </w:t>
      </w:r>
    </w:p>
    <w:p w14:paraId="00000038" w14:textId="77777777" w:rsidR="00D94538" w:rsidRPr="009E7778" w:rsidRDefault="00C43472">
      <w:pPr>
        <w:pStyle w:val="Heading3"/>
        <w:rPr>
          <w:rFonts w:asciiTheme="minorBidi" w:hAnsiTheme="minorBidi" w:cstheme="minorBidi"/>
        </w:rPr>
      </w:pPr>
      <w:bookmarkStart w:id="7" w:name="_cejbn9etskdg" w:colFirst="0" w:colLast="0"/>
      <w:bookmarkEnd w:id="7"/>
      <w:r w:rsidRPr="009E7778">
        <w:rPr>
          <w:rFonts w:asciiTheme="minorBidi" w:hAnsiTheme="minorBidi" w:cstheme="minorBidi"/>
        </w:rPr>
        <w:t xml:space="preserve">Care Act 2014 </w:t>
      </w:r>
    </w:p>
    <w:p w14:paraId="00000039" w14:textId="77777777" w:rsidR="00D94538" w:rsidRPr="009E7778" w:rsidRDefault="00C43472">
      <w:pPr>
        <w:rPr>
          <w:rFonts w:asciiTheme="minorBidi" w:hAnsiTheme="minorBidi" w:cstheme="minorBidi"/>
        </w:rPr>
      </w:pPr>
      <w:r w:rsidRPr="009E7778">
        <w:rPr>
          <w:rFonts w:asciiTheme="minorBidi" w:hAnsiTheme="minorBidi" w:cstheme="minorBidi"/>
        </w:rPr>
        <w:t xml:space="preserve">The most relevant legislation in fulfilling the needs of this population group is the Care Act of 2014 in connection with the provision of H+SC services. It spells out the aspects of a right approach to well-being to include personal dignity, physical and mental health, emotional well-being, freedom from abuse and neglect, having control over the daily life activities, work, education, training, recreation, social and economic well-being and domestic, family, and person’s relationships (Brimblecombe </w:t>
      </w:r>
      <w:r w:rsidRPr="009E7778">
        <w:rPr>
          <w:rFonts w:asciiTheme="minorBidi" w:hAnsiTheme="minorBidi" w:cstheme="minorBidi"/>
          <w:i/>
        </w:rPr>
        <w:t>et al.,</w:t>
      </w:r>
      <w:r w:rsidRPr="009E7778">
        <w:rPr>
          <w:rFonts w:asciiTheme="minorBidi" w:hAnsiTheme="minorBidi" w:cstheme="minorBidi"/>
        </w:rPr>
        <w:t xml:space="preserve"> 2020). In the case of John, the care act puts into consideration the following needs which breaks the general need into a more comprehensive one: It requires local authorities to offer such service that helps avoid a decline in health and increased dependency, and this is an area where a man like John who experienced loneliness and isolation after the death of his wife would be assisted. </w:t>
      </w:r>
    </w:p>
    <w:p w14:paraId="0000003A" w14:textId="77777777" w:rsidR="00D94538" w:rsidRPr="009E7778" w:rsidRDefault="00D94538">
      <w:pPr>
        <w:rPr>
          <w:rFonts w:asciiTheme="minorBidi" w:eastAsia="Times New Roman" w:hAnsiTheme="minorBidi" w:cstheme="minorBidi"/>
          <w:color w:val="222222"/>
          <w:highlight w:val="white"/>
        </w:rPr>
      </w:pPr>
    </w:p>
    <w:p w14:paraId="0000003C" w14:textId="77777777" w:rsidR="00D94538" w:rsidRPr="009E7778" w:rsidRDefault="00C43472">
      <w:pPr>
        <w:pStyle w:val="Heading3"/>
        <w:rPr>
          <w:rFonts w:asciiTheme="minorBidi" w:hAnsiTheme="minorBidi" w:cstheme="minorBidi"/>
        </w:rPr>
      </w:pPr>
      <w:bookmarkStart w:id="8" w:name="_udkwtrimjtbt" w:colFirst="0" w:colLast="0"/>
      <w:bookmarkEnd w:id="8"/>
      <w:r w:rsidRPr="009E7778">
        <w:rPr>
          <w:rFonts w:asciiTheme="minorBidi" w:hAnsiTheme="minorBidi" w:cstheme="minorBidi"/>
        </w:rPr>
        <w:lastRenderedPageBreak/>
        <w:t xml:space="preserve">Other Relevant Policies </w:t>
      </w:r>
    </w:p>
    <w:p w14:paraId="0000003D" w14:textId="77777777" w:rsidR="00D94538" w:rsidRDefault="00C43472">
      <w:pPr>
        <w:rPr>
          <w:rFonts w:asciiTheme="minorBidi" w:hAnsiTheme="minorBidi" w:cstheme="minorBidi"/>
        </w:rPr>
      </w:pPr>
      <w:r w:rsidRPr="009E7778">
        <w:rPr>
          <w:rFonts w:asciiTheme="minorBidi" w:hAnsiTheme="minorBidi" w:cstheme="minorBidi"/>
        </w:rPr>
        <w:t>The UK government has also created diverse policies that concern the aging population in order to improve the quality of life and the care that older persons receive. For example, the National Health Service (NHS) Long Term Plan for the future provides that community hospitals should be developed, as the focus is made on both the primary and secondary prevention in elderly patients with chronic diseases (</w:t>
      </w:r>
      <w:r w:rsidRPr="009E7778">
        <w:rPr>
          <w:rFonts w:asciiTheme="minorBidi" w:eastAsia="Times New Roman" w:hAnsiTheme="minorBidi" w:cstheme="minorBidi"/>
          <w:color w:val="222222"/>
          <w:highlight w:val="white"/>
        </w:rPr>
        <w:t xml:space="preserve">McKee </w:t>
      </w:r>
      <w:r w:rsidRPr="009E7778">
        <w:rPr>
          <w:rFonts w:asciiTheme="minorBidi" w:eastAsia="Times New Roman" w:hAnsiTheme="minorBidi" w:cstheme="minorBidi"/>
          <w:i/>
          <w:color w:val="222222"/>
          <w:highlight w:val="white"/>
        </w:rPr>
        <w:t>et al.,</w:t>
      </w:r>
      <w:r w:rsidRPr="009E7778">
        <w:rPr>
          <w:rFonts w:asciiTheme="minorBidi" w:eastAsia="Times New Roman" w:hAnsiTheme="minorBidi" w:cstheme="minorBidi"/>
          <w:color w:val="222222"/>
          <w:highlight w:val="white"/>
        </w:rPr>
        <w:t xml:space="preserve"> 2021</w:t>
      </w:r>
      <w:r w:rsidRPr="009E7778">
        <w:rPr>
          <w:rFonts w:asciiTheme="minorBidi" w:hAnsiTheme="minorBidi" w:cstheme="minorBidi"/>
        </w:rPr>
        <w:t xml:space="preserve">). This policy is very useful for John as it allows only John guided by his physician to actively </w:t>
      </w:r>
      <w:proofErr w:type="gramStart"/>
      <w:r w:rsidRPr="009E7778">
        <w:rPr>
          <w:rFonts w:asciiTheme="minorBidi" w:hAnsiTheme="minorBidi" w:cstheme="minorBidi"/>
        </w:rPr>
        <w:t>seek for</w:t>
      </w:r>
      <w:proofErr w:type="gramEnd"/>
      <w:r w:rsidRPr="009E7778">
        <w:rPr>
          <w:rFonts w:asciiTheme="minorBidi" w:hAnsiTheme="minorBidi" w:cstheme="minorBidi"/>
        </w:rPr>
        <w:t xml:space="preserve"> health care check-ups and timely disease control </w:t>
      </w:r>
      <w:proofErr w:type="gramStart"/>
      <w:r w:rsidRPr="009E7778">
        <w:rPr>
          <w:rFonts w:asciiTheme="minorBidi" w:hAnsiTheme="minorBidi" w:cstheme="minorBidi"/>
        </w:rPr>
        <w:t>so as to</w:t>
      </w:r>
      <w:proofErr w:type="gramEnd"/>
      <w:r w:rsidRPr="009E7778">
        <w:rPr>
          <w:rFonts w:asciiTheme="minorBidi" w:hAnsiTheme="minorBidi" w:cstheme="minorBidi"/>
        </w:rPr>
        <w:t xml:space="preserve"> avoid complications. </w:t>
      </w:r>
    </w:p>
    <w:p w14:paraId="0A982E4D" w14:textId="77777777" w:rsidR="006B1000" w:rsidRPr="009E7778" w:rsidRDefault="006B1000">
      <w:pPr>
        <w:rPr>
          <w:rFonts w:asciiTheme="minorBidi" w:hAnsiTheme="minorBidi" w:cstheme="minorBidi"/>
        </w:rPr>
      </w:pPr>
    </w:p>
    <w:p w14:paraId="0000003E" w14:textId="77777777" w:rsidR="00D94538" w:rsidRPr="009E7778" w:rsidRDefault="00C43472">
      <w:pPr>
        <w:pStyle w:val="Heading3"/>
        <w:rPr>
          <w:rFonts w:asciiTheme="minorBidi" w:hAnsiTheme="minorBidi" w:cstheme="minorBidi"/>
        </w:rPr>
      </w:pPr>
      <w:bookmarkStart w:id="9" w:name="_pqtn2arko88r" w:colFirst="0" w:colLast="0"/>
      <w:bookmarkEnd w:id="9"/>
      <w:r w:rsidRPr="009E7778">
        <w:rPr>
          <w:rFonts w:asciiTheme="minorBidi" w:hAnsiTheme="minorBidi" w:cstheme="minorBidi"/>
        </w:rPr>
        <w:t xml:space="preserve">Mental Health Legislation </w:t>
      </w:r>
    </w:p>
    <w:p w14:paraId="4EA0B9BF" w14:textId="0251EB97" w:rsidR="006B1000" w:rsidRDefault="00C43472" w:rsidP="006B1000">
      <w:pPr>
        <w:rPr>
          <w:rFonts w:asciiTheme="minorBidi" w:hAnsiTheme="minorBidi" w:cstheme="minorBidi"/>
        </w:rPr>
      </w:pPr>
      <w:r w:rsidRPr="009E7778">
        <w:rPr>
          <w:rFonts w:asciiTheme="minorBidi" w:hAnsiTheme="minorBidi" w:cstheme="minorBidi"/>
        </w:rPr>
        <w:t>Mental health is the other area of concern when it comes to the welfare of aging people. Mental health care in England is governed by Mental Health Act 1983 the amendment of which was made in 2007 (</w:t>
      </w:r>
      <w:r w:rsidRPr="009E7778">
        <w:rPr>
          <w:rFonts w:asciiTheme="minorBidi" w:eastAsia="Times New Roman" w:hAnsiTheme="minorBidi" w:cstheme="minorBidi"/>
          <w:color w:val="222222"/>
          <w:highlight w:val="white"/>
        </w:rPr>
        <w:t xml:space="preserve">Sugiura </w:t>
      </w:r>
      <w:r w:rsidRPr="009E7778">
        <w:rPr>
          <w:rFonts w:asciiTheme="minorBidi" w:eastAsia="Times New Roman" w:hAnsiTheme="minorBidi" w:cstheme="minorBidi"/>
          <w:i/>
          <w:color w:val="222222"/>
          <w:highlight w:val="white"/>
        </w:rPr>
        <w:t>et al.,</w:t>
      </w:r>
      <w:r w:rsidRPr="009E7778">
        <w:rPr>
          <w:rFonts w:asciiTheme="minorBidi" w:eastAsia="Times New Roman" w:hAnsiTheme="minorBidi" w:cstheme="minorBidi"/>
          <w:color w:val="222222"/>
          <w:highlight w:val="white"/>
        </w:rPr>
        <w:t xml:space="preserve"> 2020</w:t>
      </w:r>
      <w:r w:rsidRPr="009E7778">
        <w:rPr>
          <w:rFonts w:asciiTheme="minorBidi" w:hAnsiTheme="minorBidi" w:cstheme="minorBidi"/>
        </w:rPr>
        <w:t>). This legislation checks that older people like John who might develop compounded depression and anxiety due to social isolation and bereavement receive the right mental health care they deserve. Another possibility offered by the Act are treatments including categorical-behavioral therapy and group counseling, which will ultimately assist John medically to attend to his nervousness, besides offering him a platform to receive help medically for his nervousness as he undergoes group counseling</w:t>
      </w:r>
      <w:r w:rsidR="006B1000">
        <w:rPr>
          <w:rFonts w:asciiTheme="minorBidi" w:hAnsiTheme="minorBidi" w:cstheme="minorBidi"/>
        </w:rPr>
        <w:t xml:space="preserve">.  </w:t>
      </w:r>
      <w:r w:rsidR="006B1000" w:rsidRPr="006B1000">
        <w:rPr>
          <w:rFonts w:asciiTheme="minorBidi" w:hAnsiTheme="minorBidi" w:cstheme="minorBidi"/>
        </w:rPr>
        <w:t xml:space="preserve">The Mental Health Act 1983, is the main piece of legislation that covers the assessment, treatment, and rights of people with mental health disorder (NHS, 2024) </w:t>
      </w:r>
    </w:p>
    <w:p w14:paraId="05A1B796" w14:textId="77777777" w:rsidR="006B1000" w:rsidRPr="006B1000" w:rsidRDefault="006B1000" w:rsidP="006B1000">
      <w:pPr>
        <w:rPr>
          <w:rFonts w:asciiTheme="minorBidi" w:hAnsiTheme="minorBidi" w:cstheme="minorBidi"/>
        </w:rPr>
      </w:pPr>
    </w:p>
    <w:p w14:paraId="00000040" w14:textId="0702B57F" w:rsidR="00D94538" w:rsidRPr="009E7778" w:rsidRDefault="00C43472">
      <w:pPr>
        <w:rPr>
          <w:rFonts w:asciiTheme="minorBidi" w:hAnsiTheme="minorBidi" w:cstheme="minorBidi"/>
          <w:b/>
        </w:rPr>
      </w:pPr>
      <w:r w:rsidRPr="009E7778">
        <w:rPr>
          <w:rFonts w:asciiTheme="minorBidi" w:hAnsiTheme="minorBidi" w:cstheme="minorBidi"/>
          <w:b/>
        </w:rPr>
        <w:t xml:space="preserve">Gaps and Challenges </w:t>
      </w:r>
    </w:p>
    <w:p w14:paraId="26A5AD28" w14:textId="2E67550A" w:rsidR="0064365B" w:rsidRPr="0064365B" w:rsidRDefault="0064365B" w:rsidP="0064365B">
      <w:pPr>
        <w:rPr>
          <w:rFonts w:asciiTheme="minorBidi" w:hAnsiTheme="minorBidi" w:cstheme="minorBidi"/>
        </w:rPr>
      </w:pPr>
      <w:r w:rsidRPr="0064365B">
        <w:rPr>
          <w:rFonts w:asciiTheme="minorBidi" w:hAnsiTheme="minorBidi" w:cstheme="minorBidi"/>
        </w:rPr>
        <w:t>However, the existing literature reveals that there are loopholes and constraints in the delivery of H+SC services. These policies are still limited by budget factors, shortage of staff, and long waiting list to work on the plan, among others. “Health and social care are facing unprecedented challenge, shrinking budgets especially for adult social care (GOV.UK, 2024);</w:t>
      </w:r>
      <w:r>
        <w:rPr>
          <w:rFonts w:asciiTheme="minorBidi" w:hAnsiTheme="minorBidi" w:cstheme="minorBidi"/>
        </w:rPr>
        <w:t xml:space="preserve"> for</w:t>
      </w:r>
      <w:r w:rsidRPr="0064365B">
        <w:rPr>
          <w:rFonts w:asciiTheme="minorBidi" w:hAnsiTheme="minorBidi" w:cstheme="minorBidi"/>
        </w:rPr>
        <w:t xml:space="preserve"> instance, there could be a shortage of funds to provide domiciliary care and nursing care hence limiting the amount of care that is provided to John. Furthermore, the model of joined up working of health and social care services, realized in accordance with the Care Act, can have organizational difficulties, which lead to the </w:t>
      </w:r>
      <w:r w:rsidRPr="0064365B">
        <w:rPr>
          <w:rFonts w:asciiTheme="minorBidi" w:hAnsiTheme="minorBidi" w:cstheme="minorBidi"/>
        </w:rPr>
        <w:lastRenderedPageBreak/>
        <w:t xml:space="preserve">fragmentation of the care affected organizations. “The care Act 2014 is the law that sets out how adult social care England should be provided” (CQC, 2022). </w:t>
      </w:r>
    </w:p>
    <w:p w14:paraId="171EECD7" w14:textId="77777777" w:rsidR="0064365B" w:rsidRDefault="0064365B" w:rsidP="0064365B"/>
    <w:p w14:paraId="00000043" w14:textId="77777777" w:rsidR="00D94538" w:rsidRPr="009E7778" w:rsidRDefault="00C43472">
      <w:pPr>
        <w:rPr>
          <w:rFonts w:asciiTheme="minorBidi" w:hAnsiTheme="minorBidi" w:cstheme="minorBidi"/>
          <w:b/>
        </w:rPr>
      </w:pPr>
      <w:r w:rsidRPr="009E7778">
        <w:rPr>
          <w:rFonts w:asciiTheme="minorBidi" w:hAnsiTheme="minorBidi" w:cstheme="minorBidi"/>
          <w:b/>
        </w:rPr>
        <w:t xml:space="preserve"> Future Directions </w:t>
      </w:r>
    </w:p>
    <w:p w14:paraId="00000044" w14:textId="77777777" w:rsidR="00D94538" w:rsidRPr="009E7778" w:rsidRDefault="00C43472">
      <w:pPr>
        <w:rPr>
          <w:rFonts w:asciiTheme="minorBidi" w:hAnsiTheme="minorBidi" w:cstheme="minorBidi"/>
        </w:rPr>
      </w:pPr>
      <w:r w:rsidRPr="009E7778">
        <w:rPr>
          <w:rFonts w:asciiTheme="minorBidi" w:hAnsiTheme="minorBidi" w:cstheme="minorBidi"/>
        </w:rPr>
        <w:t xml:space="preserve"> In order for the UK government to close these gaps it has to boost the workforce, improve care integration with the health care services and cooperation with charities and advocacy groups (</w:t>
      </w:r>
      <w:r w:rsidRPr="009E7778">
        <w:rPr>
          <w:rFonts w:asciiTheme="minorBidi" w:eastAsia="Times New Roman" w:hAnsiTheme="minorBidi" w:cstheme="minorBidi"/>
          <w:color w:val="222222"/>
          <w:highlight w:val="white"/>
        </w:rPr>
        <w:t xml:space="preserve">Alderwick </w:t>
      </w:r>
      <w:r w:rsidRPr="009E7778">
        <w:rPr>
          <w:rFonts w:asciiTheme="minorBidi" w:eastAsia="Times New Roman" w:hAnsiTheme="minorBidi" w:cstheme="minorBidi"/>
          <w:i/>
          <w:color w:val="222222"/>
          <w:highlight w:val="white"/>
        </w:rPr>
        <w:t>et al.,</w:t>
      </w:r>
      <w:r w:rsidRPr="009E7778">
        <w:rPr>
          <w:rFonts w:asciiTheme="minorBidi" w:eastAsia="Times New Roman" w:hAnsiTheme="minorBidi" w:cstheme="minorBidi"/>
          <w:color w:val="222222"/>
          <w:highlight w:val="white"/>
        </w:rPr>
        <w:t xml:space="preserve"> 2021</w:t>
      </w:r>
      <w:r w:rsidRPr="009E7778">
        <w:rPr>
          <w:rFonts w:asciiTheme="minorBidi" w:hAnsiTheme="minorBidi" w:cstheme="minorBidi"/>
        </w:rPr>
        <w:t>). This will help in achieving a more efficient health care management system thus capable of providing for the complication needs of the elderly such as John. Policies should also emphasize on improving care that is centered on the person, support for community living, and technology assists in care delivery.</w:t>
      </w:r>
    </w:p>
    <w:p w14:paraId="00000045" w14:textId="77777777" w:rsidR="00D94538" w:rsidRPr="009E7778" w:rsidRDefault="00C43472">
      <w:pPr>
        <w:pStyle w:val="Heading2"/>
        <w:rPr>
          <w:rFonts w:asciiTheme="minorBidi" w:hAnsiTheme="minorBidi" w:cstheme="minorBidi"/>
        </w:rPr>
      </w:pPr>
      <w:bookmarkStart w:id="10" w:name="_w0pr7xre13v4" w:colFirst="0" w:colLast="0"/>
      <w:bookmarkEnd w:id="10"/>
      <w:r w:rsidRPr="009E7778">
        <w:rPr>
          <w:rFonts w:asciiTheme="minorBidi" w:hAnsiTheme="minorBidi" w:cstheme="minorBidi"/>
        </w:rPr>
        <w:t xml:space="preserve">Theories </w:t>
      </w:r>
    </w:p>
    <w:p w14:paraId="00000046" w14:textId="5AB4D671" w:rsidR="00D94538" w:rsidRDefault="008F6716">
      <w:pPr>
        <w:rPr>
          <w:rFonts w:asciiTheme="minorBidi" w:hAnsiTheme="minorBidi" w:cstheme="minorBidi"/>
        </w:rPr>
      </w:pPr>
      <w:r w:rsidRPr="008F6716">
        <w:rPr>
          <w:rFonts w:asciiTheme="minorBidi" w:hAnsiTheme="minorBidi" w:cstheme="minorBidi"/>
        </w:rPr>
        <w:t xml:space="preserve">In </w:t>
      </w:r>
      <w:r w:rsidR="00C43472" w:rsidRPr="008F6716">
        <w:rPr>
          <w:rFonts w:asciiTheme="minorBidi" w:hAnsiTheme="minorBidi" w:cstheme="minorBidi"/>
        </w:rPr>
        <w:t>John’s case using different sociological theories of aging enhances the reader’s insight</w:t>
      </w:r>
      <w:r w:rsidRPr="008F6716">
        <w:rPr>
          <w:rFonts w:asciiTheme="minorBidi" w:hAnsiTheme="minorBidi" w:cstheme="minorBidi"/>
        </w:rPr>
        <w:t xml:space="preserve"> by analyzing and looking into</w:t>
      </w:r>
      <w:r w:rsidR="00C43472" w:rsidRPr="008F6716">
        <w:rPr>
          <w:rFonts w:asciiTheme="minorBidi" w:hAnsiTheme="minorBidi" w:cstheme="minorBidi"/>
        </w:rPr>
        <w:t xml:space="preserve"> his conditions t</w:t>
      </w:r>
      <w:r w:rsidRPr="008F6716">
        <w:rPr>
          <w:rFonts w:asciiTheme="minorBidi" w:hAnsiTheme="minorBidi" w:cstheme="minorBidi"/>
        </w:rPr>
        <w:t>owards his healthcare ways management.</w:t>
      </w:r>
      <w:r>
        <w:rPr>
          <w:rFonts w:asciiTheme="minorBidi" w:hAnsiTheme="minorBidi" w:cstheme="minorBidi"/>
        </w:rPr>
        <w:t xml:space="preserve"> </w:t>
      </w:r>
    </w:p>
    <w:p w14:paraId="47FD8438" w14:textId="77777777" w:rsidR="008F6716" w:rsidRPr="009E7778" w:rsidRDefault="008F6716">
      <w:pPr>
        <w:rPr>
          <w:rFonts w:asciiTheme="minorBidi" w:hAnsiTheme="minorBidi" w:cstheme="minorBidi"/>
        </w:rPr>
      </w:pPr>
    </w:p>
    <w:p w14:paraId="00000047" w14:textId="77777777" w:rsidR="00D94538" w:rsidRPr="009E7778" w:rsidRDefault="00C43472">
      <w:pPr>
        <w:pStyle w:val="Heading3"/>
        <w:rPr>
          <w:rFonts w:asciiTheme="minorBidi" w:hAnsiTheme="minorBidi" w:cstheme="minorBidi"/>
        </w:rPr>
      </w:pPr>
      <w:bookmarkStart w:id="11" w:name="_7pk7q5z2izd1" w:colFirst="0" w:colLast="0"/>
      <w:bookmarkEnd w:id="11"/>
      <w:r w:rsidRPr="009E7778">
        <w:rPr>
          <w:rFonts w:asciiTheme="minorBidi" w:hAnsiTheme="minorBidi" w:cstheme="minorBidi"/>
        </w:rPr>
        <w:t xml:space="preserve"> Disengagement Theory </w:t>
      </w:r>
    </w:p>
    <w:p w14:paraId="00000048" w14:textId="77777777" w:rsidR="00D94538" w:rsidRDefault="00C43472">
      <w:pPr>
        <w:rPr>
          <w:rFonts w:asciiTheme="minorBidi" w:hAnsiTheme="minorBidi" w:cstheme="minorBidi"/>
        </w:rPr>
      </w:pPr>
      <w:r w:rsidRPr="009E7778">
        <w:rPr>
          <w:rFonts w:asciiTheme="minorBidi" w:hAnsiTheme="minorBidi" w:cstheme="minorBidi"/>
        </w:rPr>
        <w:t xml:space="preserve">According to </w:t>
      </w:r>
      <w:r w:rsidRPr="009E7778">
        <w:rPr>
          <w:rFonts w:asciiTheme="minorBidi" w:eastAsia="Times New Roman" w:hAnsiTheme="minorBidi" w:cstheme="minorBidi"/>
          <w:color w:val="222222"/>
          <w:highlight w:val="white"/>
        </w:rPr>
        <w:t>Gonot-Schoupinsky, Garip, and Sheffield, (2022) t</w:t>
      </w:r>
      <w:r w:rsidRPr="009E7778">
        <w:rPr>
          <w:rFonts w:asciiTheme="minorBidi" w:hAnsiTheme="minorBidi" w:cstheme="minorBidi"/>
        </w:rPr>
        <w:t xml:space="preserve">his theory tends to explain that aging is characterized by the running out of phases and the retirement implies the disengagement as society as well as individuals draws away from each other. Thus, according to this theory, John’s condition at the first stage after the death of his wife can be explained. He kept to himself and was very limited in his contact with people and went days without seeing anyone or talking to anyone except for occasional visits from his daughter and granddaughter. His society, as part of the theory’s mutual aspect, might equally have abandoned him. This disengagement often results in loneliness and feeling of lack of purposeful living like in the state John was described in. </w:t>
      </w:r>
    </w:p>
    <w:p w14:paraId="50500AFB" w14:textId="77777777" w:rsidR="000E43F1" w:rsidRPr="009E7778" w:rsidRDefault="000E43F1">
      <w:pPr>
        <w:rPr>
          <w:rFonts w:asciiTheme="minorBidi" w:hAnsiTheme="minorBidi" w:cstheme="minorBidi"/>
        </w:rPr>
      </w:pPr>
    </w:p>
    <w:p w14:paraId="00000049" w14:textId="77777777" w:rsidR="00D94538" w:rsidRPr="009E7778" w:rsidRDefault="00C43472">
      <w:pPr>
        <w:pStyle w:val="Heading3"/>
        <w:rPr>
          <w:rFonts w:asciiTheme="minorBidi" w:hAnsiTheme="minorBidi" w:cstheme="minorBidi"/>
        </w:rPr>
      </w:pPr>
      <w:bookmarkStart w:id="12" w:name="_6ru8fzq87h0i" w:colFirst="0" w:colLast="0"/>
      <w:bookmarkEnd w:id="12"/>
      <w:r w:rsidRPr="009E7778">
        <w:rPr>
          <w:rFonts w:asciiTheme="minorBidi" w:hAnsiTheme="minorBidi" w:cstheme="minorBidi"/>
        </w:rPr>
        <w:t xml:space="preserve"> Activity Theory </w:t>
      </w:r>
    </w:p>
    <w:p w14:paraId="0000004A" w14:textId="2E07C080" w:rsidR="00D94538" w:rsidRDefault="00C43472">
      <w:pPr>
        <w:rPr>
          <w:rFonts w:asciiTheme="minorBidi" w:hAnsiTheme="minorBidi" w:cstheme="minorBidi"/>
        </w:rPr>
      </w:pPr>
      <w:r w:rsidRPr="009E7778">
        <w:rPr>
          <w:rFonts w:asciiTheme="minorBidi" w:hAnsiTheme="minorBidi" w:cstheme="minorBidi"/>
        </w:rPr>
        <w:t xml:space="preserve">On the other hand, </w:t>
      </w:r>
      <w:r w:rsidRPr="009E7778">
        <w:rPr>
          <w:rFonts w:asciiTheme="minorBidi" w:eastAsia="Times New Roman" w:hAnsiTheme="minorBidi" w:cstheme="minorBidi"/>
          <w:color w:val="222222"/>
          <w:highlight w:val="white"/>
        </w:rPr>
        <w:t xml:space="preserve">Engeström and Sannino (2021) noted </w:t>
      </w:r>
      <w:r w:rsidRPr="009E7778">
        <w:rPr>
          <w:rFonts w:asciiTheme="minorBidi" w:hAnsiTheme="minorBidi" w:cstheme="minorBidi"/>
        </w:rPr>
        <w:t>the activity theory postulates that purposeful involvement in activities enhances the levels of life satisfaction and overall quality of life as per the senior citizens. Such a theory is evidenced by the changes for</w:t>
      </w:r>
      <w:r w:rsidR="000E43F1">
        <w:rPr>
          <w:rFonts w:asciiTheme="minorBidi" w:hAnsiTheme="minorBidi" w:cstheme="minorBidi"/>
        </w:rPr>
        <w:t xml:space="preserve"> lifestyle improvement towards Mr. </w:t>
      </w:r>
      <w:r w:rsidR="008F6716">
        <w:rPr>
          <w:rFonts w:asciiTheme="minorBidi" w:hAnsiTheme="minorBidi" w:cstheme="minorBidi"/>
        </w:rPr>
        <w:t xml:space="preserve">John’s </w:t>
      </w:r>
      <w:r w:rsidR="000E43F1">
        <w:rPr>
          <w:rFonts w:asciiTheme="minorBidi" w:hAnsiTheme="minorBidi" w:cstheme="minorBidi"/>
        </w:rPr>
        <w:t xml:space="preserve">health. </w:t>
      </w:r>
      <w:r w:rsidRPr="009E7778">
        <w:rPr>
          <w:rFonts w:asciiTheme="minorBidi" w:hAnsiTheme="minorBidi" w:cstheme="minorBidi"/>
        </w:rPr>
        <w:t xml:space="preserve">The services offered by Age UK of engagement in social activities, weekly calls, and several group </w:t>
      </w:r>
      <w:r w:rsidR="000E43F1" w:rsidRPr="009E7778">
        <w:rPr>
          <w:rFonts w:asciiTheme="minorBidi" w:hAnsiTheme="minorBidi" w:cstheme="minorBidi"/>
        </w:rPr>
        <w:t>participations</w:t>
      </w:r>
      <w:r w:rsidRPr="009E7778">
        <w:rPr>
          <w:rFonts w:asciiTheme="minorBidi" w:hAnsiTheme="minorBidi" w:cstheme="minorBidi"/>
        </w:rPr>
        <w:t xml:space="preserve"> have </w:t>
      </w:r>
      <w:r w:rsidRPr="009E7778">
        <w:rPr>
          <w:rFonts w:asciiTheme="minorBidi" w:hAnsiTheme="minorBidi" w:cstheme="minorBidi"/>
        </w:rPr>
        <w:lastRenderedPageBreak/>
        <w:t xml:space="preserve">helped John be mentally, physically, </w:t>
      </w:r>
      <w:r w:rsidR="000E43F1" w:rsidRPr="009E7778">
        <w:rPr>
          <w:rFonts w:asciiTheme="minorBidi" w:hAnsiTheme="minorBidi" w:cstheme="minorBidi"/>
        </w:rPr>
        <w:t>socially,</w:t>
      </w:r>
      <w:r w:rsidRPr="009E7778">
        <w:rPr>
          <w:rFonts w:asciiTheme="minorBidi" w:hAnsiTheme="minorBidi" w:cstheme="minorBidi"/>
        </w:rPr>
        <w:t xml:space="preserve"> and emotionally active. These activities have also rendered a positive effect on his mood, decreased feelings of loneliness and have increased his quality of life, thus emphasizing the fact that, activity for older people is crucial to healthy living.</w:t>
      </w:r>
    </w:p>
    <w:p w14:paraId="0AF4C7D2" w14:textId="77777777" w:rsidR="000B700F" w:rsidRPr="009E7778" w:rsidRDefault="000B700F">
      <w:pPr>
        <w:rPr>
          <w:rFonts w:asciiTheme="minorBidi" w:hAnsiTheme="minorBidi" w:cstheme="minorBidi"/>
        </w:rPr>
      </w:pPr>
    </w:p>
    <w:p w14:paraId="0000004B" w14:textId="77777777" w:rsidR="00D94538" w:rsidRPr="009E7778" w:rsidRDefault="00C43472">
      <w:pPr>
        <w:pStyle w:val="Heading3"/>
        <w:rPr>
          <w:rFonts w:asciiTheme="minorBidi" w:hAnsiTheme="minorBidi" w:cstheme="minorBidi"/>
        </w:rPr>
      </w:pPr>
      <w:bookmarkStart w:id="13" w:name="_guhdlpw7ey7u" w:colFirst="0" w:colLast="0"/>
      <w:bookmarkEnd w:id="13"/>
      <w:r w:rsidRPr="009E7778">
        <w:rPr>
          <w:rFonts w:asciiTheme="minorBidi" w:hAnsiTheme="minorBidi" w:cstheme="minorBidi"/>
        </w:rPr>
        <w:t xml:space="preserve">Continuity Theory </w:t>
      </w:r>
    </w:p>
    <w:p w14:paraId="085A31A1" w14:textId="072E9BA6" w:rsidR="0064365B" w:rsidRDefault="00C43472">
      <w:pPr>
        <w:rPr>
          <w:rFonts w:asciiTheme="minorBidi" w:hAnsiTheme="minorBidi" w:cstheme="minorBidi"/>
        </w:rPr>
      </w:pPr>
      <w:r w:rsidRPr="009E7778">
        <w:rPr>
          <w:rFonts w:asciiTheme="minorBidi" w:hAnsiTheme="minorBidi" w:cstheme="minorBidi"/>
        </w:rPr>
        <w:t xml:space="preserve"> The continuity theory presupposes that elders’ practices, actions, and relations remain rather steady and unchanging all their life (</w:t>
      </w:r>
      <w:r w:rsidRPr="009E7778">
        <w:rPr>
          <w:rFonts w:asciiTheme="minorBidi" w:eastAsia="Times New Roman" w:hAnsiTheme="minorBidi" w:cstheme="minorBidi"/>
          <w:color w:val="222222"/>
          <w:highlight w:val="white"/>
        </w:rPr>
        <w:t xml:space="preserve">Baker </w:t>
      </w:r>
      <w:r w:rsidRPr="009E7778">
        <w:rPr>
          <w:rFonts w:asciiTheme="minorBidi" w:eastAsia="Times New Roman" w:hAnsiTheme="minorBidi" w:cstheme="minorBidi"/>
          <w:i/>
          <w:color w:val="222222"/>
          <w:highlight w:val="white"/>
        </w:rPr>
        <w:t>et al.,</w:t>
      </w:r>
      <w:r w:rsidRPr="009E7778">
        <w:rPr>
          <w:rFonts w:asciiTheme="minorBidi" w:eastAsia="Times New Roman" w:hAnsiTheme="minorBidi" w:cstheme="minorBidi"/>
          <w:color w:val="222222"/>
          <w:highlight w:val="white"/>
        </w:rPr>
        <w:t xml:space="preserve"> 2020</w:t>
      </w:r>
      <w:r w:rsidRPr="009E7778">
        <w:rPr>
          <w:rFonts w:asciiTheme="minorBidi" w:hAnsiTheme="minorBidi" w:cstheme="minorBidi"/>
        </w:rPr>
        <w:t xml:space="preserve">). Therefore, for John, the ability to carry on with social activities that are similar to those he enjoyed in the earlier part of his life, including joining other community groups, and making new friends, represents the content theory. It is also important for the staff’s emotional well-being that there is such continuity, which contributes to the creation of a stable environment </w:t>
      </w:r>
      <w:proofErr w:type="gramStart"/>
      <w:r w:rsidRPr="009E7778">
        <w:rPr>
          <w:rFonts w:asciiTheme="minorBidi" w:hAnsiTheme="minorBidi" w:cstheme="minorBidi"/>
        </w:rPr>
        <w:t>in order to</w:t>
      </w:r>
      <w:proofErr w:type="gramEnd"/>
      <w:r w:rsidRPr="009E7778">
        <w:rPr>
          <w:rFonts w:asciiTheme="minorBidi" w:hAnsiTheme="minorBidi" w:cstheme="minorBidi"/>
        </w:rPr>
        <w:t xml:space="preserve"> form the institution’s identity. </w:t>
      </w:r>
    </w:p>
    <w:p w14:paraId="1618CEEC" w14:textId="77777777" w:rsidR="000E43F1" w:rsidRPr="009E7778" w:rsidRDefault="000E43F1">
      <w:pPr>
        <w:rPr>
          <w:rFonts w:asciiTheme="minorBidi" w:hAnsiTheme="minorBidi" w:cstheme="minorBidi"/>
        </w:rPr>
      </w:pPr>
    </w:p>
    <w:p w14:paraId="3B9EC128" w14:textId="2215DE96" w:rsidR="0064365B" w:rsidRPr="0064365B" w:rsidRDefault="00C43472" w:rsidP="0064365B">
      <w:pPr>
        <w:pStyle w:val="Heading3"/>
        <w:rPr>
          <w:rFonts w:asciiTheme="minorBidi" w:hAnsiTheme="minorBidi" w:cstheme="minorBidi"/>
        </w:rPr>
      </w:pPr>
      <w:bookmarkStart w:id="14" w:name="_i3ktmilef2p4" w:colFirst="0" w:colLast="0"/>
      <w:bookmarkEnd w:id="14"/>
      <w:r w:rsidRPr="009E7778">
        <w:rPr>
          <w:rFonts w:asciiTheme="minorBidi" w:hAnsiTheme="minorBidi" w:cstheme="minorBidi"/>
        </w:rPr>
        <w:t xml:space="preserve"> Maslow’s Hierarchy of Needs </w:t>
      </w:r>
    </w:p>
    <w:p w14:paraId="3D421A07" w14:textId="77777777" w:rsidR="0064365B" w:rsidRDefault="0064365B" w:rsidP="0064365B">
      <w:pPr>
        <w:rPr>
          <w:rFonts w:asciiTheme="minorBidi" w:hAnsiTheme="minorBidi" w:cstheme="minorBidi"/>
        </w:rPr>
      </w:pPr>
      <w:r w:rsidRPr="0064365B">
        <w:rPr>
          <w:rFonts w:asciiTheme="minorBidi" w:hAnsiTheme="minorBidi" w:cstheme="minorBidi"/>
        </w:rPr>
        <w:t>The Maslow Hierarchy of Needs theory motivates and encourage the individual needs of psychological, safety, love and belonging, esteem and self- actualization by fostering the five-stage model in promoting the satisfaction of needs development of growth. “The purpose of Maslow hierarchy of needs is to provide a framework for understanding human motivation and behavior” (Cherry, 2017).</w:t>
      </w:r>
    </w:p>
    <w:p w14:paraId="0AF1373C" w14:textId="3F0EB9B9" w:rsidR="000E43F1" w:rsidRDefault="0064365B">
      <w:pPr>
        <w:rPr>
          <w:rFonts w:asciiTheme="minorBidi" w:hAnsiTheme="minorBidi" w:cstheme="minorBidi"/>
        </w:rPr>
      </w:pPr>
      <w:r w:rsidRPr="0064365B">
        <w:rPr>
          <w:rFonts w:asciiTheme="minorBidi" w:hAnsiTheme="minorBidi" w:cstheme="minorBidi"/>
        </w:rPr>
        <w:t xml:space="preserve"> The use of provision of human motivation is fulfilling the basic physiological needs that can motivate John to become more confident and empowered. Therefore, it is recommended to apply the Maslow’s hierarchy of needs to understand John’s condition. Even during the old age, their needs postulated by Maslow, from the physiological, safety, love and belongingness, esteem, and self-actualization needs are not void (Hayre-Kwan et al., 2021).  As for the second level, John’s need for physiological and safety was met, though he had no belonging, love or esteem needs due to his solitary nature. </w:t>
      </w:r>
    </w:p>
    <w:p w14:paraId="636F6C4F" w14:textId="77777777" w:rsidR="000B700F" w:rsidRPr="000E43F1" w:rsidRDefault="000B700F">
      <w:pPr>
        <w:rPr>
          <w:rFonts w:asciiTheme="minorBidi" w:hAnsiTheme="minorBidi" w:cstheme="minorBidi"/>
          <w:highlight w:val="yellow"/>
        </w:rPr>
      </w:pPr>
    </w:p>
    <w:p w14:paraId="0000004F" w14:textId="77777777" w:rsidR="00D94538" w:rsidRPr="009E7778" w:rsidRDefault="00C43472">
      <w:pPr>
        <w:pStyle w:val="Heading1"/>
        <w:rPr>
          <w:rFonts w:asciiTheme="minorBidi" w:hAnsiTheme="minorBidi" w:cstheme="minorBidi"/>
        </w:rPr>
      </w:pPr>
      <w:bookmarkStart w:id="15" w:name="_wc68lxz0hy4z" w:colFirst="0" w:colLast="0"/>
      <w:bookmarkEnd w:id="15"/>
      <w:r w:rsidRPr="009E7778">
        <w:rPr>
          <w:rFonts w:asciiTheme="minorBidi" w:hAnsiTheme="minorBidi" w:cstheme="minorBidi"/>
        </w:rPr>
        <w:t xml:space="preserve">Conclusion </w:t>
      </w:r>
    </w:p>
    <w:p w14:paraId="00000050" w14:textId="77777777" w:rsidR="00D94538" w:rsidRPr="009E7778" w:rsidRDefault="00C43472">
      <w:pPr>
        <w:rPr>
          <w:rFonts w:asciiTheme="minorBidi" w:hAnsiTheme="minorBidi" w:cstheme="minorBidi"/>
        </w:rPr>
      </w:pPr>
      <w:r w:rsidRPr="009E7778">
        <w:rPr>
          <w:rFonts w:asciiTheme="minorBidi" w:hAnsiTheme="minorBidi" w:cstheme="minorBidi"/>
        </w:rPr>
        <w:t xml:space="preserve">From those aspects, one can conclude that highly personalized health and social care interventions, based on the theories of aging such as disengagement, activity, and </w:t>
      </w:r>
      <w:r w:rsidRPr="009E7778">
        <w:rPr>
          <w:rFonts w:asciiTheme="minorBidi" w:hAnsiTheme="minorBidi" w:cstheme="minorBidi"/>
        </w:rPr>
        <w:lastRenderedPageBreak/>
        <w:t xml:space="preserve">continuity give a strong influence on elderly people’s wellbeing. It is evident in John’s case that more engagement, support, and facilitation from members of the community in conjunction with Care Act 2014 policies are instrumental in addressing loneliness and improving the patients’ quality of life. It is very important to identify and complete a person's requirements related to physical, mental, and social domains in order to support becoming self-sufficient and develop life satisfaction at an older age. </w:t>
      </w:r>
    </w:p>
    <w:p w14:paraId="00000051" w14:textId="77777777" w:rsidR="00D94538" w:rsidRPr="009E7778" w:rsidRDefault="00C43472">
      <w:pPr>
        <w:pStyle w:val="Heading1"/>
        <w:rPr>
          <w:rFonts w:asciiTheme="minorBidi" w:hAnsiTheme="minorBidi" w:cstheme="minorBidi"/>
        </w:rPr>
      </w:pPr>
      <w:bookmarkStart w:id="16" w:name="_laeandlo44bs" w:colFirst="0" w:colLast="0"/>
      <w:bookmarkEnd w:id="16"/>
      <w:r w:rsidRPr="009E7778">
        <w:rPr>
          <w:rFonts w:asciiTheme="minorBidi" w:hAnsiTheme="minorBidi" w:cstheme="minorBidi"/>
        </w:rPr>
        <w:t>Recommendations</w:t>
      </w:r>
    </w:p>
    <w:p w14:paraId="00000052" w14:textId="77777777" w:rsidR="00D94538" w:rsidRPr="009E7778" w:rsidRDefault="00C43472">
      <w:pPr>
        <w:rPr>
          <w:rFonts w:asciiTheme="minorBidi" w:hAnsiTheme="minorBidi" w:cstheme="minorBidi"/>
        </w:rPr>
      </w:pPr>
      <w:r w:rsidRPr="009E7778">
        <w:rPr>
          <w:rFonts w:asciiTheme="minorBidi" w:hAnsiTheme="minorBidi" w:cstheme="minorBidi"/>
        </w:rPr>
        <w:t xml:space="preserve"> For John’s future, the primary care service that is combined with health and social care services should remain available to him. Thus, increasing funding and staffing, better cooperation and collaboration between the providers, and a broader offer of community services could facilitate the optimal care of the patient. Challenges that might affect its achievement are; lack of enough funds, inadequate manpower, and complex administrative procedures. Potential solutions are the training and development of the healthcare workforce, the improvement in the administrative processes of the healthcare centers, and the implementation of more favorable funding models. Additionally, promoting the development of collaboration between the government, non-profit organizations and members of the local community will allow for increase of the efficiency and effectiveness of service delivery, the aims at which, John and other individuals will be provided with appropriate and timely service.</w:t>
      </w:r>
    </w:p>
    <w:p w14:paraId="00000053" w14:textId="77777777" w:rsidR="00D94538" w:rsidRPr="009E7778" w:rsidRDefault="00D94538">
      <w:pPr>
        <w:rPr>
          <w:rFonts w:asciiTheme="minorBidi" w:hAnsiTheme="minorBidi" w:cstheme="minorBidi"/>
        </w:rPr>
      </w:pPr>
    </w:p>
    <w:p w14:paraId="00000054" w14:textId="77777777" w:rsidR="00D94538" w:rsidRPr="009E7778" w:rsidRDefault="00C43472">
      <w:pPr>
        <w:pStyle w:val="Heading1"/>
        <w:rPr>
          <w:rFonts w:asciiTheme="minorBidi" w:hAnsiTheme="minorBidi" w:cstheme="minorBidi"/>
        </w:rPr>
      </w:pPr>
      <w:bookmarkStart w:id="17" w:name="_p088dyyeoaid" w:colFirst="0" w:colLast="0"/>
      <w:bookmarkEnd w:id="17"/>
      <w:r w:rsidRPr="009E7778">
        <w:rPr>
          <w:rFonts w:asciiTheme="minorBidi" w:hAnsiTheme="minorBidi" w:cstheme="minorBidi"/>
        </w:rPr>
        <w:br w:type="page"/>
      </w:r>
    </w:p>
    <w:p w14:paraId="00000055" w14:textId="19D9B7BA" w:rsidR="00D94538" w:rsidRPr="009E7778" w:rsidRDefault="00C43472">
      <w:pPr>
        <w:pStyle w:val="Heading1"/>
        <w:rPr>
          <w:rFonts w:asciiTheme="minorBidi" w:hAnsiTheme="minorBidi" w:cstheme="minorBidi"/>
        </w:rPr>
      </w:pPr>
      <w:bookmarkStart w:id="18" w:name="_qiijlikvlayj" w:colFirst="0" w:colLast="0"/>
      <w:bookmarkEnd w:id="18"/>
      <w:r w:rsidRPr="009E7778">
        <w:rPr>
          <w:rFonts w:asciiTheme="minorBidi" w:hAnsiTheme="minorBidi" w:cstheme="minorBidi"/>
        </w:rPr>
        <w:lastRenderedPageBreak/>
        <w:t>Reference</w:t>
      </w:r>
      <w:r w:rsidR="001D163E">
        <w:rPr>
          <w:rFonts w:asciiTheme="minorBidi" w:hAnsiTheme="minorBidi" w:cstheme="minorBidi"/>
        </w:rPr>
        <w:t>s</w:t>
      </w:r>
    </w:p>
    <w:p w14:paraId="00000056" w14:textId="77777777" w:rsidR="00D94538" w:rsidRDefault="00C43472" w:rsidP="00267659">
      <w:pPr>
        <w:pStyle w:val="ListParagraph"/>
        <w:numPr>
          <w:ilvl w:val="0"/>
          <w:numId w:val="1"/>
        </w:numPr>
        <w:jc w:val="left"/>
        <w:rPr>
          <w:rFonts w:asciiTheme="minorBidi" w:eastAsia="Times New Roman" w:hAnsiTheme="minorBidi" w:cstheme="minorBidi"/>
        </w:rPr>
      </w:pPr>
      <w:r w:rsidRPr="00267659">
        <w:rPr>
          <w:rFonts w:asciiTheme="minorBidi" w:eastAsia="Times New Roman" w:hAnsiTheme="minorBidi" w:cstheme="minorBidi"/>
        </w:rPr>
        <w:t xml:space="preserve">ageing-better.org.uk (2024) </w:t>
      </w:r>
      <w:r w:rsidRPr="001D163E">
        <w:rPr>
          <w:rFonts w:asciiTheme="minorBidi" w:eastAsia="Times New Roman" w:hAnsiTheme="minorBidi" w:cstheme="minorBidi"/>
          <w:i/>
          <w:iCs/>
        </w:rPr>
        <w:t>Our Ageing Population: The State of Ageing 2023-24. Centre for Ageing Better.</w:t>
      </w:r>
      <w:r w:rsidRPr="00267659">
        <w:rPr>
          <w:rFonts w:asciiTheme="minorBidi" w:eastAsia="Times New Roman" w:hAnsiTheme="minorBidi" w:cstheme="minorBidi"/>
        </w:rPr>
        <w:t xml:space="preserve"> Available at: </w:t>
      </w:r>
      <w:hyperlink r:id="rId8">
        <w:r w:rsidRPr="00267659">
          <w:rPr>
            <w:rFonts w:asciiTheme="minorBidi" w:eastAsia="Times New Roman" w:hAnsiTheme="minorBidi" w:cstheme="minorBidi"/>
            <w:color w:val="1155CC"/>
            <w:u w:val="single"/>
          </w:rPr>
          <w:t>https://ageing-better.org.uk/our-ageing-population-state-ageing-2023-4</w:t>
        </w:r>
      </w:hyperlink>
      <w:r w:rsidRPr="00267659">
        <w:rPr>
          <w:rFonts w:asciiTheme="minorBidi" w:eastAsia="Times New Roman" w:hAnsiTheme="minorBidi" w:cstheme="minorBidi"/>
        </w:rPr>
        <w:t xml:space="preserve">  (Accessed: 2 July 2024).</w:t>
      </w:r>
    </w:p>
    <w:p w14:paraId="10B50802" w14:textId="77777777" w:rsidR="001D163E" w:rsidRPr="00267659" w:rsidRDefault="001D163E" w:rsidP="001D163E">
      <w:pPr>
        <w:pStyle w:val="ListParagraph"/>
        <w:jc w:val="left"/>
        <w:rPr>
          <w:rFonts w:asciiTheme="minorBidi" w:eastAsia="Times New Roman" w:hAnsiTheme="minorBidi" w:cstheme="minorBidi"/>
        </w:rPr>
      </w:pPr>
    </w:p>
    <w:p w14:paraId="39C7F8F5" w14:textId="77777777" w:rsidR="000B700F" w:rsidRPr="00C54EF2" w:rsidRDefault="00C43472" w:rsidP="001D163E">
      <w:pPr>
        <w:pStyle w:val="ListParagraph"/>
        <w:numPr>
          <w:ilvl w:val="0"/>
          <w:numId w:val="1"/>
        </w:numPr>
        <w:jc w:val="left"/>
        <w:rPr>
          <w:highlight w:val="white"/>
        </w:rPr>
      </w:pPr>
      <w:r w:rsidRPr="00267659">
        <w:rPr>
          <w:rFonts w:asciiTheme="minorBidi" w:eastAsia="Times New Roman" w:hAnsiTheme="minorBidi" w:cstheme="minorBidi"/>
          <w:color w:val="222222"/>
          <w:highlight w:val="white"/>
        </w:rPr>
        <w:t xml:space="preserve">Alderwick, H., Hutchings, A., Briggs, A. and Mays, N., 2021. The impacts of collaboration between local health care and non-health care organizations and factors shaping how they work: a systematic review of reviews. </w:t>
      </w:r>
      <w:r w:rsidRPr="00267659">
        <w:rPr>
          <w:rFonts w:asciiTheme="minorBidi" w:eastAsia="Times New Roman" w:hAnsiTheme="minorBidi" w:cstheme="minorBidi"/>
          <w:i/>
          <w:color w:val="222222"/>
          <w:highlight w:val="white"/>
        </w:rPr>
        <w:t>BMC Public Health</w:t>
      </w:r>
      <w:r w:rsidRPr="00267659">
        <w:rPr>
          <w:rFonts w:asciiTheme="minorBidi" w:eastAsia="Times New Roman" w:hAnsiTheme="minorBidi" w:cstheme="minorBidi"/>
          <w:color w:val="222222"/>
          <w:highlight w:val="white"/>
        </w:rPr>
        <w:t xml:space="preserve">, </w:t>
      </w:r>
      <w:r w:rsidRPr="00267659">
        <w:rPr>
          <w:rFonts w:asciiTheme="minorBidi" w:eastAsia="Times New Roman" w:hAnsiTheme="minorBidi" w:cstheme="minorBidi"/>
          <w:i/>
          <w:color w:val="222222"/>
          <w:highlight w:val="white"/>
        </w:rPr>
        <w:t>21</w:t>
      </w:r>
      <w:r w:rsidRPr="00267659">
        <w:rPr>
          <w:rFonts w:asciiTheme="minorBidi" w:eastAsia="Times New Roman" w:hAnsiTheme="minorBidi" w:cstheme="minorBidi"/>
          <w:color w:val="222222"/>
          <w:highlight w:val="white"/>
        </w:rPr>
        <w:t xml:space="preserve">, pp.1-16. </w:t>
      </w:r>
      <w:r w:rsidRPr="00267659">
        <w:rPr>
          <w:rFonts w:asciiTheme="minorBidi" w:eastAsia="Times New Roman" w:hAnsiTheme="minorBidi" w:cstheme="minorBidi"/>
        </w:rPr>
        <w:t>Available at:</w:t>
      </w:r>
      <w:hyperlink r:id="rId9">
        <w:r w:rsidRPr="00267659">
          <w:rPr>
            <w:rFonts w:asciiTheme="minorBidi" w:eastAsia="Times New Roman" w:hAnsiTheme="minorBidi" w:cstheme="minorBidi"/>
            <w:color w:val="1155CC"/>
            <w:highlight w:val="white"/>
            <w:u w:val="single"/>
          </w:rPr>
          <w:t>https://link.springer.com/article/10.1186/s12889-021-10630-1</w:t>
        </w:r>
      </w:hyperlink>
      <w:r w:rsidRPr="00267659">
        <w:rPr>
          <w:rFonts w:asciiTheme="minorBidi" w:eastAsia="Times New Roman" w:hAnsiTheme="minorBidi" w:cstheme="minorBidi"/>
          <w:color w:val="222222"/>
          <w:highlight w:val="white"/>
        </w:rPr>
        <w:t xml:space="preserve"> </w:t>
      </w:r>
      <w:r w:rsidRPr="00267659">
        <w:rPr>
          <w:rFonts w:asciiTheme="minorBidi" w:hAnsiTheme="minorBidi" w:cstheme="minorBidi"/>
        </w:rPr>
        <w:t>(Accessed: 2 July 2024).</w:t>
      </w:r>
    </w:p>
    <w:p w14:paraId="16706ED5" w14:textId="77777777" w:rsidR="00C54EF2" w:rsidRPr="00C54EF2" w:rsidRDefault="00C54EF2" w:rsidP="00C54EF2">
      <w:pPr>
        <w:pStyle w:val="ListParagraph"/>
        <w:rPr>
          <w:highlight w:val="white"/>
        </w:rPr>
      </w:pPr>
    </w:p>
    <w:p w14:paraId="5043E298" w14:textId="7FB6292F" w:rsidR="00C54EF2" w:rsidRPr="00C54EF2" w:rsidRDefault="00C54EF2" w:rsidP="00C54EF2">
      <w:pPr>
        <w:pStyle w:val="ListParagraph"/>
        <w:numPr>
          <w:ilvl w:val="0"/>
          <w:numId w:val="1"/>
        </w:numPr>
        <w:rPr>
          <w:rFonts w:asciiTheme="minorBidi" w:hAnsiTheme="minorBidi" w:cstheme="minorBidi"/>
          <w:color w:val="222222"/>
          <w:highlight w:val="white"/>
        </w:rPr>
      </w:pPr>
      <w:r w:rsidRPr="00C54EF2">
        <w:rPr>
          <w:highlight w:val="white"/>
        </w:rPr>
        <w:t xml:space="preserve">  </w:t>
      </w:r>
      <w:r w:rsidRPr="00C54EF2">
        <w:rPr>
          <w:rFonts w:asciiTheme="minorBidi" w:hAnsiTheme="minorBidi" w:cstheme="minorBidi"/>
          <w:color w:val="222222"/>
          <w:highlight w:val="white"/>
        </w:rPr>
        <w:t xml:space="preserve">Cherry, A.K. (2024) Maslow’s hierarchy of needs explained, Explore Psychology. Available at: https://www.explorepsychology.com/maslows-hierarchy-of-needs/#:~:text=The%20purpose%20of%20Maslow’s%20hierarchy, foundation%20for%20higher%2Dlevel%20needs. (Accessed: 22 July 2024). </w:t>
      </w:r>
    </w:p>
    <w:p w14:paraId="424651E6" w14:textId="5758AE8B" w:rsidR="000B700F" w:rsidRPr="00C54EF2" w:rsidRDefault="000B700F" w:rsidP="00C54EF2">
      <w:pPr>
        <w:pStyle w:val="ListParagraph"/>
        <w:jc w:val="left"/>
        <w:rPr>
          <w:highlight w:val="white"/>
        </w:rPr>
      </w:pPr>
    </w:p>
    <w:p w14:paraId="19D604B2" w14:textId="5D36CA02" w:rsidR="001D163E" w:rsidRPr="000B700F" w:rsidRDefault="001D163E" w:rsidP="000B700F">
      <w:pPr>
        <w:pStyle w:val="ListParagraph"/>
        <w:jc w:val="left"/>
        <w:rPr>
          <w:rFonts w:asciiTheme="minorBidi" w:eastAsia="Times New Roman" w:hAnsiTheme="minorBidi" w:cstheme="minorBidi"/>
          <w:color w:val="222222"/>
          <w:highlight w:val="white"/>
        </w:rPr>
      </w:pPr>
    </w:p>
    <w:p w14:paraId="00000058" w14:textId="2F69609E" w:rsidR="00D94538" w:rsidRPr="001D163E" w:rsidRDefault="00C43472" w:rsidP="00267659">
      <w:pPr>
        <w:pStyle w:val="ListParagraph"/>
        <w:numPr>
          <w:ilvl w:val="0"/>
          <w:numId w:val="1"/>
        </w:numPr>
        <w:jc w:val="left"/>
        <w:rPr>
          <w:rFonts w:asciiTheme="minorBidi" w:eastAsia="Times New Roman" w:hAnsiTheme="minorBidi" w:cstheme="minorBidi"/>
          <w:color w:val="222222"/>
          <w:highlight w:val="white"/>
        </w:rPr>
      </w:pPr>
      <w:r w:rsidRPr="00267659">
        <w:rPr>
          <w:rFonts w:asciiTheme="minorBidi" w:hAnsiTheme="minorBidi" w:cstheme="minorBidi"/>
          <w:color w:val="222222"/>
          <w:highlight w:val="white"/>
        </w:rPr>
        <w:t xml:space="preserve">Andreucci, M.B., Russo, A. and Olszewska-Guizzo, A., 2019. Designing urban green blue infrastructure for mental health and elderly wellbeing. </w:t>
      </w:r>
      <w:r w:rsidRPr="00267659">
        <w:rPr>
          <w:rFonts w:asciiTheme="minorBidi" w:hAnsiTheme="minorBidi" w:cstheme="minorBidi"/>
          <w:i/>
          <w:color w:val="222222"/>
          <w:highlight w:val="white"/>
        </w:rPr>
        <w:t>Sustainability</w:t>
      </w:r>
      <w:r w:rsidRPr="00267659">
        <w:rPr>
          <w:rFonts w:asciiTheme="minorBidi" w:hAnsiTheme="minorBidi" w:cstheme="minorBidi"/>
          <w:color w:val="222222"/>
          <w:highlight w:val="white"/>
        </w:rPr>
        <w:t xml:space="preserve">, </w:t>
      </w:r>
      <w:r w:rsidRPr="00267659">
        <w:rPr>
          <w:rFonts w:asciiTheme="minorBidi" w:hAnsiTheme="minorBidi" w:cstheme="minorBidi"/>
          <w:i/>
          <w:color w:val="222222"/>
          <w:highlight w:val="white"/>
        </w:rPr>
        <w:t>11</w:t>
      </w:r>
      <w:r w:rsidRPr="00267659">
        <w:rPr>
          <w:rFonts w:asciiTheme="minorBidi" w:hAnsiTheme="minorBidi" w:cstheme="minorBidi"/>
          <w:color w:val="222222"/>
          <w:highlight w:val="white"/>
        </w:rPr>
        <w:t xml:space="preserve">(22), p.6425. </w:t>
      </w:r>
      <w:r w:rsidRPr="00267659">
        <w:rPr>
          <w:rFonts w:asciiTheme="minorBidi" w:hAnsiTheme="minorBidi" w:cstheme="minorBidi"/>
        </w:rPr>
        <w:t>Available at:</w:t>
      </w:r>
      <w:hyperlink r:id="rId10">
        <w:r w:rsidRPr="00267659">
          <w:rPr>
            <w:rFonts w:asciiTheme="minorBidi" w:hAnsiTheme="minorBidi" w:cstheme="minorBidi"/>
            <w:color w:val="1155CC"/>
            <w:u w:val="single"/>
          </w:rPr>
          <w:t>https://doi.org/10.3390/su11226425</w:t>
        </w:r>
      </w:hyperlink>
    </w:p>
    <w:p w14:paraId="3C240BE3" w14:textId="77777777" w:rsidR="001D163E" w:rsidRPr="001D163E" w:rsidRDefault="001D163E" w:rsidP="001D163E">
      <w:pPr>
        <w:pStyle w:val="ListParagraph"/>
        <w:rPr>
          <w:rFonts w:asciiTheme="minorBidi" w:eastAsia="Times New Roman" w:hAnsiTheme="minorBidi" w:cstheme="minorBidi"/>
          <w:color w:val="222222"/>
          <w:highlight w:val="white"/>
        </w:rPr>
      </w:pPr>
    </w:p>
    <w:p w14:paraId="6D283FCA" w14:textId="77777777" w:rsidR="001D163E" w:rsidRPr="00267659" w:rsidRDefault="001D163E" w:rsidP="001D163E">
      <w:pPr>
        <w:pStyle w:val="ListParagraph"/>
        <w:jc w:val="left"/>
        <w:rPr>
          <w:rFonts w:asciiTheme="minorBidi" w:eastAsia="Times New Roman" w:hAnsiTheme="minorBidi" w:cstheme="minorBidi"/>
          <w:color w:val="222222"/>
          <w:highlight w:val="white"/>
        </w:rPr>
      </w:pPr>
    </w:p>
    <w:p w14:paraId="05A2F91C" w14:textId="65060C60" w:rsidR="001D163E" w:rsidRDefault="00C43472" w:rsidP="001D163E">
      <w:pPr>
        <w:pStyle w:val="ListParagraph"/>
        <w:numPr>
          <w:ilvl w:val="0"/>
          <w:numId w:val="1"/>
        </w:numPr>
        <w:jc w:val="left"/>
        <w:rPr>
          <w:rFonts w:asciiTheme="minorBidi" w:hAnsiTheme="minorBidi" w:cstheme="minorBidi"/>
        </w:rPr>
      </w:pPr>
      <w:r w:rsidRPr="000E43F1">
        <w:rPr>
          <w:rFonts w:asciiTheme="minorBidi" w:eastAsia="Times New Roman" w:hAnsiTheme="minorBidi" w:cstheme="minorBidi"/>
          <w:color w:val="222222"/>
          <w:highlight w:val="white"/>
        </w:rPr>
        <w:t xml:space="preserve">Baker, R., Freeman, G.K., Haggerty, J.L., Bankart, M.J. and Nockels, K.H., 2020. Primary medical care continuity and patient mortality: a systematic review. </w:t>
      </w:r>
      <w:r w:rsidRPr="000E43F1">
        <w:rPr>
          <w:rFonts w:asciiTheme="minorBidi" w:eastAsia="Times New Roman" w:hAnsiTheme="minorBidi" w:cstheme="minorBidi"/>
          <w:i/>
          <w:color w:val="222222"/>
          <w:highlight w:val="white"/>
        </w:rPr>
        <w:t>British Journal of General Practice</w:t>
      </w:r>
      <w:r w:rsidRPr="000E43F1">
        <w:rPr>
          <w:rFonts w:asciiTheme="minorBidi" w:eastAsia="Times New Roman" w:hAnsiTheme="minorBidi" w:cstheme="minorBidi"/>
          <w:color w:val="222222"/>
          <w:highlight w:val="white"/>
        </w:rPr>
        <w:t xml:space="preserve">, </w:t>
      </w:r>
      <w:r w:rsidRPr="000E43F1">
        <w:rPr>
          <w:rFonts w:asciiTheme="minorBidi" w:eastAsia="Times New Roman" w:hAnsiTheme="minorBidi" w:cstheme="minorBidi"/>
          <w:i/>
          <w:color w:val="222222"/>
          <w:highlight w:val="white"/>
        </w:rPr>
        <w:t>70</w:t>
      </w:r>
      <w:r w:rsidRPr="000E43F1">
        <w:rPr>
          <w:rFonts w:asciiTheme="minorBidi" w:eastAsia="Times New Roman" w:hAnsiTheme="minorBidi" w:cstheme="minorBidi"/>
          <w:color w:val="222222"/>
          <w:highlight w:val="white"/>
        </w:rPr>
        <w:t xml:space="preserve">(698), pp.e600-e611. </w:t>
      </w:r>
      <w:r w:rsidRPr="000E43F1">
        <w:rPr>
          <w:rFonts w:asciiTheme="minorBidi" w:eastAsia="Times New Roman" w:hAnsiTheme="minorBidi" w:cstheme="minorBidi"/>
        </w:rPr>
        <w:t xml:space="preserve">Available at: </w:t>
      </w:r>
      <w:hyperlink r:id="rId11">
        <w:r w:rsidRPr="000E43F1">
          <w:rPr>
            <w:rFonts w:asciiTheme="minorBidi" w:eastAsia="Times New Roman" w:hAnsiTheme="minorBidi" w:cstheme="minorBidi"/>
            <w:i/>
            <w:iCs/>
            <w:color w:val="1155CC"/>
            <w:highlight w:val="white"/>
            <w:u w:val="single"/>
          </w:rPr>
          <w:t>https://doi.org/10.3399/bjgp20X712289</w:t>
        </w:r>
      </w:hyperlink>
      <w:r w:rsidRPr="000E43F1">
        <w:rPr>
          <w:rFonts w:asciiTheme="minorBidi" w:eastAsia="Times New Roman" w:hAnsiTheme="minorBidi" w:cstheme="minorBidi"/>
          <w:color w:val="222222"/>
          <w:highlight w:val="white"/>
        </w:rPr>
        <w:t xml:space="preserve"> </w:t>
      </w:r>
      <w:r w:rsidRPr="000E43F1">
        <w:rPr>
          <w:rFonts w:asciiTheme="minorBidi" w:hAnsiTheme="minorBidi" w:cstheme="minorBidi"/>
        </w:rPr>
        <w:t xml:space="preserve"> </w:t>
      </w:r>
    </w:p>
    <w:p w14:paraId="3CE966A2" w14:textId="77777777" w:rsidR="000E43F1" w:rsidRPr="000E43F1" w:rsidRDefault="000E43F1" w:rsidP="000E43F1">
      <w:pPr>
        <w:jc w:val="left"/>
        <w:rPr>
          <w:rFonts w:asciiTheme="minorBidi" w:hAnsiTheme="minorBidi" w:cstheme="minorBidi"/>
        </w:rPr>
      </w:pPr>
    </w:p>
    <w:p w14:paraId="0000005A" w14:textId="77777777" w:rsidR="00D94538" w:rsidRPr="000E43F1" w:rsidRDefault="00C43472" w:rsidP="00267659">
      <w:pPr>
        <w:pStyle w:val="ListParagraph"/>
        <w:numPr>
          <w:ilvl w:val="0"/>
          <w:numId w:val="1"/>
        </w:numPr>
        <w:jc w:val="left"/>
        <w:rPr>
          <w:rFonts w:asciiTheme="minorBidi" w:eastAsia="Times New Roman" w:hAnsiTheme="minorBidi" w:cstheme="minorBidi"/>
          <w:color w:val="222222"/>
        </w:rPr>
      </w:pPr>
      <w:r w:rsidRPr="000E43F1">
        <w:rPr>
          <w:rFonts w:asciiTheme="minorBidi" w:eastAsia="Times New Roman" w:hAnsiTheme="minorBidi" w:cstheme="minorBidi"/>
          <w:color w:val="222222"/>
        </w:rPr>
        <w:t xml:space="preserve">Berrington, A., Ellison, J., Kuang, B., Vasireddy, S. and Kulu, H., </w:t>
      </w:r>
      <w:r w:rsidRPr="006B245F">
        <w:rPr>
          <w:rFonts w:asciiTheme="minorBidi" w:eastAsia="Times New Roman" w:hAnsiTheme="minorBidi" w:cstheme="minorBidi"/>
          <w:i/>
          <w:iCs/>
          <w:color w:val="222222"/>
        </w:rPr>
        <w:t>2021</w:t>
      </w:r>
      <w:r w:rsidRPr="000E43F1">
        <w:rPr>
          <w:rFonts w:asciiTheme="minorBidi" w:eastAsia="Times New Roman" w:hAnsiTheme="minorBidi" w:cstheme="minorBidi"/>
          <w:color w:val="222222"/>
        </w:rPr>
        <w:t xml:space="preserve">. </w:t>
      </w:r>
      <w:r w:rsidRPr="000E43F1">
        <w:rPr>
          <w:rFonts w:asciiTheme="minorBidi" w:eastAsia="Times New Roman" w:hAnsiTheme="minorBidi" w:cstheme="minorBidi"/>
          <w:i/>
          <w:iCs/>
          <w:color w:val="222222"/>
        </w:rPr>
        <w:t xml:space="preserve">Recent trends in UK fertility and potential impacts of COVID-19. </w:t>
      </w:r>
      <w:r w:rsidRPr="000E43F1">
        <w:rPr>
          <w:rFonts w:asciiTheme="minorBidi" w:eastAsia="Times New Roman" w:hAnsiTheme="minorBidi" w:cstheme="minorBidi"/>
        </w:rPr>
        <w:t>Available at:</w:t>
      </w:r>
      <w:hyperlink r:id="rId12">
        <w:r w:rsidRPr="000E43F1">
          <w:rPr>
            <w:rFonts w:asciiTheme="minorBidi" w:eastAsia="Times New Roman" w:hAnsiTheme="minorBidi" w:cstheme="minorBidi"/>
            <w:color w:val="1155CC"/>
            <w:u w:val="single"/>
          </w:rPr>
          <w:t>https://eprints.soton.ac.uk/448062/1/WP_95_Recent_trends_in_UK_fertility.pdf</w:t>
        </w:r>
      </w:hyperlink>
      <w:r w:rsidRPr="000E43F1">
        <w:rPr>
          <w:rFonts w:asciiTheme="minorBidi" w:eastAsia="Times New Roman" w:hAnsiTheme="minorBidi" w:cstheme="minorBidi"/>
          <w:color w:val="222222"/>
        </w:rPr>
        <w:t xml:space="preserve"> </w:t>
      </w:r>
      <w:r w:rsidRPr="000E43F1">
        <w:rPr>
          <w:rFonts w:asciiTheme="minorBidi" w:eastAsia="Times New Roman" w:hAnsiTheme="minorBidi" w:cstheme="minorBidi"/>
        </w:rPr>
        <w:t>(Accessed: 2 July 2024).</w:t>
      </w:r>
      <w:r w:rsidRPr="000E43F1">
        <w:rPr>
          <w:rFonts w:asciiTheme="minorBidi" w:eastAsia="Times New Roman" w:hAnsiTheme="minorBidi" w:cstheme="minorBidi"/>
          <w:color w:val="222222"/>
        </w:rPr>
        <w:t xml:space="preserve"> </w:t>
      </w:r>
    </w:p>
    <w:p w14:paraId="775D1F9E" w14:textId="77777777" w:rsidR="001D163E" w:rsidRPr="001D163E" w:rsidRDefault="001D163E" w:rsidP="001D163E">
      <w:pPr>
        <w:pStyle w:val="ListParagraph"/>
        <w:rPr>
          <w:rFonts w:asciiTheme="minorBidi" w:eastAsia="Times New Roman" w:hAnsiTheme="minorBidi" w:cstheme="minorBidi"/>
          <w:color w:val="222222"/>
          <w:highlight w:val="white"/>
        </w:rPr>
      </w:pPr>
    </w:p>
    <w:p w14:paraId="79421644" w14:textId="77777777" w:rsidR="001D163E" w:rsidRPr="00267659" w:rsidRDefault="001D163E" w:rsidP="001D163E">
      <w:pPr>
        <w:pStyle w:val="ListParagraph"/>
        <w:jc w:val="left"/>
        <w:rPr>
          <w:rFonts w:asciiTheme="minorBidi" w:eastAsia="Times New Roman" w:hAnsiTheme="minorBidi" w:cstheme="minorBidi"/>
          <w:color w:val="222222"/>
          <w:highlight w:val="white"/>
        </w:rPr>
      </w:pPr>
    </w:p>
    <w:p w14:paraId="5A9A41AC" w14:textId="51C4FF4C" w:rsidR="001D163E" w:rsidRPr="006B245F" w:rsidRDefault="00C43472" w:rsidP="001D163E">
      <w:pPr>
        <w:pStyle w:val="ListParagraph"/>
        <w:numPr>
          <w:ilvl w:val="0"/>
          <w:numId w:val="1"/>
        </w:numPr>
        <w:jc w:val="left"/>
        <w:rPr>
          <w:rFonts w:asciiTheme="minorBidi" w:eastAsia="Times New Roman" w:hAnsiTheme="minorBidi" w:cstheme="minorBidi"/>
          <w:color w:val="222222"/>
          <w:highlight w:val="white"/>
        </w:rPr>
      </w:pPr>
      <w:r w:rsidRPr="006B245F">
        <w:rPr>
          <w:rFonts w:asciiTheme="minorBidi" w:hAnsiTheme="minorBidi" w:cstheme="minorBidi"/>
        </w:rPr>
        <w:t xml:space="preserve">Brimblecombe, N., Knapp, M., King, D., Stevens, M. and Cartagena Farias, J., 2020. The high cost of unpaid care by young people: health and economic impacts of providing unpaid care. </w:t>
      </w:r>
      <w:r w:rsidRPr="006B245F">
        <w:rPr>
          <w:rFonts w:asciiTheme="minorBidi" w:hAnsiTheme="minorBidi" w:cstheme="minorBidi"/>
          <w:i/>
          <w:iCs/>
        </w:rPr>
        <w:t>BMC Public Health,</w:t>
      </w:r>
      <w:r w:rsidRPr="006B245F">
        <w:rPr>
          <w:rFonts w:asciiTheme="minorBidi" w:hAnsiTheme="minorBidi" w:cstheme="minorBidi"/>
        </w:rPr>
        <w:t xml:space="preserve"> 20, pp.1-11.</w:t>
      </w:r>
      <w:r w:rsidRPr="006B245F">
        <w:rPr>
          <w:rFonts w:asciiTheme="minorBidi" w:eastAsia="Times New Roman" w:hAnsiTheme="minorBidi" w:cstheme="minorBidi"/>
        </w:rPr>
        <w:t>Available at:</w:t>
      </w:r>
      <w:r w:rsidRPr="006B245F">
        <w:rPr>
          <w:rFonts w:asciiTheme="minorBidi" w:hAnsiTheme="minorBidi" w:cstheme="minorBidi"/>
        </w:rPr>
        <w:t xml:space="preserve"> </w:t>
      </w:r>
      <w:hyperlink r:id="rId13">
        <w:r w:rsidRPr="006B245F">
          <w:rPr>
            <w:rFonts w:asciiTheme="minorBidi" w:hAnsiTheme="minorBidi" w:cstheme="minorBidi"/>
            <w:color w:val="1155CC"/>
            <w:u w:val="single"/>
          </w:rPr>
          <w:t>https://doi.org/10.1186/s12889-020-09166-7</w:t>
        </w:r>
      </w:hyperlink>
      <w:r w:rsidRPr="006B245F">
        <w:rPr>
          <w:rFonts w:asciiTheme="minorBidi" w:hAnsiTheme="minorBidi" w:cstheme="minorBidi"/>
        </w:rPr>
        <w:t xml:space="preserve"> </w:t>
      </w:r>
    </w:p>
    <w:p w14:paraId="1B2B1DD6" w14:textId="6C23C69B" w:rsidR="001D163E" w:rsidRPr="006B245F" w:rsidRDefault="00C43472" w:rsidP="001D163E">
      <w:pPr>
        <w:pStyle w:val="ListParagraph"/>
        <w:numPr>
          <w:ilvl w:val="0"/>
          <w:numId w:val="1"/>
        </w:numPr>
        <w:jc w:val="left"/>
        <w:rPr>
          <w:rFonts w:asciiTheme="minorBidi" w:hAnsiTheme="minorBidi" w:cstheme="minorBidi"/>
        </w:rPr>
      </w:pPr>
      <w:r w:rsidRPr="006B245F">
        <w:rPr>
          <w:rFonts w:asciiTheme="minorBidi" w:hAnsiTheme="minorBidi" w:cstheme="minorBidi"/>
          <w:color w:val="222222"/>
          <w:highlight w:val="white"/>
        </w:rPr>
        <w:t>Brooke, J. and Clark, M., 2020. Older people’s early experience of household isolation and social distancing during COVID</w:t>
      </w:r>
      <w:r w:rsidRPr="006B245F">
        <w:rPr>
          <w:rFonts w:ascii="Cambria Math" w:hAnsi="Cambria Math" w:cs="Cambria Math"/>
          <w:color w:val="222222"/>
          <w:highlight w:val="white"/>
        </w:rPr>
        <w:t>‐</w:t>
      </w:r>
      <w:r w:rsidRPr="006B245F">
        <w:rPr>
          <w:rFonts w:asciiTheme="minorBidi" w:hAnsiTheme="minorBidi" w:cstheme="minorBidi"/>
          <w:color w:val="222222"/>
          <w:highlight w:val="white"/>
        </w:rPr>
        <w:t xml:space="preserve">19. </w:t>
      </w:r>
      <w:r w:rsidRPr="006B245F">
        <w:rPr>
          <w:rFonts w:asciiTheme="minorBidi" w:hAnsiTheme="minorBidi" w:cstheme="minorBidi"/>
          <w:i/>
          <w:color w:val="222222"/>
          <w:highlight w:val="white"/>
        </w:rPr>
        <w:t>Journal of clinical nursing</w:t>
      </w:r>
      <w:r w:rsidRPr="006B245F">
        <w:rPr>
          <w:rFonts w:asciiTheme="minorBidi" w:hAnsiTheme="minorBidi" w:cstheme="minorBidi"/>
          <w:color w:val="222222"/>
          <w:highlight w:val="white"/>
        </w:rPr>
        <w:t xml:space="preserve">, </w:t>
      </w:r>
      <w:r w:rsidRPr="006B245F">
        <w:rPr>
          <w:rFonts w:asciiTheme="minorBidi" w:hAnsiTheme="minorBidi" w:cstheme="minorBidi"/>
          <w:i/>
          <w:color w:val="222222"/>
          <w:highlight w:val="white"/>
        </w:rPr>
        <w:t>29</w:t>
      </w:r>
      <w:r w:rsidRPr="006B245F">
        <w:rPr>
          <w:rFonts w:asciiTheme="minorBidi" w:hAnsiTheme="minorBidi" w:cstheme="minorBidi"/>
          <w:color w:val="222222"/>
          <w:highlight w:val="white"/>
        </w:rPr>
        <w:t xml:space="preserve">(21-22), pp.4387-4402. </w:t>
      </w:r>
      <w:r w:rsidRPr="006B245F">
        <w:rPr>
          <w:rFonts w:asciiTheme="minorBidi" w:hAnsiTheme="minorBidi" w:cstheme="minorBidi"/>
        </w:rPr>
        <w:t xml:space="preserve">Available at: </w:t>
      </w:r>
      <w:hyperlink r:id="rId14">
        <w:r w:rsidRPr="006B245F">
          <w:rPr>
            <w:rFonts w:asciiTheme="minorBidi" w:hAnsiTheme="minorBidi" w:cstheme="minorBidi"/>
            <w:color w:val="1155CC"/>
            <w:u w:val="single"/>
          </w:rPr>
          <w:t>https://doi.org/10.1111/jocn.15485</w:t>
        </w:r>
      </w:hyperlink>
      <w:r w:rsidRPr="006B245F">
        <w:rPr>
          <w:rFonts w:asciiTheme="minorBidi" w:hAnsiTheme="minorBidi" w:cstheme="minorBidi"/>
        </w:rPr>
        <w:t xml:space="preserve">  </w:t>
      </w:r>
    </w:p>
    <w:p w14:paraId="7E6C48A0" w14:textId="77777777" w:rsidR="001D163E" w:rsidRPr="00267659" w:rsidRDefault="001D163E" w:rsidP="001D163E">
      <w:pPr>
        <w:pStyle w:val="ListParagraph"/>
        <w:jc w:val="left"/>
        <w:rPr>
          <w:rFonts w:asciiTheme="minorBidi" w:hAnsiTheme="minorBidi" w:cstheme="minorBidi"/>
        </w:rPr>
      </w:pPr>
    </w:p>
    <w:p w14:paraId="11D39DC6" w14:textId="228C9BF6" w:rsidR="001D163E" w:rsidRDefault="00C43472" w:rsidP="001D163E">
      <w:pPr>
        <w:pStyle w:val="ListParagraph"/>
        <w:numPr>
          <w:ilvl w:val="0"/>
          <w:numId w:val="1"/>
        </w:numPr>
        <w:jc w:val="left"/>
        <w:rPr>
          <w:rFonts w:asciiTheme="minorBidi" w:hAnsiTheme="minorBidi" w:cstheme="minorBidi"/>
        </w:rPr>
      </w:pPr>
      <w:r w:rsidRPr="006B245F">
        <w:rPr>
          <w:rFonts w:asciiTheme="minorBidi" w:hAnsiTheme="minorBidi" w:cstheme="minorBidi"/>
          <w:color w:val="222222"/>
        </w:rPr>
        <w:t xml:space="preserve">Czaja, S.J., Moxley, J.H. and Rogers, W.A., 2021. Social support, isolation, loneliness, and health among older adults in the PRISM randomized controlled trial. </w:t>
      </w:r>
      <w:r w:rsidRPr="006B245F">
        <w:rPr>
          <w:rFonts w:asciiTheme="minorBidi" w:hAnsiTheme="minorBidi" w:cstheme="minorBidi"/>
          <w:i/>
          <w:color w:val="222222"/>
        </w:rPr>
        <w:t>Frontiers in Psychology</w:t>
      </w:r>
      <w:r w:rsidRPr="006B245F">
        <w:rPr>
          <w:rFonts w:asciiTheme="minorBidi" w:hAnsiTheme="minorBidi" w:cstheme="minorBidi"/>
          <w:color w:val="222222"/>
        </w:rPr>
        <w:t xml:space="preserve">, </w:t>
      </w:r>
      <w:r w:rsidRPr="006B245F">
        <w:rPr>
          <w:rFonts w:asciiTheme="minorBidi" w:hAnsiTheme="minorBidi" w:cstheme="minorBidi"/>
          <w:i/>
          <w:color w:val="222222"/>
        </w:rPr>
        <w:t>12</w:t>
      </w:r>
      <w:r w:rsidRPr="006B245F">
        <w:rPr>
          <w:rFonts w:asciiTheme="minorBidi" w:hAnsiTheme="minorBidi" w:cstheme="minorBidi"/>
          <w:color w:val="222222"/>
        </w:rPr>
        <w:t xml:space="preserve">, p.728658. </w:t>
      </w:r>
      <w:r w:rsidRPr="006B245F">
        <w:rPr>
          <w:rFonts w:asciiTheme="minorBidi" w:hAnsiTheme="minorBidi" w:cstheme="minorBidi"/>
        </w:rPr>
        <w:t xml:space="preserve">Available at: </w:t>
      </w:r>
      <w:hyperlink r:id="rId15">
        <w:r w:rsidRPr="006B245F">
          <w:rPr>
            <w:rFonts w:asciiTheme="minorBidi" w:hAnsiTheme="minorBidi" w:cstheme="minorBidi"/>
            <w:color w:val="1155CC"/>
            <w:u w:val="single"/>
          </w:rPr>
          <w:t>https://doi.org/10.3389/fpsyg.2021.728658</w:t>
        </w:r>
      </w:hyperlink>
      <w:r w:rsidRPr="006B245F">
        <w:rPr>
          <w:rFonts w:asciiTheme="minorBidi" w:hAnsiTheme="minorBidi" w:cstheme="minorBidi"/>
        </w:rPr>
        <w:t xml:space="preserve"> </w:t>
      </w:r>
    </w:p>
    <w:p w14:paraId="468243C0" w14:textId="77777777" w:rsidR="00C54EF2" w:rsidRPr="00C54EF2" w:rsidRDefault="00C54EF2" w:rsidP="00C54EF2">
      <w:pPr>
        <w:pStyle w:val="ListParagraph"/>
        <w:rPr>
          <w:rFonts w:asciiTheme="minorBidi" w:hAnsiTheme="minorBidi" w:cstheme="minorBidi"/>
        </w:rPr>
      </w:pPr>
    </w:p>
    <w:p w14:paraId="4B3157B2" w14:textId="382465C8" w:rsidR="00C54EF2" w:rsidRPr="00C54EF2" w:rsidRDefault="00C54EF2" w:rsidP="00C54EF2">
      <w:pPr>
        <w:pStyle w:val="ListParagraph"/>
        <w:numPr>
          <w:ilvl w:val="0"/>
          <w:numId w:val="1"/>
        </w:numPr>
        <w:rPr>
          <w:rFonts w:asciiTheme="minorBidi" w:hAnsiTheme="minorBidi" w:cstheme="minorBidi"/>
          <w:color w:val="222222"/>
        </w:rPr>
      </w:pPr>
      <w:r w:rsidRPr="00C54EF2">
        <w:rPr>
          <w:rFonts w:asciiTheme="minorBidi" w:hAnsiTheme="minorBidi" w:cstheme="minorBidi"/>
          <w:color w:val="222222"/>
        </w:rPr>
        <w:t>Coulter, A. and Oldham, J. (2016) Person-</w:t>
      </w:r>
      <w:proofErr w:type="spellStart"/>
      <w:r w:rsidRPr="00C54EF2">
        <w:rPr>
          <w:rFonts w:asciiTheme="minorBidi" w:hAnsiTheme="minorBidi" w:cstheme="minorBidi"/>
          <w:color w:val="222222"/>
        </w:rPr>
        <w:t>centred</w:t>
      </w:r>
      <w:proofErr w:type="spellEnd"/>
      <w:r w:rsidRPr="00C54EF2">
        <w:rPr>
          <w:rFonts w:asciiTheme="minorBidi" w:hAnsiTheme="minorBidi" w:cstheme="minorBidi"/>
          <w:color w:val="222222"/>
        </w:rPr>
        <w:t xml:space="preserve"> care: What is it and how do we get </w:t>
      </w:r>
      <w:proofErr w:type="gramStart"/>
      <w:r w:rsidRPr="00C54EF2">
        <w:rPr>
          <w:rFonts w:asciiTheme="minorBidi" w:hAnsiTheme="minorBidi" w:cstheme="minorBidi"/>
          <w:color w:val="222222"/>
        </w:rPr>
        <w:t>there?,</w:t>
      </w:r>
      <w:proofErr w:type="gramEnd"/>
      <w:r w:rsidRPr="00C54EF2">
        <w:rPr>
          <w:rFonts w:asciiTheme="minorBidi" w:hAnsiTheme="minorBidi" w:cstheme="minorBidi"/>
          <w:color w:val="222222"/>
        </w:rPr>
        <w:t xml:space="preserve"> Future Healthcare Journal. Available at: https://ora.ox.ac.uk/objects/uuid:4b1c89dd-1087-4340-b392-8b634b405fc5 (Accessed: 22 July 2024). </w:t>
      </w:r>
    </w:p>
    <w:p w14:paraId="08CE8575" w14:textId="77777777" w:rsidR="006B245F" w:rsidRPr="00C54EF2" w:rsidRDefault="006B245F" w:rsidP="006B245F">
      <w:pPr>
        <w:pStyle w:val="ListParagraph"/>
        <w:rPr>
          <w:rFonts w:asciiTheme="minorBidi" w:hAnsiTheme="minorBidi" w:cstheme="minorBidi"/>
          <w:color w:val="222222"/>
        </w:rPr>
      </w:pPr>
    </w:p>
    <w:p w14:paraId="6C014C06" w14:textId="77777777" w:rsidR="006B245F" w:rsidRPr="00C54EF2" w:rsidRDefault="006B245F" w:rsidP="00C54EF2">
      <w:pPr>
        <w:jc w:val="left"/>
        <w:rPr>
          <w:rFonts w:asciiTheme="minorBidi" w:hAnsiTheme="minorBidi" w:cstheme="minorBidi"/>
        </w:rPr>
      </w:pPr>
    </w:p>
    <w:p w14:paraId="74C6BBE0" w14:textId="2C6EF539" w:rsidR="001D163E" w:rsidRPr="006B245F" w:rsidRDefault="00C43472" w:rsidP="006B245F">
      <w:pPr>
        <w:pStyle w:val="ListParagraph"/>
        <w:numPr>
          <w:ilvl w:val="0"/>
          <w:numId w:val="1"/>
        </w:numPr>
        <w:jc w:val="left"/>
        <w:rPr>
          <w:rFonts w:asciiTheme="minorBidi" w:hAnsiTheme="minorBidi" w:cstheme="minorBidi"/>
        </w:rPr>
      </w:pPr>
      <w:r w:rsidRPr="006B245F">
        <w:rPr>
          <w:rFonts w:asciiTheme="minorBidi" w:hAnsiTheme="minorBidi" w:cstheme="minorBidi"/>
          <w:color w:val="222222"/>
        </w:rPr>
        <w:t xml:space="preserve">Davis, K.A., Coleman, J.R., Adams, M., Allen, N., Breen, G., Cullen, B., Dickens, C., Fox, E., Graham, N., Holliday, J. and Howard, L.M., 2020. Mental health in UK Biobank–development, implementation and results from an online questionnaire completed by 157 366 participants: a reanalysis. </w:t>
      </w:r>
      <w:r w:rsidRPr="006B245F">
        <w:rPr>
          <w:rFonts w:asciiTheme="minorBidi" w:hAnsiTheme="minorBidi" w:cstheme="minorBidi"/>
          <w:i/>
          <w:color w:val="222222"/>
        </w:rPr>
        <w:t>BJPsych open</w:t>
      </w:r>
      <w:r w:rsidRPr="006B245F">
        <w:rPr>
          <w:rFonts w:asciiTheme="minorBidi" w:hAnsiTheme="minorBidi" w:cstheme="minorBidi"/>
          <w:color w:val="222222"/>
        </w:rPr>
        <w:t xml:space="preserve">, </w:t>
      </w:r>
      <w:r w:rsidRPr="006B245F">
        <w:rPr>
          <w:rFonts w:asciiTheme="minorBidi" w:hAnsiTheme="minorBidi" w:cstheme="minorBidi"/>
          <w:i/>
          <w:color w:val="222222"/>
        </w:rPr>
        <w:t>6</w:t>
      </w:r>
      <w:r w:rsidRPr="006B245F">
        <w:rPr>
          <w:rFonts w:asciiTheme="minorBidi" w:hAnsiTheme="minorBidi" w:cstheme="minorBidi"/>
          <w:color w:val="222222"/>
        </w:rPr>
        <w:t xml:space="preserve">(2), p.e18. </w:t>
      </w:r>
      <w:r w:rsidRPr="006B245F">
        <w:rPr>
          <w:rFonts w:asciiTheme="minorBidi" w:hAnsiTheme="minorBidi" w:cstheme="minorBidi"/>
        </w:rPr>
        <w:t xml:space="preserve">Available at: </w:t>
      </w:r>
      <w:hyperlink r:id="rId16">
        <w:r w:rsidRPr="006B245F">
          <w:rPr>
            <w:rFonts w:asciiTheme="minorBidi" w:hAnsiTheme="minorBidi" w:cstheme="minorBidi"/>
            <w:color w:val="1155CC"/>
            <w:u w:val="single"/>
          </w:rPr>
          <w:t>https://doi.org/10.1192/bjo.2019.100</w:t>
        </w:r>
      </w:hyperlink>
    </w:p>
    <w:p w14:paraId="222B5E20" w14:textId="77777777" w:rsidR="001D163E" w:rsidRPr="006B245F" w:rsidRDefault="001D163E" w:rsidP="001D163E">
      <w:pPr>
        <w:pStyle w:val="ListParagraph"/>
        <w:jc w:val="left"/>
        <w:rPr>
          <w:rFonts w:asciiTheme="minorBidi" w:hAnsiTheme="minorBidi" w:cstheme="minorBidi"/>
        </w:rPr>
      </w:pPr>
    </w:p>
    <w:p w14:paraId="0000005F" w14:textId="6CD5DEEC" w:rsidR="00D94538" w:rsidRPr="006B245F" w:rsidRDefault="00C43472" w:rsidP="006B245F">
      <w:pPr>
        <w:pStyle w:val="ListParagraph"/>
        <w:numPr>
          <w:ilvl w:val="0"/>
          <w:numId w:val="1"/>
        </w:numPr>
        <w:jc w:val="left"/>
        <w:rPr>
          <w:rFonts w:asciiTheme="minorBidi" w:hAnsiTheme="minorBidi" w:cstheme="minorBidi"/>
        </w:rPr>
      </w:pPr>
      <w:r w:rsidRPr="006B245F">
        <w:rPr>
          <w:rFonts w:asciiTheme="minorBidi" w:hAnsiTheme="minorBidi" w:cstheme="minorBidi"/>
          <w:color w:val="222222"/>
        </w:rPr>
        <w:t xml:space="preserve">Emerson, E., Fortune, N., Llewellyn, G. and Stancliffe, R., 2021. Loneliness, social support, social isolation and wellbeing among working age adults with and without disability: Cross-sectional study. </w:t>
      </w:r>
      <w:r w:rsidRPr="006B245F">
        <w:rPr>
          <w:rFonts w:asciiTheme="minorBidi" w:hAnsiTheme="minorBidi" w:cstheme="minorBidi"/>
          <w:i/>
          <w:color w:val="222222"/>
        </w:rPr>
        <w:t>Disability and health journal</w:t>
      </w:r>
      <w:r w:rsidRPr="006B245F">
        <w:rPr>
          <w:rFonts w:asciiTheme="minorBidi" w:hAnsiTheme="minorBidi" w:cstheme="minorBidi"/>
          <w:color w:val="222222"/>
        </w:rPr>
        <w:t xml:space="preserve">, </w:t>
      </w:r>
      <w:r w:rsidRPr="006B245F">
        <w:rPr>
          <w:rFonts w:asciiTheme="minorBidi" w:hAnsiTheme="minorBidi" w:cstheme="minorBidi"/>
          <w:i/>
          <w:color w:val="222222"/>
        </w:rPr>
        <w:t>14</w:t>
      </w:r>
      <w:r w:rsidRPr="006B245F">
        <w:rPr>
          <w:rFonts w:asciiTheme="minorBidi" w:hAnsiTheme="minorBidi" w:cstheme="minorBidi"/>
          <w:color w:val="222222"/>
        </w:rPr>
        <w:t xml:space="preserve">(1), p.100965. </w:t>
      </w:r>
      <w:r w:rsidRPr="006B245F">
        <w:rPr>
          <w:rFonts w:asciiTheme="minorBidi" w:hAnsiTheme="minorBidi" w:cstheme="minorBidi"/>
        </w:rPr>
        <w:t xml:space="preserve">Available at: </w:t>
      </w:r>
      <w:hyperlink r:id="rId17">
        <w:r w:rsidRPr="006B245F">
          <w:rPr>
            <w:rFonts w:asciiTheme="minorBidi" w:hAnsiTheme="minorBidi" w:cstheme="minorBidi"/>
            <w:color w:val="1155CC"/>
            <w:u w:val="single"/>
          </w:rPr>
          <w:t>https://doi.org/10.1016/j.dhjo.2020.100965</w:t>
        </w:r>
      </w:hyperlink>
      <w:r w:rsidR="006B245F" w:rsidRPr="006B245F">
        <w:rPr>
          <w:rFonts w:asciiTheme="minorBidi" w:hAnsiTheme="minorBidi" w:cstheme="minorBidi"/>
        </w:rPr>
        <w:t>.</w:t>
      </w:r>
    </w:p>
    <w:p w14:paraId="6ACAEC9F" w14:textId="77777777" w:rsidR="001D163E" w:rsidRPr="006B245F" w:rsidRDefault="001D163E" w:rsidP="001D163E">
      <w:pPr>
        <w:pStyle w:val="ListParagraph"/>
        <w:jc w:val="left"/>
        <w:rPr>
          <w:rFonts w:asciiTheme="minorBidi" w:hAnsiTheme="minorBidi" w:cstheme="minorBidi"/>
        </w:rPr>
      </w:pPr>
    </w:p>
    <w:p w14:paraId="2BF82DF7" w14:textId="5E9F04CA" w:rsidR="001D163E" w:rsidRPr="006B245F" w:rsidRDefault="00C43472" w:rsidP="001E20B6">
      <w:pPr>
        <w:pStyle w:val="ListParagraph"/>
        <w:numPr>
          <w:ilvl w:val="0"/>
          <w:numId w:val="1"/>
        </w:numPr>
        <w:jc w:val="left"/>
        <w:rPr>
          <w:rFonts w:asciiTheme="minorBidi" w:hAnsiTheme="minorBidi" w:cstheme="minorBidi"/>
        </w:rPr>
      </w:pPr>
      <w:r w:rsidRPr="006B245F">
        <w:rPr>
          <w:rFonts w:asciiTheme="minorBidi" w:eastAsia="Times New Roman" w:hAnsiTheme="minorBidi" w:cstheme="minorBidi"/>
          <w:color w:val="222222"/>
          <w:lang w:val="sv-SE"/>
        </w:rPr>
        <w:t xml:space="preserve">Engeström, Y. and Sannino, A., 2021. </w:t>
      </w:r>
      <w:r w:rsidRPr="006B245F">
        <w:rPr>
          <w:rFonts w:asciiTheme="minorBidi" w:eastAsia="Times New Roman" w:hAnsiTheme="minorBidi" w:cstheme="minorBidi"/>
          <w:color w:val="222222"/>
        </w:rPr>
        <w:t xml:space="preserve">From mediated actions to heterogenous coalitions: four generations of activity-theoretical studies of work and learning. </w:t>
      </w:r>
      <w:r w:rsidRPr="006B245F">
        <w:rPr>
          <w:rFonts w:asciiTheme="minorBidi" w:eastAsia="Times New Roman" w:hAnsiTheme="minorBidi" w:cstheme="minorBidi"/>
          <w:i/>
          <w:color w:val="222222"/>
        </w:rPr>
        <w:t>Mind, Culture, and Activity</w:t>
      </w:r>
      <w:r w:rsidRPr="006B245F">
        <w:rPr>
          <w:rFonts w:asciiTheme="minorBidi" w:eastAsia="Times New Roman" w:hAnsiTheme="minorBidi" w:cstheme="minorBidi"/>
          <w:color w:val="222222"/>
        </w:rPr>
        <w:t xml:space="preserve">, </w:t>
      </w:r>
      <w:r w:rsidRPr="006B245F">
        <w:rPr>
          <w:rFonts w:asciiTheme="minorBidi" w:eastAsia="Times New Roman" w:hAnsiTheme="minorBidi" w:cstheme="minorBidi"/>
          <w:i/>
          <w:color w:val="222222"/>
        </w:rPr>
        <w:t>28</w:t>
      </w:r>
      <w:r w:rsidRPr="006B245F">
        <w:rPr>
          <w:rFonts w:asciiTheme="minorBidi" w:eastAsia="Times New Roman" w:hAnsiTheme="minorBidi" w:cstheme="minorBidi"/>
          <w:color w:val="222222"/>
        </w:rPr>
        <w:t xml:space="preserve">(1), pp.4-23. </w:t>
      </w:r>
      <w:r w:rsidRPr="006B245F">
        <w:rPr>
          <w:rFonts w:asciiTheme="minorBidi" w:eastAsia="Times New Roman" w:hAnsiTheme="minorBidi" w:cstheme="minorBidi"/>
        </w:rPr>
        <w:t>Available at:</w:t>
      </w:r>
      <w:r w:rsidRPr="006B245F">
        <w:rPr>
          <w:rFonts w:asciiTheme="minorBidi" w:eastAsia="Times New Roman" w:hAnsiTheme="minorBidi" w:cstheme="minorBidi"/>
          <w:color w:val="222222"/>
        </w:rPr>
        <w:t xml:space="preserve"> </w:t>
      </w:r>
      <w:hyperlink r:id="rId18">
        <w:r w:rsidRPr="006B245F">
          <w:rPr>
            <w:rFonts w:asciiTheme="minorBidi" w:eastAsia="Times New Roman" w:hAnsiTheme="minorBidi" w:cstheme="minorBidi"/>
            <w:color w:val="1155CC"/>
            <w:u w:val="single"/>
          </w:rPr>
          <w:t>https://doi.org/10.1080/10749039.2020.1806328</w:t>
        </w:r>
      </w:hyperlink>
    </w:p>
    <w:p w14:paraId="6869EF13" w14:textId="77777777" w:rsidR="006B245F" w:rsidRPr="006B245F" w:rsidRDefault="006B245F" w:rsidP="006B245F">
      <w:pPr>
        <w:pStyle w:val="ListParagraph"/>
        <w:rPr>
          <w:rFonts w:asciiTheme="minorBidi" w:hAnsiTheme="minorBidi" w:cstheme="minorBidi"/>
        </w:rPr>
      </w:pPr>
    </w:p>
    <w:p w14:paraId="10B41A84" w14:textId="77777777" w:rsidR="006B245F" w:rsidRDefault="006B245F" w:rsidP="006B245F">
      <w:pPr>
        <w:pStyle w:val="ListParagraph"/>
        <w:jc w:val="left"/>
        <w:rPr>
          <w:rFonts w:asciiTheme="minorBidi" w:hAnsiTheme="minorBidi" w:cstheme="minorBidi"/>
        </w:rPr>
      </w:pPr>
    </w:p>
    <w:p w14:paraId="633E75BC" w14:textId="77777777" w:rsidR="006B245F" w:rsidRPr="00267659" w:rsidRDefault="006B245F" w:rsidP="006B245F">
      <w:pPr>
        <w:pStyle w:val="ListParagraph"/>
        <w:jc w:val="left"/>
        <w:rPr>
          <w:rFonts w:asciiTheme="minorBidi" w:hAnsiTheme="minorBidi" w:cstheme="minorBidi"/>
        </w:rPr>
      </w:pPr>
    </w:p>
    <w:p w14:paraId="2D269909" w14:textId="432F1239" w:rsidR="001D163E" w:rsidRDefault="00C43472" w:rsidP="001E20B6">
      <w:pPr>
        <w:pStyle w:val="ListParagraph"/>
        <w:numPr>
          <w:ilvl w:val="0"/>
          <w:numId w:val="1"/>
        </w:numPr>
        <w:jc w:val="left"/>
        <w:rPr>
          <w:rFonts w:asciiTheme="minorBidi" w:hAnsiTheme="minorBidi" w:cstheme="minorBidi"/>
        </w:rPr>
      </w:pPr>
      <w:r w:rsidRPr="006B245F">
        <w:rPr>
          <w:rFonts w:asciiTheme="minorBidi" w:hAnsiTheme="minorBidi" w:cstheme="minorBidi"/>
          <w:color w:val="222222"/>
          <w:highlight w:val="white"/>
        </w:rPr>
        <w:t xml:space="preserve">Gardiner, C., Laud, P., Heaton, T. and Gott, M., 2020. What is the prevalence of loneliness amongst older people living in residential and nursing care homes? A systematic review and meta-analysis. </w:t>
      </w:r>
      <w:r w:rsidRPr="006B245F">
        <w:rPr>
          <w:rFonts w:asciiTheme="minorBidi" w:hAnsiTheme="minorBidi" w:cstheme="minorBidi"/>
          <w:i/>
          <w:color w:val="222222"/>
          <w:highlight w:val="white"/>
        </w:rPr>
        <w:t>Age and ageing</w:t>
      </w:r>
      <w:r w:rsidRPr="006B245F">
        <w:rPr>
          <w:rFonts w:asciiTheme="minorBidi" w:hAnsiTheme="minorBidi" w:cstheme="minorBidi"/>
          <w:color w:val="222222"/>
          <w:highlight w:val="white"/>
        </w:rPr>
        <w:t xml:space="preserve">, </w:t>
      </w:r>
      <w:r w:rsidRPr="006B245F">
        <w:rPr>
          <w:rFonts w:asciiTheme="minorBidi" w:hAnsiTheme="minorBidi" w:cstheme="minorBidi"/>
          <w:i/>
          <w:color w:val="222222"/>
          <w:highlight w:val="white"/>
        </w:rPr>
        <w:t>49</w:t>
      </w:r>
      <w:r w:rsidRPr="006B245F">
        <w:rPr>
          <w:rFonts w:asciiTheme="minorBidi" w:hAnsiTheme="minorBidi" w:cstheme="minorBidi"/>
          <w:color w:val="222222"/>
          <w:highlight w:val="white"/>
        </w:rPr>
        <w:t xml:space="preserve">(5), pp.748-757. </w:t>
      </w:r>
      <w:r w:rsidRPr="006B245F">
        <w:rPr>
          <w:rFonts w:asciiTheme="minorBidi" w:hAnsiTheme="minorBidi" w:cstheme="minorBidi"/>
        </w:rPr>
        <w:t xml:space="preserve">Available at: </w:t>
      </w:r>
      <w:hyperlink r:id="rId19">
        <w:r w:rsidRPr="006B245F">
          <w:rPr>
            <w:rFonts w:asciiTheme="minorBidi" w:hAnsiTheme="minorBidi" w:cstheme="minorBidi"/>
            <w:color w:val="1155CC"/>
            <w:u w:val="single"/>
          </w:rPr>
          <w:t>https://doi.org/10.1093/ageing/afaa049</w:t>
        </w:r>
      </w:hyperlink>
      <w:r w:rsidR="006B245F">
        <w:rPr>
          <w:rFonts w:asciiTheme="minorBidi" w:hAnsiTheme="minorBidi" w:cstheme="minorBidi"/>
        </w:rPr>
        <w:t>.</w:t>
      </w:r>
    </w:p>
    <w:p w14:paraId="0BF00EB1" w14:textId="77777777" w:rsidR="006B245F" w:rsidRDefault="006B245F" w:rsidP="006B245F">
      <w:pPr>
        <w:pStyle w:val="ListParagraph"/>
        <w:jc w:val="left"/>
        <w:rPr>
          <w:rFonts w:asciiTheme="minorBidi" w:hAnsiTheme="minorBidi" w:cstheme="minorBidi"/>
          <w:color w:val="222222"/>
        </w:rPr>
      </w:pPr>
    </w:p>
    <w:p w14:paraId="572FD146" w14:textId="77777777" w:rsidR="006B245F" w:rsidRPr="00267659" w:rsidRDefault="006B245F" w:rsidP="006B245F">
      <w:pPr>
        <w:pStyle w:val="ListParagraph"/>
        <w:jc w:val="left"/>
        <w:rPr>
          <w:rFonts w:asciiTheme="minorBidi" w:hAnsiTheme="minorBidi" w:cstheme="minorBidi"/>
        </w:rPr>
      </w:pPr>
    </w:p>
    <w:p w14:paraId="3FD66311" w14:textId="77777777" w:rsidR="006B245F" w:rsidRDefault="006B245F" w:rsidP="006B245F">
      <w:pPr>
        <w:ind w:left="360"/>
        <w:jc w:val="left"/>
        <w:rPr>
          <w:rFonts w:asciiTheme="minorBidi" w:eastAsia="Times New Roman" w:hAnsiTheme="minorBidi" w:cstheme="minorBidi"/>
          <w:color w:val="222222"/>
        </w:rPr>
      </w:pPr>
    </w:p>
    <w:p w14:paraId="67B72028" w14:textId="7C37AEBF" w:rsidR="001D163E" w:rsidRPr="006B245F" w:rsidRDefault="006B245F" w:rsidP="001D163E">
      <w:pPr>
        <w:pStyle w:val="ListParagraph"/>
        <w:numPr>
          <w:ilvl w:val="0"/>
          <w:numId w:val="1"/>
        </w:numPr>
        <w:jc w:val="left"/>
        <w:rPr>
          <w:rFonts w:asciiTheme="minorBidi" w:eastAsia="Times New Roman" w:hAnsiTheme="minorBidi" w:cstheme="minorBidi"/>
        </w:rPr>
      </w:pPr>
      <w:r w:rsidRPr="006B245F">
        <w:rPr>
          <w:rFonts w:asciiTheme="minorBidi" w:eastAsia="Times New Roman" w:hAnsiTheme="minorBidi" w:cstheme="minorBidi"/>
          <w:color w:val="222222"/>
        </w:rPr>
        <w:t xml:space="preserve"> </w:t>
      </w:r>
      <w:r w:rsidR="00C43472" w:rsidRPr="006B245F">
        <w:rPr>
          <w:rFonts w:asciiTheme="minorBidi" w:eastAsia="Times New Roman" w:hAnsiTheme="minorBidi" w:cstheme="minorBidi"/>
          <w:color w:val="222222"/>
        </w:rPr>
        <w:t>Gonot</w:t>
      </w:r>
      <w:r w:rsidR="00C43472" w:rsidRPr="006B245F">
        <w:rPr>
          <w:rFonts w:asciiTheme="minorBidi" w:eastAsia="Times New Roman" w:hAnsiTheme="minorBidi" w:cstheme="minorBidi"/>
          <w:color w:val="222222"/>
          <w:highlight w:val="white"/>
        </w:rPr>
        <w:t xml:space="preserve">-Schoupinsky, F., Garip, G. and Sheffield, D., 2022. The engage-disengage model as an inclusive model for the promotion of healthy and successful aging in the oldest-old. </w:t>
      </w:r>
      <w:r w:rsidR="00C43472" w:rsidRPr="006B245F">
        <w:rPr>
          <w:rFonts w:asciiTheme="minorBidi" w:eastAsia="Times New Roman" w:hAnsiTheme="minorBidi" w:cstheme="minorBidi"/>
          <w:i/>
          <w:color w:val="222222"/>
          <w:highlight w:val="white"/>
        </w:rPr>
        <w:t>Activities, Adaptation &amp; Aging</w:t>
      </w:r>
      <w:r w:rsidR="00C43472" w:rsidRPr="006B245F">
        <w:rPr>
          <w:rFonts w:asciiTheme="minorBidi" w:eastAsia="Times New Roman" w:hAnsiTheme="minorBidi" w:cstheme="minorBidi"/>
          <w:color w:val="222222"/>
          <w:highlight w:val="white"/>
        </w:rPr>
        <w:t xml:space="preserve">, </w:t>
      </w:r>
      <w:r w:rsidR="00C43472" w:rsidRPr="006B245F">
        <w:rPr>
          <w:rFonts w:asciiTheme="minorBidi" w:eastAsia="Times New Roman" w:hAnsiTheme="minorBidi" w:cstheme="minorBidi"/>
          <w:i/>
          <w:color w:val="222222"/>
          <w:highlight w:val="white"/>
        </w:rPr>
        <w:t>46</w:t>
      </w:r>
      <w:r w:rsidR="00C43472" w:rsidRPr="006B245F">
        <w:rPr>
          <w:rFonts w:asciiTheme="minorBidi" w:eastAsia="Times New Roman" w:hAnsiTheme="minorBidi" w:cstheme="minorBidi"/>
          <w:color w:val="222222"/>
          <w:highlight w:val="white"/>
        </w:rPr>
        <w:t xml:space="preserve">(2), pp.159-181. </w:t>
      </w:r>
      <w:r w:rsidR="00C43472" w:rsidRPr="006B245F">
        <w:rPr>
          <w:rFonts w:asciiTheme="minorBidi" w:eastAsia="Times New Roman" w:hAnsiTheme="minorBidi" w:cstheme="minorBidi"/>
        </w:rPr>
        <w:t>Available at:</w:t>
      </w:r>
      <w:r w:rsidR="00C43472" w:rsidRPr="006B245F">
        <w:rPr>
          <w:rFonts w:asciiTheme="minorBidi" w:eastAsia="Times New Roman" w:hAnsiTheme="minorBidi" w:cstheme="minorBidi"/>
          <w:color w:val="222222"/>
          <w:highlight w:val="white"/>
        </w:rPr>
        <w:t xml:space="preserve"> </w:t>
      </w:r>
      <w:hyperlink r:id="rId20">
        <w:r w:rsidR="00C43472" w:rsidRPr="006B245F">
          <w:rPr>
            <w:rFonts w:asciiTheme="minorBidi" w:eastAsia="Times New Roman" w:hAnsiTheme="minorBidi" w:cstheme="minorBidi"/>
            <w:color w:val="1155CC"/>
            <w:highlight w:val="white"/>
            <w:u w:val="single"/>
          </w:rPr>
          <w:t>https://doi.org/10.1080/01924788.2021.1970892</w:t>
        </w:r>
      </w:hyperlink>
      <w:r w:rsidR="00C43472" w:rsidRPr="006B245F">
        <w:rPr>
          <w:rFonts w:asciiTheme="minorBidi" w:eastAsia="Times New Roman" w:hAnsiTheme="minorBidi" w:cstheme="minorBidi"/>
          <w:color w:val="222222"/>
          <w:highlight w:val="white"/>
        </w:rPr>
        <w:t xml:space="preserve"> </w:t>
      </w:r>
    </w:p>
    <w:p w14:paraId="248A4649" w14:textId="77777777" w:rsidR="001D163E" w:rsidRPr="00267659" w:rsidRDefault="001D163E" w:rsidP="001D163E">
      <w:pPr>
        <w:pStyle w:val="ListParagraph"/>
        <w:jc w:val="left"/>
        <w:rPr>
          <w:rFonts w:asciiTheme="minorBidi" w:eastAsia="Times New Roman" w:hAnsiTheme="minorBidi" w:cstheme="minorBidi"/>
        </w:rPr>
      </w:pPr>
    </w:p>
    <w:p w14:paraId="511EA7A8" w14:textId="6E4648A0" w:rsidR="001D163E" w:rsidRPr="006B245F" w:rsidRDefault="00C43472" w:rsidP="001D163E">
      <w:pPr>
        <w:pStyle w:val="ListParagraph"/>
        <w:numPr>
          <w:ilvl w:val="0"/>
          <w:numId w:val="1"/>
        </w:numPr>
        <w:jc w:val="left"/>
        <w:rPr>
          <w:rFonts w:asciiTheme="minorBidi" w:eastAsia="Times New Roman" w:hAnsiTheme="minorBidi" w:cstheme="minorBidi"/>
        </w:rPr>
      </w:pPr>
      <w:r w:rsidRPr="006B245F">
        <w:rPr>
          <w:rFonts w:asciiTheme="minorBidi" w:eastAsia="Times New Roman" w:hAnsiTheme="minorBidi" w:cstheme="minorBidi"/>
          <w:color w:val="222222"/>
          <w:highlight w:val="white"/>
        </w:rPr>
        <w:t xml:space="preserve">Hayre-Kwan, S., Quinn, B., Chu, T., Orr, P. and Snoke, J., 2021. Nursing and Maslow’s hierarchy: A health care pyramid approach to safety and security during a global pandemic. </w:t>
      </w:r>
      <w:r w:rsidRPr="006B245F">
        <w:rPr>
          <w:rFonts w:asciiTheme="minorBidi" w:eastAsia="Times New Roman" w:hAnsiTheme="minorBidi" w:cstheme="minorBidi"/>
          <w:i/>
          <w:color w:val="222222"/>
          <w:highlight w:val="white"/>
        </w:rPr>
        <w:t>Nurse leader</w:t>
      </w:r>
      <w:r w:rsidRPr="006B245F">
        <w:rPr>
          <w:rFonts w:asciiTheme="minorBidi" w:eastAsia="Times New Roman" w:hAnsiTheme="minorBidi" w:cstheme="minorBidi"/>
          <w:color w:val="222222"/>
          <w:highlight w:val="white"/>
        </w:rPr>
        <w:t xml:space="preserve">, </w:t>
      </w:r>
      <w:r w:rsidRPr="006B245F">
        <w:rPr>
          <w:rFonts w:asciiTheme="minorBidi" w:eastAsia="Times New Roman" w:hAnsiTheme="minorBidi" w:cstheme="minorBidi"/>
          <w:i/>
          <w:color w:val="222222"/>
          <w:highlight w:val="white"/>
        </w:rPr>
        <w:t>19</w:t>
      </w:r>
      <w:r w:rsidRPr="006B245F">
        <w:rPr>
          <w:rFonts w:asciiTheme="minorBidi" w:eastAsia="Times New Roman" w:hAnsiTheme="minorBidi" w:cstheme="minorBidi"/>
          <w:color w:val="222222"/>
          <w:highlight w:val="white"/>
        </w:rPr>
        <w:t>(6), pp.590-595.</w:t>
      </w:r>
      <w:r w:rsidRPr="006B245F">
        <w:rPr>
          <w:rFonts w:asciiTheme="minorBidi" w:eastAsia="Times New Roman" w:hAnsiTheme="minorBidi" w:cstheme="minorBidi"/>
        </w:rPr>
        <w:t>Available at:</w:t>
      </w:r>
      <w:r w:rsidRPr="006B245F">
        <w:rPr>
          <w:rFonts w:asciiTheme="minorBidi" w:eastAsia="Times New Roman" w:hAnsiTheme="minorBidi" w:cstheme="minorBidi"/>
          <w:color w:val="222222"/>
          <w:highlight w:val="white"/>
        </w:rPr>
        <w:t xml:space="preserve"> </w:t>
      </w:r>
      <w:hyperlink r:id="rId21">
        <w:r w:rsidRPr="006B245F">
          <w:rPr>
            <w:rFonts w:asciiTheme="minorBidi" w:eastAsia="Times New Roman" w:hAnsiTheme="minorBidi" w:cstheme="minorBidi"/>
            <w:color w:val="1155CC"/>
            <w:highlight w:val="white"/>
            <w:u w:val="single"/>
          </w:rPr>
          <w:t>https://doi.org/10.1016%2Fj.mnl.2021.08.013</w:t>
        </w:r>
      </w:hyperlink>
      <w:r w:rsidRPr="006B245F">
        <w:rPr>
          <w:rFonts w:asciiTheme="minorBidi" w:eastAsia="Times New Roman" w:hAnsiTheme="minorBidi" w:cstheme="minorBidi"/>
          <w:color w:val="222222"/>
          <w:highlight w:val="white"/>
        </w:rPr>
        <w:t xml:space="preserve"> </w:t>
      </w:r>
    </w:p>
    <w:p w14:paraId="29E7586B" w14:textId="77777777" w:rsidR="006B245F" w:rsidRPr="006B245F" w:rsidRDefault="006B245F" w:rsidP="006B245F">
      <w:pPr>
        <w:pStyle w:val="ListParagraph"/>
        <w:rPr>
          <w:rFonts w:asciiTheme="minorBidi" w:eastAsia="Times New Roman" w:hAnsiTheme="minorBidi" w:cstheme="minorBidi"/>
        </w:rPr>
      </w:pPr>
    </w:p>
    <w:p w14:paraId="21EA05A5" w14:textId="77777777" w:rsidR="006B245F" w:rsidRPr="006B245F" w:rsidRDefault="006B245F" w:rsidP="006B245F">
      <w:pPr>
        <w:pStyle w:val="ListParagraph"/>
        <w:jc w:val="left"/>
        <w:rPr>
          <w:rFonts w:asciiTheme="minorBidi" w:eastAsia="Times New Roman" w:hAnsiTheme="minorBidi" w:cstheme="minorBidi"/>
        </w:rPr>
      </w:pPr>
    </w:p>
    <w:p w14:paraId="3E261A36" w14:textId="37269150" w:rsidR="001D163E" w:rsidRPr="006B245F" w:rsidRDefault="00C43472" w:rsidP="001D163E">
      <w:pPr>
        <w:pStyle w:val="ListParagraph"/>
        <w:numPr>
          <w:ilvl w:val="0"/>
          <w:numId w:val="1"/>
        </w:numPr>
        <w:jc w:val="left"/>
        <w:rPr>
          <w:rFonts w:asciiTheme="minorBidi" w:eastAsia="Times New Roman" w:hAnsiTheme="minorBidi" w:cstheme="minorBidi"/>
          <w:color w:val="222222"/>
          <w:highlight w:val="white"/>
        </w:rPr>
      </w:pPr>
      <w:r w:rsidRPr="006B245F">
        <w:rPr>
          <w:rFonts w:asciiTheme="minorBidi" w:eastAsia="Times New Roman" w:hAnsiTheme="minorBidi" w:cstheme="minorBidi"/>
          <w:color w:val="222222"/>
          <w:highlight w:val="white"/>
        </w:rPr>
        <w:t xml:space="preserve">Joseph, S., Sempik, J., Leu, A. and Becker, S., 2020. Young carers research, practice and policy: An overview and critical perspective on possible future directions. </w:t>
      </w:r>
      <w:r w:rsidRPr="006B245F">
        <w:rPr>
          <w:rFonts w:asciiTheme="minorBidi" w:eastAsia="Times New Roman" w:hAnsiTheme="minorBidi" w:cstheme="minorBidi"/>
          <w:i/>
          <w:color w:val="222222"/>
          <w:highlight w:val="white"/>
        </w:rPr>
        <w:t>Adolescent Research Review</w:t>
      </w:r>
      <w:r w:rsidRPr="006B245F">
        <w:rPr>
          <w:rFonts w:asciiTheme="minorBidi" w:eastAsia="Times New Roman" w:hAnsiTheme="minorBidi" w:cstheme="minorBidi"/>
          <w:color w:val="222222"/>
          <w:highlight w:val="white"/>
        </w:rPr>
        <w:t xml:space="preserve">, </w:t>
      </w:r>
      <w:r w:rsidRPr="006B245F">
        <w:rPr>
          <w:rFonts w:asciiTheme="minorBidi" w:eastAsia="Times New Roman" w:hAnsiTheme="minorBidi" w:cstheme="minorBidi"/>
          <w:i/>
          <w:color w:val="222222"/>
          <w:highlight w:val="white"/>
        </w:rPr>
        <w:t>5</w:t>
      </w:r>
      <w:r w:rsidRPr="006B245F">
        <w:rPr>
          <w:rFonts w:asciiTheme="minorBidi" w:eastAsia="Times New Roman" w:hAnsiTheme="minorBidi" w:cstheme="minorBidi"/>
          <w:color w:val="222222"/>
          <w:highlight w:val="white"/>
        </w:rPr>
        <w:t>(1), pp.77-89.</w:t>
      </w:r>
      <w:r w:rsidRPr="006B245F">
        <w:rPr>
          <w:rFonts w:asciiTheme="minorBidi" w:eastAsia="Times New Roman" w:hAnsiTheme="minorBidi" w:cstheme="minorBidi"/>
        </w:rPr>
        <w:t>Available at:</w:t>
      </w:r>
      <w:r w:rsidRPr="006B245F">
        <w:rPr>
          <w:rFonts w:asciiTheme="minorBidi" w:eastAsia="Times New Roman" w:hAnsiTheme="minorBidi" w:cstheme="minorBidi"/>
          <w:color w:val="222222"/>
          <w:highlight w:val="white"/>
        </w:rPr>
        <w:t xml:space="preserve"> </w:t>
      </w:r>
      <w:hyperlink r:id="rId22">
        <w:r w:rsidRPr="006B245F">
          <w:rPr>
            <w:rFonts w:asciiTheme="minorBidi" w:eastAsia="Times New Roman" w:hAnsiTheme="minorBidi" w:cstheme="minorBidi"/>
            <w:color w:val="1155CC"/>
            <w:highlight w:val="white"/>
            <w:u w:val="single"/>
          </w:rPr>
          <w:t>https://doi.org/10.1007/s40894-019-00119-9</w:t>
        </w:r>
      </w:hyperlink>
      <w:r w:rsidRPr="006B245F">
        <w:rPr>
          <w:rFonts w:asciiTheme="minorBidi" w:eastAsia="Times New Roman" w:hAnsiTheme="minorBidi" w:cstheme="minorBidi"/>
          <w:color w:val="222222"/>
          <w:highlight w:val="white"/>
        </w:rPr>
        <w:t xml:space="preserve"> </w:t>
      </w:r>
    </w:p>
    <w:p w14:paraId="0BEA7F66" w14:textId="77777777" w:rsidR="001D163E" w:rsidRPr="00267659" w:rsidRDefault="001D163E" w:rsidP="001D163E">
      <w:pPr>
        <w:pStyle w:val="ListParagraph"/>
        <w:jc w:val="left"/>
        <w:rPr>
          <w:rFonts w:asciiTheme="minorBidi" w:eastAsia="Times New Roman" w:hAnsiTheme="minorBidi" w:cstheme="minorBidi"/>
          <w:color w:val="222222"/>
          <w:highlight w:val="white"/>
        </w:rPr>
      </w:pPr>
    </w:p>
    <w:p w14:paraId="5B239D4F" w14:textId="5D11BA27" w:rsidR="001D163E" w:rsidRDefault="00C43472" w:rsidP="001D163E">
      <w:pPr>
        <w:pStyle w:val="ListParagraph"/>
        <w:numPr>
          <w:ilvl w:val="0"/>
          <w:numId w:val="1"/>
        </w:numPr>
        <w:jc w:val="left"/>
        <w:rPr>
          <w:rFonts w:asciiTheme="minorBidi" w:hAnsiTheme="minorBidi" w:cstheme="minorBidi"/>
        </w:rPr>
      </w:pPr>
      <w:r w:rsidRPr="006B245F">
        <w:rPr>
          <w:rFonts w:asciiTheme="minorBidi" w:eastAsia="Times New Roman" w:hAnsiTheme="minorBidi" w:cstheme="minorBidi"/>
          <w:color w:val="222222"/>
          <w:highlight w:val="white"/>
        </w:rPr>
        <w:lastRenderedPageBreak/>
        <w:t xml:space="preserve">McKee, M., Dunnell, K., Anderson, M., Brayne, C., Charlesworth, A., Johnston-Webber, C., Knapp, M., McGuire, A., Newton, J.N., Taylor, D. and Watt, R.G., 2021. The changing health needs of the UK population. </w:t>
      </w:r>
      <w:r w:rsidRPr="006B245F">
        <w:rPr>
          <w:rFonts w:asciiTheme="minorBidi" w:eastAsia="Times New Roman" w:hAnsiTheme="minorBidi" w:cstheme="minorBidi"/>
          <w:i/>
          <w:color w:val="222222"/>
          <w:highlight w:val="white"/>
        </w:rPr>
        <w:t>The Lancet</w:t>
      </w:r>
      <w:r w:rsidRPr="006B245F">
        <w:rPr>
          <w:rFonts w:asciiTheme="minorBidi" w:eastAsia="Times New Roman" w:hAnsiTheme="minorBidi" w:cstheme="minorBidi"/>
          <w:color w:val="222222"/>
          <w:highlight w:val="white"/>
        </w:rPr>
        <w:t xml:space="preserve">, </w:t>
      </w:r>
      <w:r w:rsidRPr="006B245F">
        <w:rPr>
          <w:rFonts w:asciiTheme="minorBidi" w:eastAsia="Times New Roman" w:hAnsiTheme="minorBidi" w:cstheme="minorBidi"/>
          <w:i/>
          <w:color w:val="222222"/>
          <w:highlight w:val="white"/>
        </w:rPr>
        <w:t>397</w:t>
      </w:r>
      <w:r w:rsidRPr="006B245F">
        <w:rPr>
          <w:rFonts w:asciiTheme="minorBidi" w:eastAsia="Times New Roman" w:hAnsiTheme="minorBidi" w:cstheme="minorBidi"/>
          <w:color w:val="222222"/>
          <w:highlight w:val="white"/>
        </w:rPr>
        <w:t xml:space="preserve">(10288), pp.1979-1991. </w:t>
      </w:r>
      <w:r w:rsidRPr="006B245F">
        <w:rPr>
          <w:rFonts w:asciiTheme="minorBidi" w:eastAsia="Times New Roman" w:hAnsiTheme="minorBidi" w:cstheme="minorBidi"/>
        </w:rPr>
        <w:t>Available at:</w:t>
      </w:r>
      <w:hyperlink r:id="rId23">
        <w:r w:rsidRPr="006B245F">
          <w:rPr>
            <w:rFonts w:asciiTheme="minorBidi" w:eastAsia="Times New Roman" w:hAnsiTheme="minorBidi" w:cstheme="minorBidi"/>
            <w:color w:val="1155CC"/>
            <w:highlight w:val="white"/>
            <w:u w:val="single"/>
          </w:rPr>
          <w:t>https://doi.org/10.1016/S0140-6736(21)00229-4</w:t>
        </w:r>
      </w:hyperlink>
      <w:r w:rsidRPr="006B245F">
        <w:rPr>
          <w:rFonts w:asciiTheme="minorBidi" w:eastAsia="Times New Roman" w:hAnsiTheme="minorBidi" w:cstheme="minorBidi"/>
          <w:color w:val="222222"/>
          <w:highlight w:val="white"/>
        </w:rPr>
        <w:t xml:space="preserve"> </w:t>
      </w:r>
    </w:p>
    <w:p w14:paraId="560EBB46" w14:textId="77777777" w:rsidR="006B245F" w:rsidRPr="006B245F" w:rsidRDefault="006B245F" w:rsidP="006B245F">
      <w:pPr>
        <w:pStyle w:val="ListParagraph"/>
        <w:jc w:val="left"/>
        <w:rPr>
          <w:rFonts w:asciiTheme="minorBidi" w:hAnsiTheme="minorBidi" w:cstheme="minorBidi"/>
        </w:rPr>
      </w:pPr>
    </w:p>
    <w:p w14:paraId="00000066" w14:textId="77777777" w:rsidR="00D94538" w:rsidRDefault="00C43472" w:rsidP="00267659">
      <w:pPr>
        <w:pStyle w:val="ListParagraph"/>
        <w:numPr>
          <w:ilvl w:val="0"/>
          <w:numId w:val="1"/>
        </w:numPr>
        <w:jc w:val="left"/>
        <w:rPr>
          <w:rFonts w:asciiTheme="minorBidi" w:hAnsiTheme="minorBidi" w:cstheme="minorBidi"/>
        </w:rPr>
      </w:pPr>
      <w:r w:rsidRPr="00267659">
        <w:rPr>
          <w:rFonts w:asciiTheme="minorBidi" w:hAnsiTheme="minorBidi" w:cstheme="minorBidi"/>
          <w:color w:val="222222"/>
          <w:highlight w:val="white"/>
        </w:rPr>
        <w:t>McNamara, N., Stevenson, C., Costa, S., Bowe, M., Wakefield, J., Kellezi, B., Wilson, I., Halder, M. and Mair, E., 2021. Community identification, social support, and loneliness: The benefits of social identification for personal well</w:t>
      </w:r>
      <w:r w:rsidRPr="00267659">
        <w:rPr>
          <w:rFonts w:ascii="Cambria Math" w:hAnsi="Cambria Math" w:cs="Cambria Math"/>
          <w:color w:val="222222"/>
          <w:highlight w:val="white"/>
        </w:rPr>
        <w:t>‐</w:t>
      </w:r>
      <w:r w:rsidRPr="00267659">
        <w:rPr>
          <w:rFonts w:asciiTheme="minorBidi" w:hAnsiTheme="minorBidi" w:cstheme="minorBidi"/>
          <w:color w:val="222222"/>
          <w:highlight w:val="white"/>
        </w:rPr>
        <w:t xml:space="preserve">being. </w:t>
      </w:r>
      <w:r w:rsidRPr="00267659">
        <w:rPr>
          <w:rFonts w:asciiTheme="minorBidi" w:hAnsiTheme="minorBidi" w:cstheme="minorBidi"/>
          <w:i/>
          <w:color w:val="222222"/>
          <w:highlight w:val="white"/>
        </w:rPr>
        <w:t>British Journal of Social Psychology</w:t>
      </w:r>
      <w:r w:rsidRPr="00267659">
        <w:rPr>
          <w:rFonts w:asciiTheme="minorBidi" w:hAnsiTheme="minorBidi" w:cstheme="minorBidi"/>
          <w:color w:val="222222"/>
          <w:highlight w:val="white"/>
        </w:rPr>
        <w:t xml:space="preserve">, </w:t>
      </w:r>
      <w:r w:rsidRPr="00267659">
        <w:rPr>
          <w:rFonts w:asciiTheme="minorBidi" w:hAnsiTheme="minorBidi" w:cstheme="minorBidi"/>
          <w:i/>
          <w:color w:val="222222"/>
          <w:highlight w:val="white"/>
        </w:rPr>
        <w:t>60</w:t>
      </w:r>
      <w:r w:rsidRPr="00267659">
        <w:rPr>
          <w:rFonts w:asciiTheme="minorBidi" w:hAnsiTheme="minorBidi" w:cstheme="minorBidi"/>
          <w:color w:val="222222"/>
          <w:highlight w:val="white"/>
        </w:rPr>
        <w:t xml:space="preserve">(4), pp.1379-1402. </w:t>
      </w:r>
      <w:r w:rsidRPr="00267659">
        <w:rPr>
          <w:rFonts w:asciiTheme="minorBidi" w:hAnsiTheme="minorBidi" w:cstheme="minorBidi"/>
        </w:rPr>
        <w:t xml:space="preserve">Available at: </w:t>
      </w:r>
      <w:hyperlink r:id="rId24">
        <w:r w:rsidRPr="00267659">
          <w:rPr>
            <w:rFonts w:asciiTheme="minorBidi" w:hAnsiTheme="minorBidi" w:cstheme="minorBidi"/>
            <w:color w:val="1155CC"/>
            <w:u w:val="single"/>
          </w:rPr>
          <w:t>https://doi.org/10.1111/bjso.12456</w:t>
        </w:r>
      </w:hyperlink>
      <w:r w:rsidRPr="00267659">
        <w:rPr>
          <w:rFonts w:asciiTheme="minorBidi" w:hAnsiTheme="minorBidi" w:cstheme="minorBidi"/>
        </w:rPr>
        <w:t xml:space="preserve"> (Accessed: 2 July 2024).</w:t>
      </w:r>
    </w:p>
    <w:p w14:paraId="4F561A01" w14:textId="77777777" w:rsidR="00B7558A" w:rsidRPr="00B7558A" w:rsidRDefault="00B7558A" w:rsidP="00B7558A">
      <w:pPr>
        <w:pStyle w:val="ListParagraph"/>
        <w:rPr>
          <w:rFonts w:asciiTheme="minorBidi" w:hAnsiTheme="minorBidi" w:cstheme="minorBidi"/>
        </w:rPr>
      </w:pPr>
    </w:p>
    <w:p w14:paraId="49FFC9B6" w14:textId="7F64A508"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Participation, E. (2024) Care act 2014, Legislation.gov.uk. Available at: https://www.legislation.gov.uk/ukpga/2014/23/contents (Accessed: 22 July 2024). </w:t>
      </w:r>
    </w:p>
    <w:p w14:paraId="1BB6A22F" w14:textId="77777777" w:rsidR="001D163E" w:rsidRPr="00267659" w:rsidRDefault="001D163E" w:rsidP="001D163E">
      <w:pPr>
        <w:pStyle w:val="ListParagraph"/>
        <w:jc w:val="left"/>
        <w:rPr>
          <w:rFonts w:asciiTheme="minorBidi" w:hAnsiTheme="minorBidi" w:cstheme="minorBidi"/>
        </w:rPr>
      </w:pPr>
    </w:p>
    <w:p w14:paraId="00000068" w14:textId="0E3358A1" w:rsidR="00D94538" w:rsidRPr="001D163E" w:rsidRDefault="00C43472" w:rsidP="00267659">
      <w:pPr>
        <w:pStyle w:val="ListParagraph"/>
        <w:numPr>
          <w:ilvl w:val="0"/>
          <w:numId w:val="1"/>
        </w:numPr>
        <w:jc w:val="left"/>
        <w:rPr>
          <w:rFonts w:asciiTheme="minorBidi" w:eastAsia="Times New Roman" w:hAnsiTheme="minorBidi" w:cstheme="minorBidi"/>
        </w:rPr>
      </w:pPr>
      <w:r w:rsidRPr="00267659">
        <w:rPr>
          <w:rFonts w:asciiTheme="minorBidi" w:hAnsiTheme="minorBidi" w:cstheme="minorBidi"/>
          <w:color w:val="222222"/>
          <w:highlight w:val="white"/>
        </w:rPr>
        <w:t xml:space="preserve">Şahin, D.S., Özer, Ö. and Yanardağ, M.Z., 2019. Perceived social support, quality of life and satisfaction with life in elderly people. </w:t>
      </w:r>
      <w:r w:rsidRPr="00267659">
        <w:rPr>
          <w:rFonts w:asciiTheme="minorBidi" w:hAnsiTheme="minorBidi" w:cstheme="minorBidi"/>
          <w:i/>
          <w:color w:val="222222"/>
          <w:highlight w:val="white"/>
        </w:rPr>
        <w:t>Educational Gerontology</w:t>
      </w:r>
      <w:r w:rsidRPr="00267659">
        <w:rPr>
          <w:rFonts w:asciiTheme="minorBidi" w:hAnsiTheme="minorBidi" w:cstheme="minorBidi"/>
          <w:color w:val="222222"/>
          <w:highlight w:val="white"/>
        </w:rPr>
        <w:t xml:space="preserve">, </w:t>
      </w:r>
      <w:r w:rsidRPr="00267659">
        <w:rPr>
          <w:rFonts w:asciiTheme="minorBidi" w:hAnsiTheme="minorBidi" w:cstheme="minorBidi"/>
          <w:i/>
          <w:color w:val="222222"/>
          <w:highlight w:val="white"/>
        </w:rPr>
        <w:t>45</w:t>
      </w:r>
      <w:r w:rsidRPr="00267659">
        <w:rPr>
          <w:rFonts w:asciiTheme="minorBidi" w:hAnsiTheme="minorBidi" w:cstheme="minorBidi"/>
          <w:color w:val="222222"/>
          <w:highlight w:val="white"/>
        </w:rPr>
        <w:t xml:space="preserve">(1), pp.69-77. </w:t>
      </w:r>
      <w:r w:rsidRPr="00267659">
        <w:rPr>
          <w:rFonts w:asciiTheme="minorBidi" w:hAnsiTheme="minorBidi" w:cstheme="minorBidi"/>
        </w:rPr>
        <w:t xml:space="preserve">Available at:  </w:t>
      </w:r>
      <w:hyperlink r:id="rId25">
        <w:r w:rsidRPr="00267659">
          <w:rPr>
            <w:rFonts w:asciiTheme="minorBidi" w:hAnsiTheme="minorBidi" w:cstheme="minorBidi"/>
            <w:color w:val="1155CC"/>
            <w:u w:val="single"/>
          </w:rPr>
          <w:t>https://doi.org/10.1080/03601277.2019.1585065</w:t>
        </w:r>
      </w:hyperlink>
      <w:r w:rsidRPr="00267659">
        <w:rPr>
          <w:rFonts w:asciiTheme="minorBidi" w:hAnsiTheme="minorBidi" w:cstheme="minorBidi"/>
        </w:rPr>
        <w:t xml:space="preserve"> </w:t>
      </w:r>
    </w:p>
    <w:p w14:paraId="0B752381" w14:textId="77777777" w:rsidR="001D163E" w:rsidRPr="00267659" w:rsidRDefault="001D163E" w:rsidP="001D163E">
      <w:pPr>
        <w:pStyle w:val="ListParagraph"/>
        <w:jc w:val="left"/>
        <w:rPr>
          <w:rFonts w:asciiTheme="minorBidi" w:eastAsia="Times New Roman" w:hAnsiTheme="minorBidi" w:cstheme="minorBidi"/>
        </w:rPr>
      </w:pPr>
    </w:p>
    <w:p w14:paraId="0000006A" w14:textId="411804FA" w:rsidR="00D94538" w:rsidRPr="00B7558A" w:rsidRDefault="00C43472" w:rsidP="00267659">
      <w:pPr>
        <w:pStyle w:val="ListParagraph"/>
        <w:numPr>
          <w:ilvl w:val="0"/>
          <w:numId w:val="1"/>
        </w:numPr>
        <w:jc w:val="left"/>
        <w:rPr>
          <w:rFonts w:asciiTheme="minorBidi" w:hAnsiTheme="minorBidi" w:cstheme="minorBidi"/>
          <w:color w:val="222222"/>
          <w:sz w:val="20"/>
          <w:szCs w:val="20"/>
          <w:highlight w:val="white"/>
        </w:rPr>
      </w:pPr>
      <w:r w:rsidRPr="006B245F">
        <w:rPr>
          <w:rFonts w:asciiTheme="minorBidi" w:eastAsia="Times New Roman" w:hAnsiTheme="minorBidi" w:cstheme="minorBidi"/>
          <w:color w:val="222222"/>
          <w:highlight w:val="white"/>
        </w:rPr>
        <w:t xml:space="preserve">Sugiura, K., Mahomed, F., Saxena, S. and Patel, V., 2020. An end to coercion: rights and decision-making in mental health care. </w:t>
      </w:r>
      <w:r w:rsidRPr="006B245F">
        <w:rPr>
          <w:rFonts w:asciiTheme="minorBidi" w:eastAsia="Times New Roman" w:hAnsiTheme="minorBidi" w:cstheme="minorBidi"/>
          <w:i/>
          <w:color w:val="222222"/>
          <w:highlight w:val="white"/>
        </w:rPr>
        <w:t>Bulletin of the World Health Organization</w:t>
      </w:r>
      <w:r w:rsidRPr="006B245F">
        <w:rPr>
          <w:rFonts w:asciiTheme="minorBidi" w:eastAsia="Times New Roman" w:hAnsiTheme="minorBidi" w:cstheme="minorBidi"/>
          <w:color w:val="222222"/>
          <w:highlight w:val="white"/>
        </w:rPr>
        <w:t xml:space="preserve">, </w:t>
      </w:r>
      <w:r w:rsidRPr="006B245F">
        <w:rPr>
          <w:rFonts w:asciiTheme="minorBidi" w:eastAsia="Times New Roman" w:hAnsiTheme="minorBidi" w:cstheme="minorBidi"/>
          <w:i/>
          <w:color w:val="222222"/>
          <w:highlight w:val="white"/>
        </w:rPr>
        <w:t>98</w:t>
      </w:r>
      <w:r w:rsidRPr="006B245F">
        <w:rPr>
          <w:rFonts w:asciiTheme="minorBidi" w:eastAsia="Times New Roman" w:hAnsiTheme="minorBidi" w:cstheme="minorBidi"/>
          <w:color w:val="222222"/>
          <w:highlight w:val="white"/>
        </w:rPr>
        <w:t xml:space="preserve">(1), p.52. </w:t>
      </w:r>
      <w:r w:rsidRPr="006B245F">
        <w:rPr>
          <w:rFonts w:asciiTheme="minorBidi" w:eastAsia="Times New Roman" w:hAnsiTheme="minorBidi" w:cstheme="minorBidi"/>
        </w:rPr>
        <w:t>Available at:</w:t>
      </w:r>
      <w:hyperlink r:id="rId26">
        <w:r w:rsidRPr="006B245F">
          <w:rPr>
            <w:rFonts w:asciiTheme="minorBidi" w:eastAsia="Times New Roman" w:hAnsiTheme="minorBidi" w:cstheme="minorBidi"/>
            <w:color w:val="1155CC"/>
            <w:highlight w:val="white"/>
            <w:u w:val="single"/>
          </w:rPr>
          <w:t>https://doi.org/10.2471%2FBLT.19.234906</w:t>
        </w:r>
      </w:hyperlink>
      <w:r w:rsidRPr="006B245F">
        <w:rPr>
          <w:rFonts w:asciiTheme="minorBidi" w:eastAsia="Times New Roman" w:hAnsiTheme="minorBidi" w:cstheme="minorBidi"/>
          <w:color w:val="222222"/>
          <w:highlight w:val="white"/>
        </w:rPr>
        <w:t xml:space="preserve"> </w:t>
      </w:r>
    </w:p>
    <w:p w14:paraId="62507BE1" w14:textId="77777777" w:rsidR="00B7558A" w:rsidRPr="00B7558A" w:rsidRDefault="00B7558A" w:rsidP="00B7558A">
      <w:pPr>
        <w:pStyle w:val="ListParagraph"/>
        <w:rPr>
          <w:rFonts w:asciiTheme="minorBidi" w:hAnsiTheme="minorBidi" w:cstheme="minorBidi"/>
          <w:color w:val="222222"/>
          <w:sz w:val="20"/>
          <w:szCs w:val="20"/>
          <w:highlight w:val="white"/>
        </w:rPr>
      </w:pPr>
    </w:p>
    <w:p w14:paraId="34059033" w14:textId="39FC89BD"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UK, C. (2024) The Care Act and the ‘easements’ to it, The Care Act and the ‘easements’ to it - Care Quality Commission. Available at: https://www.cqc.org.uk/guidance-providers/adult-social-care/care-act-easements-it#:~:text=The%20Care%20Act%202014%20is,the%20impact%20of%20their%20needs (Accessed: 22 July 2024). </w:t>
      </w:r>
    </w:p>
    <w:p w14:paraId="5479C154" w14:textId="77777777" w:rsidR="00B7558A" w:rsidRPr="00B7558A" w:rsidRDefault="00B7558A" w:rsidP="00B7558A">
      <w:pPr>
        <w:rPr>
          <w:rFonts w:asciiTheme="minorBidi" w:hAnsiTheme="minorBidi" w:cstheme="minorBidi"/>
          <w:color w:val="222222"/>
          <w:highlight w:val="white"/>
        </w:rPr>
      </w:pPr>
    </w:p>
    <w:p w14:paraId="5DFA9452" w14:textId="38AF289A"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UK, G. (2022) Big Challenges for Health &amp; Social Care, The Care Act 2014. Available </w:t>
      </w:r>
      <w:proofErr w:type="gramStart"/>
      <w:r w:rsidRPr="00B7558A">
        <w:rPr>
          <w:rFonts w:asciiTheme="minorBidi" w:hAnsiTheme="minorBidi" w:cstheme="minorBidi"/>
          <w:color w:val="222222"/>
          <w:highlight w:val="white"/>
        </w:rPr>
        <w:lastRenderedPageBreak/>
        <w:t>at:https://www.birmingham.gov.uk/download/downloads/id/5320/big_challenges_for_health_and_social_care.pdf</w:t>
      </w:r>
      <w:proofErr w:type="gramEnd"/>
      <w:r w:rsidRPr="00B7558A">
        <w:rPr>
          <w:rFonts w:asciiTheme="minorBidi" w:hAnsiTheme="minorBidi" w:cstheme="minorBidi"/>
          <w:color w:val="222222"/>
          <w:highlight w:val="white"/>
        </w:rPr>
        <w:t xml:space="preserve"> (Accessed: 22 July 2024). </w:t>
      </w:r>
    </w:p>
    <w:p w14:paraId="7FB59128" w14:textId="77777777" w:rsidR="00B7558A" w:rsidRPr="00B7558A" w:rsidRDefault="00B7558A" w:rsidP="00B7558A">
      <w:pPr>
        <w:pStyle w:val="ListParagraph"/>
        <w:rPr>
          <w:rFonts w:asciiTheme="minorBidi" w:hAnsiTheme="minorBidi" w:cstheme="minorBidi"/>
          <w:color w:val="222222"/>
          <w:highlight w:val="white"/>
        </w:rPr>
      </w:pPr>
    </w:p>
    <w:p w14:paraId="53AF1B42" w14:textId="77777777" w:rsidR="00B7558A" w:rsidRPr="00B7558A" w:rsidRDefault="00B7558A" w:rsidP="00B7558A">
      <w:pPr>
        <w:pStyle w:val="ListParagraph"/>
        <w:rPr>
          <w:rFonts w:asciiTheme="minorBidi" w:hAnsiTheme="minorBidi" w:cstheme="minorBidi"/>
          <w:color w:val="222222"/>
          <w:highlight w:val="white"/>
        </w:rPr>
      </w:pPr>
    </w:p>
    <w:p w14:paraId="711901B3" w14:textId="77777777" w:rsidR="00B7558A" w:rsidRPr="00B7558A" w:rsidRDefault="00B7558A" w:rsidP="00B7558A">
      <w:pPr>
        <w:rPr>
          <w:rFonts w:asciiTheme="minorBidi" w:hAnsiTheme="minorBidi" w:cstheme="minorBidi"/>
          <w:color w:val="222222"/>
          <w:highlight w:val="white"/>
        </w:rPr>
      </w:pPr>
    </w:p>
    <w:p w14:paraId="1A0C79BD" w14:textId="15C3D11D"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UK, G. (2023) Domiciliary care, Health. Available at: https://www.health-ni.gov.uk/articles/domiciliary-care (Accessed: 22 July 2024). </w:t>
      </w:r>
    </w:p>
    <w:p w14:paraId="0E88BFF9" w14:textId="77777777" w:rsidR="00B7558A" w:rsidRPr="00B7558A" w:rsidRDefault="00B7558A" w:rsidP="00B7558A">
      <w:pPr>
        <w:rPr>
          <w:rFonts w:asciiTheme="minorBidi" w:hAnsiTheme="minorBidi" w:cstheme="minorBidi"/>
          <w:color w:val="222222"/>
          <w:highlight w:val="white"/>
        </w:rPr>
      </w:pPr>
    </w:p>
    <w:p w14:paraId="633B3962" w14:textId="3B864B6B"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UK, N. (2024a) Mental Health Act, NHS choices. Available at: https://www.nhs.uk/mental-health/social-care-and-your-rights/mental-health-and-the-law/mental-health-act/ (Accessed: 22 July 2024). </w:t>
      </w:r>
    </w:p>
    <w:p w14:paraId="7215500C" w14:textId="77777777" w:rsidR="00B7558A" w:rsidRPr="00B7558A" w:rsidRDefault="00B7558A" w:rsidP="00B7558A">
      <w:pPr>
        <w:rPr>
          <w:rFonts w:asciiTheme="minorBidi" w:hAnsiTheme="minorBidi" w:cstheme="minorBidi"/>
          <w:color w:val="222222"/>
          <w:highlight w:val="white"/>
        </w:rPr>
      </w:pPr>
    </w:p>
    <w:p w14:paraId="36ACC855" w14:textId="2E9A1D33"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UK, N. (2024b) Person-Centered Care, NHS choices. Available at: https://www.hee.nhs.uk/our-work/person-centred-care (Accessed: 22 July 2024). </w:t>
      </w:r>
    </w:p>
    <w:p w14:paraId="7F23FF0B" w14:textId="77777777" w:rsidR="00B7558A" w:rsidRPr="00B7558A" w:rsidRDefault="00B7558A" w:rsidP="00B7558A">
      <w:pPr>
        <w:pStyle w:val="ListParagraph"/>
        <w:rPr>
          <w:rFonts w:asciiTheme="minorBidi" w:hAnsiTheme="minorBidi" w:cstheme="minorBidi"/>
          <w:color w:val="222222"/>
          <w:highlight w:val="white"/>
        </w:rPr>
      </w:pPr>
    </w:p>
    <w:p w14:paraId="4D047F02" w14:textId="77777777" w:rsidR="00B7558A" w:rsidRPr="00B7558A" w:rsidRDefault="00B7558A" w:rsidP="00B7558A">
      <w:pPr>
        <w:rPr>
          <w:rFonts w:asciiTheme="minorBidi" w:hAnsiTheme="minorBidi" w:cstheme="minorBidi"/>
          <w:color w:val="222222"/>
          <w:highlight w:val="white"/>
        </w:rPr>
      </w:pPr>
    </w:p>
    <w:p w14:paraId="4089533B" w14:textId="121DC2C7" w:rsidR="00B7558A" w:rsidRPr="00B7558A" w:rsidRDefault="00B7558A" w:rsidP="00B7558A">
      <w:pPr>
        <w:pStyle w:val="ListParagraph"/>
        <w:numPr>
          <w:ilvl w:val="0"/>
          <w:numId w:val="1"/>
        </w:numPr>
        <w:rPr>
          <w:rFonts w:asciiTheme="minorBidi" w:hAnsiTheme="minorBidi" w:cstheme="minorBidi"/>
          <w:color w:val="222222"/>
          <w:highlight w:val="white"/>
        </w:rPr>
      </w:pPr>
      <w:r w:rsidRPr="00B7558A">
        <w:rPr>
          <w:rFonts w:asciiTheme="minorBidi" w:hAnsiTheme="minorBidi" w:cstheme="minorBidi"/>
          <w:color w:val="222222"/>
          <w:highlight w:val="white"/>
        </w:rPr>
        <w:t xml:space="preserve">Wardle, C. (2024) What are the barriers to good domiciliary </w:t>
      </w:r>
      <w:proofErr w:type="gramStart"/>
      <w:r w:rsidRPr="00B7558A">
        <w:rPr>
          <w:rFonts w:asciiTheme="minorBidi" w:hAnsiTheme="minorBidi" w:cstheme="minorBidi"/>
          <w:color w:val="222222"/>
          <w:highlight w:val="white"/>
        </w:rPr>
        <w:t>care?,</w:t>
      </w:r>
      <w:proofErr w:type="gramEnd"/>
      <w:r w:rsidRPr="00B7558A">
        <w:rPr>
          <w:rFonts w:asciiTheme="minorBidi" w:hAnsiTheme="minorBidi" w:cstheme="minorBidi"/>
          <w:color w:val="222222"/>
          <w:highlight w:val="white"/>
        </w:rPr>
        <w:t xml:space="preserve"> What Are the Barriers to Good Domiciliary Care? Available at: https://www.theaccessgroup.com/en-gb/blog/hsc-the-challenges-facing-the-domiciliary-care-market/ (Accessed: 22 July 2024). </w:t>
      </w:r>
    </w:p>
    <w:p w14:paraId="6F4AE0A9" w14:textId="77777777" w:rsidR="00B7558A" w:rsidRPr="00B7558A" w:rsidRDefault="00B7558A" w:rsidP="00B7558A">
      <w:pPr>
        <w:rPr>
          <w:rFonts w:asciiTheme="minorBidi" w:hAnsiTheme="minorBidi" w:cstheme="minorBidi"/>
          <w:color w:val="222222"/>
          <w:highlight w:val="white"/>
        </w:rPr>
      </w:pPr>
    </w:p>
    <w:p w14:paraId="7E501C09" w14:textId="77777777" w:rsidR="00B7558A" w:rsidRPr="00B7558A" w:rsidRDefault="00B7558A" w:rsidP="00B7558A">
      <w:pPr>
        <w:pStyle w:val="ListParagraph"/>
        <w:jc w:val="left"/>
        <w:rPr>
          <w:rFonts w:asciiTheme="minorBidi" w:hAnsiTheme="minorBidi" w:cstheme="minorBidi"/>
          <w:color w:val="222222"/>
          <w:highlight w:val="white"/>
        </w:rPr>
      </w:pPr>
    </w:p>
    <w:sectPr w:rsidR="00B7558A" w:rsidRPr="00B7558A">
      <w:footerReference w:type="default" r:id="rId2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9FFF05" w14:textId="77777777" w:rsidR="008C59FE" w:rsidRDefault="008C59FE">
      <w:pPr>
        <w:spacing w:line="240" w:lineRule="auto"/>
      </w:pPr>
      <w:r>
        <w:separator/>
      </w:r>
    </w:p>
  </w:endnote>
  <w:endnote w:type="continuationSeparator" w:id="0">
    <w:p w14:paraId="5BFC92B8" w14:textId="77777777" w:rsidR="008C59FE" w:rsidRDefault="008C59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w:panose1 w:val="02020603050405020304"/>
    <w:charset w:val="00"/>
    <w:family w:val="roman"/>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6C" w14:textId="340A3C31" w:rsidR="00D94538" w:rsidRDefault="00C43472">
    <w:pPr>
      <w:jc w:val="right"/>
    </w:pPr>
    <w:r>
      <w:fldChar w:fldCharType="begin"/>
    </w:r>
    <w:r>
      <w:instrText>PAGE</w:instrText>
    </w:r>
    <w:r>
      <w:fldChar w:fldCharType="separate"/>
    </w:r>
    <w:r w:rsidR="009B4B9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FAFDB4" w14:textId="77777777" w:rsidR="008C59FE" w:rsidRDefault="008C59FE">
      <w:pPr>
        <w:spacing w:line="240" w:lineRule="auto"/>
      </w:pPr>
      <w:r>
        <w:separator/>
      </w:r>
    </w:p>
  </w:footnote>
  <w:footnote w:type="continuationSeparator" w:id="0">
    <w:p w14:paraId="194F7371" w14:textId="77777777" w:rsidR="008C59FE" w:rsidRDefault="008C59F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0A7A96"/>
    <w:multiLevelType w:val="hybridMultilevel"/>
    <w:tmpl w:val="606A3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1766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538"/>
    <w:rsid w:val="00030C80"/>
    <w:rsid w:val="000B700F"/>
    <w:rsid w:val="000C4595"/>
    <w:rsid w:val="000E43F1"/>
    <w:rsid w:val="001236E0"/>
    <w:rsid w:val="00161055"/>
    <w:rsid w:val="001D163E"/>
    <w:rsid w:val="001E20B6"/>
    <w:rsid w:val="00215392"/>
    <w:rsid w:val="002565E6"/>
    <w:rsid w:val="00267659"/>
    <w:rsid w:val="002E34BF"/>
    <w:rsid w:val="003221F5"/>
    <w:rsid w:val="003367A2"/>
    <w:rsid w:val="00424287"/>
    <w:rsid w:val="00480615"/>
    <w:rsid w:val="0049472A"/>
    <w:rsid w:val="0064342E"/>
    <w:rsid w:val="0064365B"/>
    <w:rsid w:val="00691671"/>
    <w:rsid w:val="006B1000"/>
    <w:rsid w:val="006B245F"/>
    <w:rsid w:val="007847F1"/>
    <w:rsid w:val="007E3742"/>
    <w:rsid w:val="008C59FE"/>
    <w:rsid w:val="008F6716"/>
    <w:rsid w:val="009B4B91"/>
    <w:rsid w:val="009E7778"/>
    <w:rsid w:val="00A40A4B"/>
    <w:rsid w:val="00AC564B"/>
    <w:rsid w:val="00B677E5"/>
    <w:rsid w:val="00B7558A"/>
    <w:rsid w:val="00C43472"/>
    <w:rsid w:val="00C54EF2"/>
    <w:rsid w:val="00CE5A2D"/>
    <w:rsid w:val="00D945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B27AB"/>
  <w15:docId w15:val="{4575B830-E57D-458C-905B-F20DF0FA8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w:eastAsia="Times" w:hAnsi="Times" w:cs="Times"/>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i/>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15392"/>
    <w:pPr>
      <w:tabs>
        <w:tab w:val="center" w:pos="4513"/>
        <w:tab w:val="right" w:pos="9026"/>
      </w:tabs>
      <w:spacing w:line="240" w:lineRule="auto"/>
    </w:pPr>
  </w:style>
  <w:style w:type="character" w:customStyle="1" w:styleId="HeaderChar">
    <w:name w:val="Header Char"/>
    <w:basedOn w:val="DefaultParagraphFont"/>
    <w:link w:val="Header"/>
    <w:uiPriority w:val="99"/>
    <w:rsid w:val="00215392"/>
  </w:style>
  <w:style w:type="paragraph" w:styleId="Footer">
    <w:name w:val="footer"/>
    <w:basedOn w:val="Normal"/>
    <w:link w:val="FooterChar"/>
    <w:uiPriority w:val="99"/>
    <w:unhideWhenUsed/>
    <w:rsid w:val="00215392"/>
    <w:pPr>
      <w:tabs>
        <w:tab w:val="center" w:pos="4513"/>
        <w:tab w:val="right" w:pos="9026"/>
      </w:tabs>
      <w:spacing w:line="240" w:lineRule="auto"/>
    </w:pPr>
  </w:style>
  <w:style w:type="character" w:customStyle="1" w:styleId="FooterChar">
    <w:name w:val="Footer Char"/>
    <w:basedOn w:val="DefaultParagraphFont"/>
    <w:link w:val="Footer"/>
    <w:uiPriority w:val="99"/>
    <w:rsid w:val="00215392"/>
  </w:style>
  <w:style w:type="character" w:styleId="CommentReference">
    <w:name w:val="annotation reference"/>
    <w:basedOn w:val="DefaultParagraphFont"/>
    <w:uiPriority w:val="99"/>
    <w:semiHidden/>
    <w:unhideWhenUsed/>
    <w:rsid w:val="009E7778"/>
    <w:rPr>
      <w:sz w:val="16"/>
      <w:szCs w:val="16"/>
    </w:rPr>
  </w:style>
  <w:style w:type="paragraph" w:styleId="CommentText">
    <w:name w:val="annotation text"/>
    <w:basedOn w:val="Normal"/>
    <w:link w:val="CommentTextChar"/>
    <w:uiPriority w:val="99"/>
    <w:unhideWhenUsed/>
    <w:rsid w:val="009E7778"/>
    <w:pPr>
      <w:spacing w:line="240" w:lineRule="auto"/>
    </w:pPr>
    <w:rPr>
      <w:sz w:val="20"/>
      <w:szCs w:val="20"/>
    </w:rPr>
  </w:style>
  <w:style w:type="character" w:customStyle="1" w:styleId="CommentTextChar">
    <w:name w:val="Comment Text Char"/>
    <w:basedOn w:val="DefaultParagraphFont"/>
    <w:link w:val="CommentText"/>
    <w:uiPriority w:val="99"/>
    <w:rsid w:val="009E7778"/>
    <w:rPr>
      <w:sz w:val="20"/>
      <w:szCs w:val="20"/>
    </w:rPr>
  </w:style>
  <w:style w:type="paragraph" w:styleId="CommentSubject">
    <w:name w:val="annotation subject"/>
    <w:basedOn w:val="CommentText"/>
    <w:next w:val="CommentText"/>
    <w:link w:val="CommentSubjectChar"/>
    <w:uiPriority w:val="99"/>
    <w:semiHidden/>
    <w:unhideWhenUsed/>
    <w:rsid w:val="009E7778"/>
    <w:rPr>
      <w:b/>
      <w:bCs/>
    </w:rPr>
  </w:style>
  <w:style w:type="character" w:customStyle="1" w:styleId="CommentSubjectChar">
    <w:name w:val="Comment Subject Char"/>
    <w:basedOn w:val="CommentTextChar"/>
    <w:link w:val="CommentSubject"/>
    <w:uiPriority w:val="99"/>
    <w:semiHidden/>
    <w:rsid w:val="009E7778"/>
    <w:rPr>
      <w:b/>
      <w:bCs/>
      <w:sz w:val="20"/>
      <w:szCs w:val="20"/>
    </w:rPr>
  </w:style>
  <w:style w:type="paragraph" w:styleId="ListParagraph">
    <w:name w:val="List Paragraph"/>
    <w:basedOn w:val="Normal"/>
    <w:uiPriority w:val="34"/>
    <w:qFormat/>
    <w:rsid w:val="002676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ageing-better.org.uk/our-ageing-population-state-ageing-2023-4" TargetMode="External"/><Relationship Id="rId13" Type="http://schemas.openxmlformats.org/officeDocument/2006/relationships/hyperlink" Target="https://doi.org/10.1186/s12889-020-09166-7" TargetMode="External"/><Relationship Id="rId18" Type="http://schemas.openxmlformats.org/officeDocument/2006/relationships/hyperlink" Target="https://doi.org/10.1080/10749039.2020.1806328" TargetMode="External"/><Relationship Id="rId26" Type="http://schemas.openxmlformats.org/officeDocument/2006/relationships/hyperlink" Target="https://doi.org/10.2471%2FBLT.19.234906" TargetMode="External"/><Relationship Id="rId3" Type="http://schemas.openxmlformats.org/officeDocument/2006/relationships/styles" Target="styles.xml"/><Relationship Id="rId21" Type="http://schemas.openxmlformats.org/officeDocument/2006/relationships/hyperlink" Target="https://doi.org/10.1016%2Fj.mnl.2021.08.013" TargetMode="External"/><Relationship Id="rId7" Type="http://schemas.openxmlformats.org/officeDocument/2006/relationships/endnotes" Target="endnotes.xml"/><Relationship Id="rId12" Type="http://schemas.openxmlformats.org/officeDocument/2006/relationships/hyperlink" Target="https://eprints.soton.ac.uk/448062/1/WP_95_Recent_trends_in_UK_fertility.pdf" TargetMode="External"/><Relationship Id="rId17" Type="http://schemas.openxmlformats.org/officeDocument/2006/relationships/hyperlink" Target="https://doi.org/10.1016/j.dhjo.2020.100965" TargetMode="External"/><Relationship Id="rId25" Type="http://schemas.openxmlformats.org/officeDocument/2006/relationships/hyperlink" Target="https://doi.org/10.1080/03601277.2019.1585065" TargetMode="External"/><Relationship Id="rId2" Type="http://schemas.openxmlformats.org/officeDocument/2006/relationships/numbering" Target="numbering.xml"/><Relationship Id="rId16" Type="http://schemas.openxmlformats.org/officeDocument/2006/relationships/hyperlink" Target="https://doi.org/10.1192/bjo.2019.100" TargetMode="External"/><Relationship Id="rId20" Type="http://schemas.openxmlformats.org/officeDocument/2006/relationships/hyperlink" Target="https://doi.org/10.1080/01924788.2021.197089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9/bjgp20X712289" TargetMode="External"/><Relationship Id="rId24" Type="http://schemas.openxmlformats.org/officeDocument/2006/relationships/hyperlink" Target="https://doi.org/10.1111/bjso.12456" TargetMode="External"/><Relationship Id="rId5" Type="http://schemas.openxmlformats.org/officeDocument/2006/relationships/webSettings" Target="webSettings.xml"/><Relationship Id="rId15" Type="http://schemas.openxmlformats.org/officeDocument/2006/relationships/hyperlink" Target="https://doi.org/10.3389/fpsyg.2021.728658" TargetMode="External"/><Relationship Id="rId23" Type="http://schemas.openxmlformats.org/officeDocument/2006/relationships/hyperlink" Target="https://doi.org/10.1016/S0140-6736(21)00229-4" TargetMode="External"/><Relationship Id="rId28" Type="http://schemas.openxmlformats.org/officeDocument/2006/relationships/fontTable" Target="fontTable.xml"/><Relationship Id="rId10" Type="http://schemas.openxmlformats.org/officeDocument/2006/relationships/hyperlink" Target="https://doi.org/10.3390/su11226425" TargetMode="External"/><Relationship Id="rId19" Type="http://schemas.openxmlformats.org/officeDocument/2006/relationships/hyperlink" Target="https://doi.org/10.1093/ageing/afaa049" TargetMode="External"/><Relationship Id="rId4" Type="http://schemas.openxmlformats.org/officeDocument/2006/relationships/settings" Target="settings.xml"/><Relationship Id="rId9" Type="http://schemas.openxmlformats.org/officeDocument/2006/relationships/hyperlink" Target="https://link.springer.com/article/10.1186/s12889-021-10630-1" TargetMode="External"/><Relationship Id="rId14" Type="http://schemas.openxmlformats.org/officeDocument/2006/relationships/hyperlink" Target="https://doi.org/10.1111/jocn.15485" TargetMode="External"/><Relationship Id="rId22" Type="http://schemas.openxmlformats.org/officeDocument/2006/relationships/hyperlink" Target="https://doi.org/10.1007/s40894-019-00119-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70309B-E033-48AB-B1B5-4590A18A4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4627</Words>
  <Characters>26379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Isaac Alake</cp:lastModifiedBy>
  <cp:revision>2</cp:revision>
  <dcterms:created xsi:type="dcterms:W3CDTF">2024-07-22T11:30:00Z</dcterms:created>
  <dcterms:modified xsi:type="dcterms:W3CDTF">2024-07-22T11:30:00Z</dcterms:modified>
</cp:coreProperties>
</file>