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z w:val="2"/>
          <w:lang w:val="en-GB" w:eastAsia="en-US"/>
          <w14:ligatures w14:val="standardContextual"/>
        </w:rPr>
        <w:id w:val="237452347"/>
        <w:docPartObj>
          <w:docPartGallery w:val="Cover Pages"/>
          <w:docPartUnique/>
        </w:docPartObj>
      </w:sdtPr>
      <w:sdtEndPr>
        <w:rPr>
          <w:sz w:val="22"/>
        </w:rPr>
      </w:sdtEndPr>
      <w:sdtContent>
        <w:p w14:paraId="2D0AAC95" w14:textId="7C84A0A5" w:rsidR="00636BE4" w:rsidRDefault="00636BE4">
          <w:pPr>
            <w:pStyle w:val="NoSpacing"/>
            <w:rPr>
              <w:sz w:val="2"/>
            </w:rPr>
          </w:pPr>
        </w:p>
        <w:p w14:paraId="0D8BAB18" w14:textId="77777777" w:rsidR="00636BE4" w:rsidRDefault="00636BE4">
          <w:r>
            <w:rPr>
              <w:noProof/>
            </w:rPr>
            <mc:AlternateContent>
              <mc:Choice Requires="wps">
                <w:drawing>
                  <wp:anchor distT="0" distB="0" distL="114300" distR="114300" simplePos="0" relativeHeight="251661312" behindDoc="0" locked="0" layoutInCell="1" allowOverlap="1" wp14:anchorId="422F7ED3" wp14:editId="527F7BFF">
                    <wp:simplePos x="0" y="0"/>
                    <wp:positionH relativeFrom="page">
                      <wp:align>center</wp:align>
                    </wp:positionH>
                    <wp:positionV relativeFrom="margin">
                      <wp:align>top</wp:align>
                    </wp:positionV>
                    <wp:extent cx="5943600" cy="914400"/>
                    <wp:effectExtent l="0" t="0" r="0" b="3810"/>
                    <wp:wrapNone/>
                    <wp:docPr id="62" name="Text Box 1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8496B0" w:themeColor="text2" w:themeTint="99"/>
                                    <w:sz w:val="64"/>
                                    <w:szCs w:val="6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FCA166F" w14:textId="229631F2" w:rsidR="00636BE4" w:rsidRPr="00636BE4" w:rsidRDefault="00FB5507">
                                    <w:pPr>
                                      <w:pStyle w:val="NoSpacing"/>
                                      <w:rPr>
                                        <w:rFonts w:asciiTheme="majorHAnsi" w:eastAsiaTheme="majorEastAsia" w:hAnsiTheme="majorHAnsi" w:cstheme="majorBidi"/>
                                        <w:color w:val="8496B0" w:themeColor="text2" w:themeTint="99"/>
                                        <w:sz w:val="68"/>
                                        <w:szCs w:val="6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heme="majorHAnsi" w:eastAsiaTheme="majorEastAsia" w:hAnsiTheme="majorHAnsi" w:cstheme="majorBidi"/>
                                        <w:color w:val="8496B0" w:themeColor="text2" w:themeTint="99"/>
                                        <w:sz w:val="64"/>
                                        <w:szCs w:val="6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Managing Marketing Change</w:t>
                                    </w:r>
                                  </w:p>
                                </w:sdtContent>
                              </w:sdt>
                              <w:p w14:paraId="66CB8434" w14:textId="6DDA791B" w:rsidR="00636BE4" w:rsidRDefault="00000000">
                                <w:pPr>
                                  <w:pStyle w:val="NoSpacing"/>
                                  <w:spacing w:before="120"/>
                                  <w:rPr>
                                    <w:color w:val="4472C4" w:themeColor="accent1"/>
                                    <w:sz w:val="36"/>
                                    <w:szCs w:val="36"/>
                                  </w:rPr>
                                </w:pPr>
                                <w:sdt>
                                  <w:sdtPr>
                                    <w:rPr>
                                      <w:rFonts w:ascii="Times New Roman" w:hAnsi="Times New Roman" w:cs="Times New Roman"/>
                                      <w:b/>
                                      <w:bCs/>
                                      <w:sz w:val="28"/>
                                      <w:szCs w:val="2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36BE4" w:rsidRPr="00636BE4">
                                      <w:rPr>
                                        <w:rFonts w:ascii="Times New Roman" w:hAnsi="Times New Roman" w:cs="Times New Roman"/>
                                        <w:b/>
                                        <w:bCs/>
                                        <w:sz w:val="28"/>
                                        <w:szCs w:val="24"/>
                                      </w:rPr>
                                      <w:t>Coca-Cola Marketing Strategy Evaluation- A Critical Analysis of Performance, Failures, and Future Directions</w:t>
                                    </w:r>
                                  </w:sdtContent>
                                </w:sdt>
                                <w:r w:rsidR="00636BE4">
                                  <w:rPr>
                                    <w:noProof/>
                                  </w:rPr>
                                  <w:t xml:space="preserve"> </w:t>
                                </w:r>
                              </w:p>
                              <w:p w14:paraId="289B9D9A" w14:textId="77777777" w:rsidR="00636BE4" w:rsidRDefault="00636B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22F7ED3" id="_x0000_t202" coordsize="21600,21600" o:spt="202" path="m,l,21600r21600,l21600,xe">
                    <v:stroke joinstyle="miter"/>
                    <v:path gradientshapeok="t" o:connecttype="rect"/>
                  </v:shapetype>
                  <v:shape id="Text Box 1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olor w:val="8496B0" w:themeColor="text2" w:themeTint="99"/>
                              <w:sz w:val="64"/>
                              <w:szCs w:val="6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FCA166F" w14:textId="229631F2" w:rsidR="00636BE4" w:rsidRPr="00636BE4" w:rsidRDefault="00FB5507">
                              <w:pPr>
                                <w:pStyle w:val="NoSpacing"/>
                                <w:rPr>
                                  <w:rFonts w:asciiTheme="majorHAnsi" w:eastAsiaTheme="majorEastAsia" w:hAnsiTheme="majorHAnsi" w:cstheme="majorBidi"/>
                                  <w:color w:val="8496B0" w:themeColor="text2" w:themeTint="99"/>
                                  <w:sz w:val="68"/>
                                  <w:szCs w:val="6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heme="majorHAnsi" w:eastAsiaTheme="majorEastAsia" w:hAnsiTheme="majorHAnsi" w:cstheme="majorBidi"/>
                                  <w:color w:val="8496B0" w:themeColor="text2" w:themeTint="99"/>
                                  <w:sz w:val="64"/>
                                  <w:szCs w:val="6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Managing Marketing Change</w:t>
                              </w:r>
                            </w:p>
                          </w:sdtContent>
                        </w:sdt>
                        <w:p w14:paraId="66CB8434" w14:textId="6DDA791B" w:rsidR="00636BE4" w:rsidRDefault="00000000">
                          <w:pPr>
                            <w:pStyle w:val="NoSpacing"/>
                            <w:spacing w:before="120"/>
                            <w:rPr>
                              <w:color w:val="4472C4" w:themeColor="accent1"/>
                              <w:sz w:val="36"/>
                              <w:szCs w:val="36"/>
                            </w:rPr>
                          </w:pPr>
                          <w:sdt>
                            <w:sdtPr>
                              <w:rPr>
                                <w:rFonts w:ascii="Times New Roman" w:hAnsi="Times New Roman" w:cs="Times New Roman"/>
                                <w:b/>
                                <w:bCs/>
                                <w:sz w:val="28"/>
                                <w:szCs w:val="2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36BE4" w:rsidRPr="00636BE4">
                                <w:rPr>
                                  <w:rFonts w:ascii="Times New Roman" w:hAnsi="Times New Roman" w:cs="Times New Roman"/>
                                  <w:b/>
                                  <w:bCs/>
                                  <w:sz w:val="28"/>
                                  <w:szCs w:val="24"/>
                                </w:rPr>
                                <w:t>Coca-Cola Marketing Strategy Evaluation- A Critical Analysis of Performance, Failures, and Future Directions</w:t>
                              </w:r>
                            </w:sdtContent>
                          </w:sdt>
                          <w:r w:rsidR="00636BE4">
                            <w:rPr>
                              <w:noProof/>
                            </w:rPr>
                            <w:t xml:space="preserve"> </w:t>
                          </w:r>
                        </w:p>
                        <w:p w14:paraId="289B9D9A" w14:textId="77777777" w:rsidR="00636BE4" w:rsidRDefault="00636BE4"/>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F92007D" wp14:editId="3F2978B4">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17A68D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5085B32" wp14:editId="1C9F63C9">
                    <wp:simplePos x="0" y="0"/>
                    <wp:positionH relativeFrom="page">
                      <wp:align>center</wp:align>
                    </wp:positionH>
                    <wp:positionV relativeFrom="margin">
                      <wp:align>bottom</wp:align>
                    </wp:positionV>
                    <wp:extent cx="5943600" cy="374904"/>
                    <wp:effectExtent l="0" t="0" r="0" b="2540"/>
                    <wp:wrapNone/>
                    <wp:docPr id="69" name="Text Box 1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9E732" w14:textId="46273B73" w:rsidR="00636BE4"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636BE4">
                                      <w:rPr>
                                        <w:color w:val="4472C4" w:themeColor="accent1"/>
                                        <w:sz w:val="36"/>
                                        <w:szCs w:val="36"/>
                                      </w:rPr>
                                      <w:t>Davood Abbasi:1707099</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2276998" w14:textId="1D3931A2" w:rsidR="00636BE4" w:rsidRDefault="00636BE4">
                                    <w:pPr>
                                      <w:pStyle w:val="NoSpacing"/>
                                      <w:jc w:val="right"/>
                                      <w:rPr>
                                        <w:color w:val="4472C4" w:themeColor="accent1"/>
                                        <w:sz w:val="36"/>
                                        <w:szCs w:val="36"/>
                                      </w:rPr>
                                    </w:pPr>
                                    <w:r>
                                      <w:rPr>
                                        <w:color w:val="4472C4" w:themeColor="accent1"/>
                                        <w:sz w:val="36"/>
                                        <w:szCs w:val="36"/>
                                      </w:rPr>
                                      <w:t>BMMB7026_SWAN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5085B32" id="Text Box 1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74F9E732" w14:textId="46273B73" w:rsidR="00636BE4" w:rsidRDefault="00636BE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Davood </w:t>
                              </w:r>
                              <w:r>
                                <w:rPr>
                                  <w:color w:val="4472C4" w:themeColor="accent1"/>
                                  <w:sz w:val="36"/>
                                  <w:szCs w:val="36"/>
                                </w:rPr>
                                <w:t>Abbasi:1707099</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2276998" w14:textId="1D3931A2" w:rsidR="00636BE4" w:rsidRDefault="00636BE4">
                              <w:pPr>
                                <w:pStyle w:val="NoSpacing"/>
                                <w:jc w:val="right"/>
                                <w:rPr>
                                  <w:color w:val="4472C4" w:themeColor="accent1"/>
                                  <w:sz w:val="36"/>
                                  <w:szCs w:val="36"/>
                                </w:rPr>
                              </w:pPr>
                              <w:r>
                                <w:rPr>
                                  <w:color w:val="4472C4" w:themeColor="accent1"/>
                                  <w:sz w:val="36"/>
                                  <w:szCs w:val="36"/>
                                </w:rPr>
                                <w:t>BMMB7026_SWAN</w:t>
                              </w:r>
                            </w:p>
                          </w:sdtContent>
                        </w:sdt>
                      </w:txbxContent>
                    </v:textbox>
                    <w10:wrap anchorx="page" anchory="margin"/>
                  </v:shape>
                </w:pict>
              </mc:Fallback>
            </mc:AlternateContent>
          </w:r>
        </w:p>
        <w:p w14:paraId="36F2C762" w14:textId="390DBDF9" w:rsidR="003031E6" w:rsidRPr="00636BE4" w:rsidRDefault="00636BE4" w:rsidP="00636BE4">
          <w:r>
            <w:br w:type="page"/>
          </w:r>
        </w:p>
      </w:sdtContent>
    </w:sdt>
    <w:p w14:paraId="6120F136" w14:textId="77777777" w:rsidR="003031E6" w:rsidRDefault="003031E6" w:rsidP="003031E6">
      <w:pPr>
        <w:spacing w:after="0" w:line="480" w:lineRule="auto"/>
        <w:jc w:val="center"/>
        <w:rPr>
          <w:rFonts w:ascii="Times New Roman" w:hAnsi="Times New Roman" w:cs="Times New Roman"/>
          <w:b/>
          <w:bCs/>
          <w:sz w:val="28"/>
          <w:szCs w:val="24"/>
        </w:rPr>
      </w:pPr>
    </w:p>
    <w:p w14:paraId="70F3E40E" w14:textId="77777777" w:rsidR="003031E6" w:rsidRDefault="003031E6" w:rsidP="003031E6">
      <w:pPr>
        <w:spacing w:after="0" w:line="480" w:lineRule="auto"/>
        <w:jc w:val="center"/>
        <w:rPr>
          <w:rFonts w:ascii="Times New Roman" w:hAnsi="Times New Roman" w:cs="Times New Roman"/>
          <w:b/>
          <w:bCs/>
          <w:sz w:val="28"/>
          <w:szCs w:val="24"/>
        </w:rPr>
      </w:pPr>
    </w:p>
    <w:p w14:paraId="6398DFF9" w14:textId="1BAE7D11" w:rsidR="008A7180" w:rsidRPr="003031E6" w:rsidRDefault="002350C0" w:rsidP="003031E6">
      <w:pPr>
        <w:pStyle w:val="Heading1"/>
        <w:spacing w:before="0" w:after="0" w:line="480" w:lineRule="auto"/>
        <w:rPr>
          <w:rFonts w:cs="Times New Roman"/>
          <w:sz w:val="28"/>
          <w:szCs w:val="28"/>
        </w:rPr>
      </w:pPr>
      <w:bookmarkStart w:id="0" w:name="_Toc218612758"/>
      <w:r w:rsidRPr="003031E6">
        <w:rPr>
          <w:rFonts w:cs="Times New Roman"/>
          <w:sz w:val="28"/>
          <w:szCs w:val="28"/>
        </w:rPr>
        <w:t>Executive Summary</w:t>
      </w:r>
      <w:bookmarkEnd w:id="0"/>
    </w:p>
    <w:p w14:paraId="189B2DE5" w14:textId="692C5EDF" w:rsidR="008A7180" w:rsidRPr="003031E6" w:rsidRDefault="008A7180" w:rsidP="003031E6">
      <w:pPr>
        <w:spacing w:after="0" w:line="480" w:lineRule="auto"/>
        <w:ind w:firstLine="720"/>
        <w:rPr>
          <w:rFonts w:ascii="Times New Roman" w:hAnsi="Times New Roman" w:cs="Times New Roman"/>
          <w:sz w:val="24"/>
          <w:szCs w:val="24"/>
        </w:rPr>
      </w:pPr>
      <w:r w:rsidRPr="008A7180">
        <w:rPr>
          <w:rFonts w:ascii="Times New Roman" w:hAnsi="Times New Roman" w:cs="Times New Roman"/>
          <w:sz w:val="24"/>
          <w:szCs w:val="24"/>
        </w:rPr>
        <w:t>This critical review assesses the marketing strategy of Coca-Cola based on systematic analysis of organisational competencies, environmental forces, and performance effectiveness, and identifies basic disjunctions between strategic goals and performance results. Financial commitment is evidenced by the fact that the amount of marketing resource invested nowadays is over 5 billion pounds annually, but the organisational influence has been eroded significantly, and the marketing departments are no longer in control of making pricing and distribution decisions. The assessment reports measurable failures in which World Without Waste sustainability communications promised environmental change and operational metrics worsened: plastic footprint growing from 2.96 to 3.45 million metric tonnes is 16.6% growth directly opposite claims of reduction, leading to greenwashing lawsuits with the courts describing claims as consumer deception. The results of analysis show that marketing efficacy differs radically across initiatives: The Share a Coke personalisation campaign elicited 500,000+ posts on social media, providing a 7% sales boost among the target populations, which proves the effectiveness of creative implementation under the condition of alignment with operational realities. On the other hand, the failures of sustainability marketing prove that no sophisticated communication can be equal to operational inauthenticity. Strategic recommendations focus on operational change before communication, infrastructure investments that allow reusable packaging systems based on technological innovation, artificial intelligence-based digital capabilities in response to segmented consumer groups, and systematic reputation building based on proven performance demonstration and not aspirational communications.</w:t>
      </w:r>
    </w:p>
    <w:p w14:paraId="2C627EFC" w14:textId="77777777" w:rsidR="003031E6" w:rsidRPr="003031E6" w:rsidRDefault="003031E6" w:rsidP="003031E6">
      <w:pPr>
        <w:spacing w:after="0" w:line="480" w:lineRule="auto"/>
        <w:ind w:firstLine="720"/>
        <w:rPr>
          <w:rFonts w:ascii="Times New Roman" w:hAnsi="Times New Roman" w:cs="Times New Roman"/>
          <w:sz w:val="24"/>
          <w:szCs w:val="24"/>
        </w:rPr>
      </w:pPr>
    </w:p>
    <w:sdt>
      <w:sdtPr>
        <w:rPr>
          <w:rFonts w:ascii="Times New Roman" w:eastAsiaTheme="minorHAnsi" w:hAnsi="Times New Roman" w:cs="Times New Roman"/>
          <w:color w:val="auto"/>
          <w:sz w:val="22"/>
          <w:szCs w:val="22"/>
          <w:lang w:val="en-GB"/>
          <w14:ligatures w14:val="standardContextual"/>
        </w:rPr>
        <w:id w:val="421077248"/>
        <w:docPartObj>
          <w:docPartGallery w:val="Table of Contents"/>
          <w:docPartUnique/>
        </w:docPartObj>
      </w:sdtPr>
      <w:sdtEndPr>
        <w:rPr>
          <w:b/>
          <w:bCs/>
          <w:noProof/>
        </w:rPr>
      </w:sdtEndPr>
      <w:sdtContent>
        <w:p w14:paraId="0AE98606" w14:textId="65853BAD" w:rsidR="003031E6" w:rsidRDefault="003031E6" w:rsidP="003031E6">
          <w:pPr>
            <w:pStyle w:val="TOCHeading"/>
            <w:spacing w:before="0" w:line="480" w:lineRule="auto"/>
            <w:rPr>
              <w:rFonts w:ascii="Times New Roman" w:hAnsi="Times New Roman" w:cs="Times New Roman"/>
            </w:rPr>
          </w:pPr>
        </w:p>
        <w:p w14:paraId="053D1066" w14:textId="2E584205" w:rsidR="003031E6" w:rsidRPr="003031E6" w:rsidRDefault="003031E6" w:rsidP="003031E6">
          <w:pPr>
            <w:pStyle w:val="TOCHeading"/>
            <w:spacing w:before="0" w:line="480" w:lineRule="auto"/>
            <w:jc w:val="center"/>
            <w:rPr>
              <w:rFonts w:ascii="Times New Roman" w:hAnsi="Times New Roman" w:cs="Times New Roman"/>
              <w:b/>
              <w:bCs/>
              <w:color w:val="000000" w:themeColor="text1"/>
              <w:sz w:val="28"/>
              <w:szCs w:val="28"/>
            </w:rPr>
          </w:pPr>
          <w:r w:rsidRPr="003031E6">
            <w:rPr>
              <w:rFonts w:ascii="Times New Roman" w:hAnsi="Times New Roman" w:cs="Times New Roman"/>
              <w:b/>
              <w:bCs/>
              <w:color w:val="000000" w:themeColor="text1"/>
              <w:sz w:val="28"/>
              <w:szCs w:val="28"/>
            </w:rPr>
            <w:t>Table of Contents</w:t>
          </w:r>
        </w:p>
        <w:p w14:paraId="51554A3A" w14:textId="2F350AE0" w:rsidR="00FB5507" w:rsidRDefault="003031E6">
          <w:pPr>
            <w:pStyle w:val="TOC1"/>
            <w:tabs>
              <w:tab w:val="right" w:leader="dot" w:pos="9350"/>
            </w:tabs>
            <w:rPr>
              <w:rFonts w:eastAsiaTheme="minorEastAsia"/>
              <w:noProof/>
              <w:kern w:val="2"/>
              <w:sz w:val="24"/>
              <w:szCs w:val="24"/>
              <w:lang w:eastAsia="en-GB"/>
            </w:rPr>
          </w:pPr>
          <w:r w:rsidRPr="003031E6">
            <w:rPr>
              <w:rFonts w:ascii="Times New Roman" w:hAnsi="Times New Roman" w:cs="Times New Roman"/>
            </w:rPr>
            <w:fldChar w:fldCharType="begin"/>
          </w:r>
          <w:r w:rsidRPr="003031E6">
            <w:rPr>
              <w:rFonts w:ascii="Times New Roman" w:hAnsi="Times New Roman" w:cs="Times New Roman"/>
            </w:rPr>
            <w:instrText xml:space="preserve"> TOC \o "1-3" \h \z \u </w:instrText>
          </w:r>
          <w:r w:rsidRPr="003031E6">
            <w:rPr>
              <w:rFonts w:ascii="Times New Roman" w:hAnsi="Times New Roman" w:cs="Times New Roman"/>
            </w:rPr>
            <w:fldChar w:fldCharType="separate"/>
          </w:r>
          <w:hyperlink w:anchor="_Toc218612758" w:history="1">
            <w:r w:rsidR="00FB5507" w:rsidRPr="00A114B2">
              <w:rPr>
                <w:rStyle w:val="Hyperlink"/>
                <w:rFonts w:cs="Times New Roman"/>
                <w:noProof/>
              </w:rPr>
              <w:t>Executive Summary</w:t>
            </w:r>
            <w:r w:rsidR="00FB5507">
              <w:rPr>
                <w:noProof/>
                <w:webHidden/>
              </w:rPr>
              <w:tab/>
            </w:r>
            <w:r w:rsidR="00FB5507">
              <w:rPr>
                <w:noProof/>
                <w:webHidden/>
              </w:rPr>
              <w:fldChar w:fldCharType="begin"/>
            </w:r>
            <w:r w:rsidR="00FB5507">
              <w:rPr>
                <w:noProof/>
                <w:webHidden/>
              </w:rPr>
              <w:instrText xml:space="preserve"> PAGEREF _Toc218612758 \h </w:instrText>
            </w:r>
            <w:r w:rsidR="00FB5507">
              <w:rPr>
                <w:noProof/>
                <w:webHidden/>
              </w:rPr>
            </w:r>
            <w:r w:rsidR="00FB5507">
              <w:rPr>
                <w:noProof/>
                <w:webHidden/>
              </w:rPr>
              <w:fldChar w:fldCharType="separate"/>
            </w:r>
            <w:r w:rsidR="00FB5507">
              <w:rPr>
                <w:noProof/>
                <w:webHidden/>
              </w:rPr>
              <w:t>1</w:t>
            </w:r>
            <w:r w:rsidR="00FB5507">
              <w:rPr>
                <w:noProof/>
                <w:webHidden/>
              </w:rPr>
              <w:fldChar w:fldCharType="end"/>
            </w:r>
          </w:hyperlink>
        </w:p>
        <w:p w14:paraId="500D8602" w14:textId="0E39BB64" w:rsidR="00FB5507" w:rsidRDefault="00FB5507">
          <w:pPr>
            <w:pStyle w:val="TOC1"/>
            <w:tabs>
              <w:tab w:val="right" w:leader="dot" w:pos="9350"/>
            </w:tabs>
            <w:rPr>
              <w:rFonts w:eastAsiaTheme="minorEastAsia"/>
              <w:noProof/>
              <w:kern w:val="2"/>
              <w:sz w:val="24"/>
              <w:szCs w:val="24"/>
              <w:lang w:eastAsia="en-GB"/>
            </w:rPr>
          </w:pPr>
          <w:hyperlink w:anchor="_Toc218612759" w:history="1">
            <w:r w:rsidRPr="00A114B2">
              <w:rPr>
                <w:rStyle w:val="Hyperlink"/>
                <w:rFonts w:cs="Times New Roman"/>
                <w:noProof/>
              </w:rPr>
              <w:t>1. Introduction</w:t>
            </w:r>
            <w:r>
              <w:rPr>
                <w:noProof/>
                <w:webHidden/>
              </w:rPr>
              <w:tab/>
            </w:r>
            <w:r>
              <w:rPr>
                <w:noProof/>
                <w:webHidden/>
              </w:rPr>
              <w:fldChar w:fldCharType="begin"/>
            </w:r>
            <w:r>
              <w:rPr>
                <w:noProof/>
                <w:webHidden/>
              </w:rPr>
              <w:instrText xml:space="preserve"> PAGEREF _Toc218612759 \h </w:instrText>
            </w:r>
            <w:r>
              <w:rPr>
                <w:noProof/>
                <w:webHidden/>
              </w:rPr>
            </w:r>
            <w:r>
              <w:rPr>
                <w:noProof/>
                <w:webHidden/>
              </w:rPr>
              <w:fldChar w:fldCharType="separate"/>
            </w:r>
            <w:r>
              <w:rPr>
                <w:noProof/>
                <w:webHidden/>
              </w:rPr>
              <w:t>3</w:t>
            </w:r>
            <w:r>
              <w:rPr>
                <w:noProof/>
                <w:webHidden/>
              </w:rPr>
              <w:fldChar w:fldCharType="end"/>
            </w:r>
          </w:hyperlink>
        </w:p>
        <w:p w14:paraId="31DAECFE" w14:textId="60C7C8CC" w:rsidR="00FB5507" w:rsidRDefault="00FB5507">
          <w:pPr>
            <w:pStyle w:val="TOC1"/>
            <w:tabs>
              <w:tab w:val="right" w:leader="dot" w:pos="9350"/>
            </w:tabs>
            <w:rPr>
              <w:rFonts w:eastAsiaTheme="minorEastAsia"/>
              <w:noProof/>
              <w:kern w:val="2"/>
              <w:sz w:val="24"/>
              <w:szCs w:val="24"/>
              <w:lang w:eastAsia="en-GB"/>
            </w:rPr>
          </w:pPr>
          <w:hyperlink w:anchor="_Toc218612760" w:history="1">
            <w:r w:rsidRPr="00A114B2">
              <w:rPr>
                <w:rStyle w:val="Hyperlink"/>
                <w:rFonts w:cs="Times New Roman"/>
                <w:noProof/>
              </w:rPr>
              <w:t>2. Mai</w:t>
            </w:r>
            <w:r w:rsidRPr="00A114B2">
              <w:rPr>
                <w:rStyle w:val="Hyperlink"/>
                <w:rFonts w:cs="Times New Roman"/>
                <w:noProof/>
              </w:rPr>
              <w:t>n</w:t>
            </w:r>
            <w:r w:rsidRPr="00A114B2">
              <w:rPr>
                <w:rStyle w:val="Hyperlink"/>
                <w:rFonts w:cs="Times New Roman"/>
                <w:noProof/>
              </w:rPr>
              <w:t xml:space="preserve"> Findings</w:t>
            </w:r>
            <w:r>
              <w:rPr>
                <w:noProof/>
                <w:webHidden/>
              </w:rPr>
              <w:tab/>
            </w:r>
            <w:r>
              <w:rPr>
                <w:noProof/>
                <w:webHidden/>
              </w:rPr>
              <w:fldChar w:fldCharType="begin"/>
            </w:r>
            <w:r>
              <w:rPr>
                <w:noProof/>
                <w:webHidden/>
              </w:rPr>
              <w:instrText xml:space="preserve"> PAGEREF _Toc218612760 \h </w:instrText>
            </w:r>
            <w:r>
              <w:rPr>
                <w:noProof/>
                <w:webHidden/>
              </w:rPr>
            </w:r>
            <w:r>
              <w:rPr>
                <w:noProof/>
                <w:webHidden/>
              </w:rPr>
              <w:fldChar w:fldCharType="separate"/>
            </w:r>
            <w:r>
              <w:rPr>
                <w:noProof/>
                <w:webHidden/>
              </w:rPr>
              <w:t>4</w:t>
            </w:r>
            <w:r>
              <w:rPr>
                <w:noProof/>
                <w:webHidden/>
              </w:rPr>
              <w:fldChar w:fldCharType="end"/>
            </w:r>
          </w:hyperlink>
        </w:p>
        <w:p w14:paraId="36C2A630" w14:textId="22D27B1E" w:rsidR="00FB5507" w:rsidRDefault="00FB5507">
          <w:pPr>
            <w:pStyle w:val="TOC2"/>
            <w:tabs>
              <w:tab w:val="right" w:leader="dot" w:pos="9350"/>
            </w:tabs>
            <w:rPr>
              <w:rFonts w:eastAsiaTheme="minorEastAsia"/>
              <w:noProof/>
              <w:kern w:val="2"/>
              <w:sz w:val="24"/>
              <w:szCs w:val="24"/>
              <w:lang w:eastAsia="en-GB"/>
            </w:rPr>
          </w:pPr>
          <w:hyperlink w:anchor="_Toc218612761" w:history="1">
            <w:r w:rsidRPr="00A114B2">
              <w:rPr>
                <w:rStyle w:val="Hyperlink"/>
                <w:noProof/>
              </w:rPr>
              <w:t>2.1 Organisational Capabilities and Resource Deployment</w:t>
            </w:r>
            <w:r>
              <w:rPr>
                <w:noProof/>
                <w:webHidden/>
              </w:rPr>
              <w:tab/>
            </w:r>
            <w:r>
              <w:rPr>
                <w:noProof/>
                <w:webHidden/>
              </w:rPr>
              <w:fldChar w:fldCharType="begin"/>
            </w:r>
            <w:r>
              <w:rPr>
                <w:noProof/>
                <w:webHidden/>
              </w:rPr>
              <w:instrText xml:space="preserve"> PAGEREF _Toc218612761 \h </w:instrText>
            </w:r>
            <w:r>
              <w:rPr>
                <w:noProof/>
                <w:webHidden/>
              </w:rPr>
            </w:r>
            <w:r>
              <w:rPr>
                <w:noProof/>
                <w:webHidden/>
              </w:rPr>
              <w:fldChar w:fldCharType="separate"/>
            </w:r>
            <w:r>
              <w:rPr>
                <w:noProof/>
                <w:webHidden/>
              </w:rPr>
              <w:t>4</w:t>
            </w:r>
            <w:r>
              <w:rPr>
                <w:noProof/>
                <w:webHidden/>
              </w:rPr>
              <w:fldChar w:fldCharType="end"/>
            </w:r>
          </w:hyperlink>
        </w:p>
        <w:p w14:paraId="646E5813" w14:textId="040DB58B" w:rsidR="00FB5507" w:rsidRDefault="00FB5507">
          <w:pPr>
            <w:pStyle w:val="TOC2"/>
            <w:tabs>
              <w:tab w:val="right" w:leader="dot" w:pos="9350"/>
            </w:tabs>
            <w:rPr>
              <w:rFonts w:eastAsiaTheme="minorEastAsia"/>
              <w:noProof/>
              <w:kern w:val="2"/>
              <w:sz w:val="24"/>
              <w:szCs w:val="24"/>
              <w:lang w:eastAsia="en-GB"/>
            </w:rPr>
          </w:pPr>
          <w:hyperlink w:anchor="_Toc218612762" w:history="1">
            <w:r w:rsidRPr="00A114B2">
              <w:rPr>
                <w:rStyle w:val="Hyperlink"/>
                <w:noProof/>
              </w:rPr>
              <w:t>2.2 Environmental Environment and Strategy Pressures</w:t>
            </w:r>
            <w:r>
              <w:rPr>
                <w:noProof/>
                <w:webHidden/>
              </w:rPr>
              <w:tab/>
            </w:r>
            <w:r>
              <w:rPr>
                <w:noProof/>
                <w:webHidden/>
              </w:rPr>
              <w:fldChar w:fldCharType="begin"/>
            </w:r>
            <w:r>
              <w:rPr>
                <w:noProof/>
                <w:webHidden/>
              </w:rPr>
              <w:instrText xml:space="preserve"> PAGEREF _Toc218612762 \h </w:instrText>
            </w:r>
            <w:r>
              <w:rPr>
                <w:noProof/>
                <w:webHidden/>
              </w:rPr>
            </w:r>
            <w:r>
              <w:rPr>
                <w:noProof/>
                <w:webHidden/>
              </w:rPr>
              <w:fldChar w:fldCharType="separate"/>
            </w:r>
            <w:r>
              <w:rPr>
                <w:noProof/>
                <w:webHidden/>
              </w:rPr>
              <w:t>5</w:t>
            </w:r>
            <w:r>
              <w:rPr>
                <w:noProof/>
                <w:webHidden/>
              </w:rPr>
              <w:fldChar w:fldCharType="end"/>
            </w:r>
          </w:hyperlink>
        </w:p>
        <w:p w14:paraId="7835CC88" w14:textId="49A8C04D" w:rsidR="00FB5507" w:rsidRDefault="00FB5507">
          <w:pPr>
            <w:pStyle w:val="TOC2"/>
            <w:tabs>
              <w:tab w:val="right" w:leader="dot" w:pos="9350"/>
            </w:tabs>
            <w:rPr>
              <w:rFonts w:eastAsiaTheme="minorEastAsia"/>
              <w:noProof/>
              <w:kern w:val="2"/>
              <w:sz w:val="24"/>
              <w:szCs w:val="24"/>
              <w:lang w:eastAsia="en-GB"/>
            </w:rPr>
          </w:pPr>
          <w:hyperlink w:anchor="_Toc218612763" w:history="1">
            <w:r w:rsidRPr="00A114B2">
              <w:rPr>
                <w:rStyle w:val="Hyperlink"/>
                <w:noProof/>
              </w:rPr>
              <w:t>2.3 Understanding and Market Positioning of the Consumer</w:t>
            </w:r>
            <w:r>
              <w:rPr>
                <w:noProof/>
                <w:webHidden/>
              </w:rPr>
              <w:tab/>
            </w:r>
            <w:r>
              <w:rPr>
                <w:noProof/>
                <w:webHidden/>
              </w:rPr>
              <w:fldChar w:fldCharType="begin"/>
            </w:r>
            <w:r>
              <w:rPr>
                <w:noProof/>
                <w:webHidden/>
              </w:rPr>
              <w:instrText xml:space="preserve"> PAGEREF _Toc218612763 \h </w:instrText>
            </w:r>
            <w:r>
              <w:rPr>
                <w:noProof/>
                <w:webHidden/>
              </w:rPr>
            </w:r>
            <w:r>
              <w:rPr>
                <w:noProof/>
                <w:webHidden/>
              </w:rPr>
              <w:fldChar w:fldCharType="separate"/>
            </w:r>
            <w:r>
              <w:rPr>
                <w:noProof/>
                <w:webHidden/>
              </w:rPr>
              <w:t>6</w:t>
            </w:r>
            <w:r>
              <w:rPr>
                <w:noProof/>
                <w:webHidden/>
              </w:rPr>
              <w:fldChar w:fldCharType="end"/>
            </w:r>
          </w:hyperlink>
        </w:p>
        <w:p w14:paraId="42F4725F" w14:textId="3BF5FFE0" w:rsidR="00FB5507" w:rsidRDefault="00FB5507">
          <w:pPr>
            <w:pStyle w:val="TOC2"/>
            <w:tabs>
              <w:tab w:val="right" w:leader="dot" w:pos="9350"/>
            </w:tabs>
            <w:rPr>
              <w:rFonts w:eastAsiaTheme="minorEastAsia"/>
              <w:noProof/>
              <w:kern w:val="2"/>
              <w:sz w:val="24"/>
              <w:szCs w:val="24"/>
              <w:lang w:eastAsia="en-GB"/>
            </w:rPr>
          </w:pPr>
          <w:hyperlink w:anchor="_Toc218612764" w:history="1">
            <w:r w:rsidRPr="00A114B2">
              <w:rPr>
                <w:rStyle w:val="Hyperlink"/>
                <w:noProof/>
              </w:rPr>
              <w:t>2.4 Strategic Marketing Implementation</w:t>
            </w:r>
            <w:r>
              <w:rPr>
                <w:noProof/>
                <w:webHidden/>
              </w:rPr>
              <w:tab/>
            </w:r>
            <w:r>
              <w:rPr>
                <w:noProof/>
                <w:webHidden/>
              </w:rPr>
              <w:fldChar w:fldCharType="begin"/>
            </w:r>
            <w:r>
              <w:rPr>
                <w:noProof/>
                <w:webHidden/>
              </w:rPr>
              <w:instrText xml:space="preserve"> PAGEREF _Toc218612764 \h </w:instrText>
            </w:r>
            <w:r>
              <w:rPr>
                <w:noProof/>
                <w:webHidden/>
              </w:rPr>
            </w:r>
            <w:r>
              <w:rPr>
                <w:noProof/>
                <w:webHidden/>
              </w:rPr>
              <w:fldChar w:fldCharType="separate"/>
            </w:r>
            <w:r>
              <w:rPr>
                <w:noProof/>
                <w:webHidden/>
              </w:rPr>
              <w:t>8</w:t>
            </w:r>
            <w:r>
              <w:rPr>
                <w:noProof/>
                <w:webHidden/>
              </w:rPr>
              <w:fldChar w:fldCharType="end"/>
            </w:r>
          </w:hyperlink>
        </w:p>
        <w:p w14:paraId="36D46ED2" w14:textId="4F423C6A" w:rsidR="00FB5507" w:rsidRDefault="00FB5507">
          <w:pPr>
            <w:pStyle w:val="TOC2"/>
            <w:tabs>
              <w:tab w:val="right" w:leader="dot" w:pos="9350"/>
            </w:tabs>
            <w:rPr>
              <w:rFonts w:eastAsiaTheme="minorEastAsia"/>
              <w:noProof/>
              <w:kern w:val="2"/>
              <w:sz w:val="24"/>
              <w:szCs w:val="24"/>
              <w:lang w:eastAsia="en-GB"/>
            </w:rPr>
          </w:pPr>
          <w:hyperlink w:anchor="_Toc218612765" w:history="1">
            <w:r w:rsidRPr="00A114B2">
              <w:rPr>
                <w:rStyle w:val="Hyperlink"/>
                <w:noProof/>
              </w:rPr>
              <w:t>2.5 Performance Measurement and Campaign Effectiveness</w:t>
            </w:r>
            <w:r>
              <w:rPr>
                <w:noProof/>
                <w:webHidden/>
              </w:rPr>
              <w:tab/>
            </w:r>
            <w:r>
              <w:rPr>
                <w:noProof/>
                <w:webHidden/>
              </w:rPr>
              <w:fldChar w:fldCharType="begin"/>
            </w:r>
            <w:r>
              <w:rPr>
                <w:noProof/>
                <w:webHidden/>
              </w:rPr>
              <w:instrText xml:space="preserve"> PAGEREF _Toc218612765 \h </w:instrText>
            </w:r>
            <w:r>
              <w:rPr>
                <w:noProof/>
                <w:webHidden/>
              </w:rPr>
            </w:r>
            <w:r>
              <w:rPr>
                <w:noProof/>
                <w:webHidden/>
              </w:rPr>
              <w:fldChar w:fldCharType="separate"/>
            </w:r>
            <w:r>
              <w:rPr>
                <w:noProof/>
                <w:webHidden/>
              </w:rPr>
              <w:t>13</w:t>
            </w:r>
            <w:r>
              <w:rPr>
                <w:noProof/>
                <w:webHidden/>
              </w:rPr>
              <w:fldChar w:fldCharType="end"/>
            </w:r>
          </w:hyperlink>
        </w:p>
        <w:p w14:paraId="0EAC2CA2" w14:textId="1D2456FD" w:rsidR="00FB5507" w:rsidRDefault="00FB5507">
          <w:pPr>
            <w:pStyle w:val="TOC1"/>
            <w:tabs>
              <w:tab w:val="right" w:leader="dot" w:pos="9350"/>
            </w:tabs>
            <w:rPr>
              <w:rFonts w:eastAsiaTheme="minorEastAsia"/>
              <w:noProof/>
              <w:kern w:val="2"/>
              <w:sz w:val="24"/>
              <w:szCs w:val="24"/>
              <w:lang w:eastAsia="en-GB"/>
            </w:rPr>
          </w:pPr>
          <w:hyperlink w:anchor="_Toc218612766" w:history="1">
            <w:r w:rsidRPr="00A114B2">
              <w:rPr>
                <w:rStyle w:val="Hyperlink"/>
                <w:rFonts w:cs="Times New Roman"/>
                <w:noProof/>
              </w:rPr>
              <w:t>3. Conclusion</w:t>
            </w:r>
            <w:r>
              <w:rPr>
                <w:noProof/>
                <w:webHidden/>
              </w:rPr>
              <w:tab/>
            </w:r>
            <w:r>
              <w:rPr>
                <w:noProof/>
                <w:webHidden/>
              </w:rPr>
              <w:fldChar w:fldCharType="begin"/>
            </w:r>
            <w:r>
              <w:rPr>
                <w:noProof/>
                <w:webHidden/>
              </w:rPr>
              <w:instrText xml:space="preserve"> PAGEREF _Toc218612766 \h </w:instrText>
            </w:r>
            <w:r>
              <w:rPr>
                <w:noProof/>
                <w:webHidden/>
              </w:rPr>
            </w:r>
            <w:r>
              <w:rPr>
                <w:noProof/>
                <w:webHidden/>
              </w:rPr>
              <w:fldChar w:fldCharType="separate"/>
            </w:r>
            <w:r>
              <w:rPr>
                <w:noProof/>
                <w:webHidden/>
              </w:rPr>
              <w:t>14</w:t>
            </w:r>
            <w:r>
              <w:rPr>
                <w:noProof/>
                <w:webHidden/>
              </w:rPr>
              <w:fldChar w:fldCharType="end"/>
            </w:r>
          </w:hyperlink>
        </w:p>
        <w:p w14:paraId="7E38FB1F" w14:textId="635B8263" w:rsidR="00FB5507" w:rsidRDefault="00FB5507">
          <w:pPr>
            <w:pStyle w:val="TOC1"/>
            <w:tabs>
              <w:tab w:val="right" w:leader="dot" w:pos="9350"/>
            </w:tabs>
            <w:rPr>
              <w:rFonts w:eastAsiaTheme="minorEastAsia"/>
              <w:noProof/>
              <w:kern w:val="2"/>
              <w:sz w:val="24"/>
              <w:szCs w:val="24"/>
              <w:lang w:eastAsia="en-GB"/>
            </w:rPr>
          </w:pPr>
          <w:hyperlink w:anchor="_Toc218612767" w:history="1">
            <w:r w:rsidRPr="00A114B2">
              <w:rPr>
                <w:rStyle w:val="Hyperlink"/>
                <w:rFonts w:cs="Times New Roman"/>
                <w:noProof/>
              </w:rPr>
              <w:t>4. Strategic Recommendations for Marketing Transformation</w:t>
            </w:r>
            <w:r>
              <w:rPr>
                <w:noProof/>
                <w:webHidden/>
              </w:rPr>
              <w:tab/>
            </w:r>
            <w:r>
              <w:rPr>
                <w:noProof/>
                <w:webHidden/>
              </w:rPr>
              <w:fldChar w:fldCharType="begin"/>
            </w:r>
            <w:r>
              <w:rPr>
                <w:noProof/>
                <w:webHidden/>
              </w:rPr>
              <w:instrText xml:space="preserve"> PAGEREF _Toc218612767 \h </w:instrText>
            </w:r>
            <w:r>
              <w:rPr>
                <w:noProof/>
                <w:webHidden/>
              </w:rPr>
            </w:r>
            <w:r>
              <w:rPr>
                <w:noProof/>
                <w:webHidden/>
              </w:rPr>
              <w:fldChar w:fldCharType="separate"/>
            </w:r>
            <w:r>
              <w:rPr>
                <w:noProof/>
                <w:webHidden/>
              </w:rPr>
              <w:t>15</w:t>
            </w:r>
            <w:r>
              <w:rPr>
                <w:noProof/>
                <w:webHidden/>
              </w:rPr>
              <w:fldChar w:fldCharType="end"/>
            </w:r>
          </w:hyperlink>
        </w:p>
        <w:p w14:paraId="6B06BDE9" w14:textId="236B6E74" w:rsidR="00FB5507" w:rsidRDefault="00FB5507">
          <w:pPr>
            <w:pStyle w:val="TOC2"/>
            <w:tabs>
              <w:tab w:val="right" w:leader="dot" w:pos="9350"/>
            </w:tabs>
            <w:rPr>
              <w:rFonts w:eastAsiaTheme="minorEastAsia"/>
              <w:noProof/>
              <w:kern w:val="2"/>
              <w:sz w:val="24"/>
              <w:szCs w:val="24"/>
              <w:lang w:eastAsia="en-GB"/>
            </w:rPr>
          </w:pPr>
          <w:hyperlink w:anchor="_Toc218612768" w:history="1">
            <w:r w:rsidRPr="00A114B2">
              <w:rPr>
                <w:rStyle w:val="Hyperlink"/>
                <w:noProof/>
              </w:rPr>
              <w:t>4.1 Operational Authenticity and Market Leadership</w:t>
            </w:r>
            <w:r>
              <w:rPr>
                <w:noProof/>
                <w:webHidden/>
              </w:rPr>
              <w:tab/>
            </w:r>
            <w:r>
              <w:rPr>
                <w:noProof/>
                <w:webHidden/>
              </w:rPr>
              <w:fldChar w:fldCharType="begin"/>
            </w:r>
            <w:r>
              <w:rPr>
                <w:noProof/>
                <w:webHidden/>
              </w:rPr>
              <w:instrText xml:space="preserve"> PAGEREF _Toc218612768 \h </w:instrText>
            </w:r>
            <w:r>
              <w:rPr>
                <w:noProof/>
                <w:webHidden/>
              </w:rPr>
            </w:r>
            <w:r>
              <w:rPr>
                <w:noProof/>
                <w:webHidden/>
              </w:rPr>
              <w:fldChar w:fldCharType="separate"/>
            </w:r>
            <w:r>
              <w:rPr>
                <w:noProof/>
                <w:webHidden/>
              </w:rPr>
              <w:t>15</w:t>
            </w:r>
            <w:r>
              <w:rPr>
                <w:noProof/>
                <w:webHidden/>
              </w:rPr>
              <w:fldChar w:fldCharType="end"/>
            </w:r>
          </w:hyperlink>
        </w:p>
        <w:p w14:paraId="7CB071FA" w14:textId="20E459DC" w:rsidR="00FB5507" w:rsidRDefault="00FB5507">
          <w:pPr>
            <w:pStyle w:val="TOC2"/>
            <w:tabs>
              <w:tab w:val="right" w:leader="dot" w:pos="9350"/>
            </w:tabs>
            <w:rPr>
              <w:rFonts w:eastAsiaTheme="minorEastAsia"/>
              <w:noProof/>
              <w:kern w:val="2"/>
              <w:sz w:val="24"/>
              <w:szCs w:val="24"/>
              <w:lang w:eastAsia="en-GB"/>
            </w:rPr>
          </w:pPr>
          <w:hyperlink w:anchor="_Toc218612769" w:history="1">
            <w:r w:rsidRPr="00A114B2">
              <w:rPr>
                <w:rStyle w:val="Hyperlink"/>
                <w:noProof/>
              </w:rPr>
              <w:t>4.2 Circular Systems and Infrastructure Investment</w:t>
            </w:r>
            <w:r>
              <w:rPr>
                <w:noProof/>
                <w:webHidden/>
              </w:rPr>
              <w:tab/>
            </w:r>
            <w:r>
              <w:rPr>
                <w:noProof/>
                <w:webHidden/>
              </w:rPr>
              <w:fldChar w:fldCharType="begin"/>
            </w:r>
            <w:r>
              <w:rPr>
                <w:noProof/>
                <w:webHidden/>
              </w:rPr>
              <w:instrText xml:space="preserve"> PAGEREF _Toc218612769 \h </w:instrText>
            </w:r>
            <w:r>
              <w:rPr>
                <w:noProof/>
                <w:webHidden/>
              </w:rPr>
            </w:r>
            <w:r>
              <w:rPr>
                <w:noProof/>
                <w:webHidden/>
              </w:rPr>
              <w:fldChar w:fldCharType="separate"/>
            </w:r>
            <w:r>
              <w:rPr>
                <w:noProof/>
                <w:webHidden/>
              </w:rPr>
              <w:t>16</w:t>
            </w:r>
            <w:r>
              <w:rPr>
                <w:noProof/>
                <w:webHidden/>
              </w:rPr>
              <w:fldChar w:fldCharType="end"/>
            </w:r>
          </w:hyperlink>
        </w:p>
        <w:p w14:paraId="18117809" w14:textId="17555E34" w:rsidR="00FB5507" w:rsidRDefault="00FB5507">
          <w:pPr>
            <w:pStyle w:val="TOC2"/>
            <w:tabs>
              <w:tab w:val="right" w:leader="dot" w:pos="9350"/>
            </w:tabs>
            <w:rPr>
              <w:rFonts w:eastAsiaTheme="minorEastAsia"/>
              <w:noProof/>
              <w:kern w:val="2"/>
              <w:sz w:val="24"/>
              <w:szCs w:val="24"/>
              <w:lang w:eastAsia="en-GB"/>
            </w:rPr>
          </w:pPr>
          <w:hyperlink w:anchor="_Toc218612770" w:history="1">
            <w:r w:rsidRPr="00A114B2">
              <w:rPr>
                <w:rStyle w:val="Hyperlink"/>
                <w:noProof/>
              </w:rPr>
              <w:t>4.3 Technology Combination and Consumer Interaction</w:t>
            </w:r>
            <w:r>
              <w:rPr>
                <w:noProof/>
                <w:webHidden/>
              </w:rPr>
              <w:tab/>
            </w:r>
            <w:r>
              <w:rPr>
                <w:noProof/>
                <w:webHidden/>
              </w:rPr>
              <w:fldChar w:fldCharType="begin"/>
            </w:r>
            <w:r>
              <w:rPr>
                <w:noProof/>
                <w:webHidden/>
              </w:rPr>
              <w:instrText xml:space="preserve"> PAGEREF _Toc218612770 \h </w:instrText>
            </w:r>
            <w:r>
              <w:rPr>
                <w:noProof/>
                <w:webHidden/>
              </w:rPr>
            </w:r>
            <w:r>
              <w:rPr>
                <w:noProof/>
                <w:webHidden/>
              </w:rPr>
              <w:fldChar w:fldCharType="separate"/>
            </w:r>
            <w:r>
              <w:rPr>
                <w:noProof/>
                <w:webHidden/>
              </w:rPr>
              <w:t>17</w:t>
            </w:r>
            <w:r>
              <w:rPr>
                <w:noProof/>
                <w:webHidden/>
              </w:rPr>
              <w:fldChar w:fldCharType="end"/>
            </w:r>
          </w:hyperlink>
        </w:p>
        <w:p w14:paraId="7136C09E" w14:textId="7ACF4C3A" w:rsidR="00FB5507" w:rsidRDefault="00FB5507">
          <w:pPr>
            <w:pStyle w:val="TOC2"/>
            <w:tabs>
              <w:tab w:val="right" w:leader="dot" w:pos="9350"/>
            </w:tabs>
            <w:rPr>
              <w:rFonts w:eastAsiaTheme="minorEastAsia"/>
              <w:noProof/>
              <w:kern w:val="2"/>
              <w:sz w:val="24"/>
              <w:szCs w:val="24"/>
              <w:lang w:eastAsia="en-GB"/>
            </w:rPr>
          </w:pPr>
          <w:hyperlink w:anchor="_Toc218612771" w:history="1">
            <w:r w:rsidRPr="00A114B2">
              <w:rPr>
                <w:rStyle w:val="Hyperlink"/>
                <w:noProof/>
              </w:rPr>
              <w:t>4.4 Reputation Rebuilding and Trust Rebuilding</w:t>
            </w:r>
            <w:r>
              <w:rPr>
                <w:noProof/>
                <w:webHidden/>
              </w:rPr>
              <w:tab/>
            </w:r>
            <w:r>
              <w:rPr>
                <w:noProof/>
                <w:webHidden/>
              </w:rPr>
              <w:fldChar w:fldCharType="begin"/>
            </w:r>
            <w:r>
              <w:rPr>
                <w:noProof/>
                <w:webHidden/>
              </w:rPr>
              <w:instrText xml:space="preserve"> PAGEREF _Toc218612771 \h </w:instrText>
            </w:r>
            <w:r>
              <w:rPr>
                <w:noProof/>
                <w:webHidden/>
              </w:rPr>
            </w:r>
            <w:r>
              <w:rPr>
                <w:noProof/>
                <w:webHidden/>
              </w:rPr>
              <w:fldChar w:fldCharType="separate"/>
            </w:r>
            <w:r>
              <w:rPr>
                <w:noProof/>
                <w:webHidden/>
              </w:rPr>
              <w:t>18</w:t>
            </w:r>
            <w:r>
              <w:rPr>
                <w:noProof/>
                <w:webHidden/>
              </w:rPr>
              <w:fldChar w:fldCharType="end"/>
            </w:r>
          </w:hyperlink>
        </w:p>
        <w:p w14:paraId="5C8854F3" w14:textId="52FE2C21" w:rsidR="00FB5507" w:rsidRDefault="00FB5507">
          <w:pPr>
            <w:pStyle w:val="TOC1"/>
            <w:tabs>
              <w:tab w:val="right" w:leader="dot" w:pos="9350"/>
            </w:tabs>
            <w:rPr>
              <w:rFonts w:eastAsiaTheme="minorEastAsia"/>
              <w:noProof/>
              <w:kern w:val="2"/>
              <w:sz w:val="24"/>
              <w:szCs w:val="24"/>
              <w:lang w:eastAsia="en-GB"/>
            </w:rPr>
          </w:pPr>
          <w:hyperlink w:anchor="_Toc218612772" w:history="1">
            <w:r w:rsidRPr="00A114B2">
              <w:rPr>
                <w:rStyle w:val="Hyperlink"/>
                <w:rFonts w:cs="Times New Roman"/>
                <w:noProof/>
              </w:rPr>
              <w:t>References List</w:t>
            </w:r>
            <w:r>
              <w:rPr>
                <w:noProof/>
                <w:webHidden/>
              </w:rPr>
              <w:tab/>
            </w:r>
            <w:r>
              <w:rPr>
                <w:noProof/>
                <w:webHidden/>
              </w:rPr>
              <w:fldChar w:fldCharType="begin"/>
            </w:r>
            <w:r>
              <w:rPr>
                <w:noProof/>
                <w:webHidden/>
              </w:rPr>
              <w:instrText xml:space="preserve"> PAGEREF _Toc218612772 \h </w:instrText>
            </w:r>
            <w:r>
              <w:rPr>
                <w:noProof/>
                <w:webHidden/>
              </w:rPr>
            </w:r>
            <w:r>
              <w:rPr>
                <w:noProof/>
                <w:webHidden/>
              </w:rPr>
              <w:fldChar w:fldCharType="separate"/>
            </w:r>
            <w:r>
              <w:rPr>
                <w:noProof/>
                <w:webHidden/>
              </w:rPr>
              <w:t>19</w:t>
            </w:r>
            <w:r>
              <w:rPr>
                <w:noProof/>
                <w:webHidden/>
              </w:rPr>
              <w:fldChar w:fldCharType="end"/>
            </w:r>
          </w:hyperlink>
        </w:p>
        <w:p w14:paraId="12AAC424" w14:textId="752FC950" w:rsidR="003031E6" w:rsidRPr="003031E6" w:rsidRDefault="003031E6" w:rsidP="003031E6">
          <w:pPr>
            <w:spacing w:after="0" w:line="480" w:lineRule="auto"/>
            <w:rPr>
              <w:rFonts w:ascii="Times New Roman" w:hAnsi="Times New Roman" w:cs="Times New Roman"/>
            </w:rPr>
          </w:pPr>
          <w:r w:rsidRPr="003031E6">
            <w:rPr>
              <w:rFonts w:ascii="Times New Roman" w:hAnsi="Times New Roman" w:cs="Times New Roman"/>
              <w:b/>
              <w:bCs/>
              <w:noProof/>
            </w:rPr>
            <w:fldChar w:fldCharType="end"/>
          </w:r>
        </w:p>
      </w:sdtContent>
    </w:sdt>
    <w:p w14:paraId="2FC1226E" w14:textId="77777777" w:rsidR="003031E6" w:rsidRPr="008A7180" w:rsidRDefault="003031E6" w:rsidP="003031E6">
      <w:pPr>
        <w:spacing w:after="0" w:line="480" w:lineRule="auto"/>
        <w:rPr>
          <w:rFonts w:ascii="Times New Roman" w:hAnsi="Times New Roman" w:cs="Times New Roman"/>
          <w:sz w:val="24"/>
          <w:szCs w:val="24"/>
        </w:rPr>
      </w:pPr>
    </w:p>
    <w:p w14:paraId="0782ABE0" w14:textId="77777777" w:rsidR="003031E6" w:rsidRPr="003031E6" w:rsidRDefault="003031E6" w:rsidP="003031E6">
      <w:pPr>
        <w:spacing w:after="0" w:line="480" w:lineRule="auto"/>
        <w:rPr>
          <w:rFonts w:ascii="Times New Roman" w:eastAsiaTheme="majorEastAsia" w:hAnsi="Times New Roman" w:cs="Times New Roman"/>
          <w:b/>
          <w:sz w:val="28"/>
          <w:szCs w:val="28"/>
        </w:rPr>
      </w:pPr>
      <w:r w:rsidRPr="003031E6">
        <w:rPr>
          <w:rFonts w:ascii="Times New Roman" w:hAnsi="Times New Roman" w:cs="Times New Roman"/>
          <w:sz w:val="28"/>
          <w:szCs w:val="28"/>
        </w:rPr>
        <w:br w:type="page"/>
      </w:r>
    </w:p>
    <w:p w14:paraId="143C6C48" w14:textId="3F38F7AE" w:rsidR="008A7180" w:rsidRPr="003031E6" w:rsidRDefault="008A7180" w:rsidP="003031E6">
      <w:pPr>
        <w:pStyle w:val="Heading1"/>
        <w:spacing w:before="0" w:after="0" w:line="480" w:lineRule="auto"/>
        <w:rPr>
          <w:rFonts w:cs="Times New Roman"/>
          <w:sz w:val="24"/>
          <w:szCs w:val="24"/>
        </w:rPr>
      </w:pPr>
      <w:bookmarkStart w:id="1" w:name="_Toc218612759"/>
      <w:r w:rsidRPr="003031E6">
        <w:rPr>
          <w:rFonts w:cs="Times New Roman"/>
          <w:sz w:val="28"/>
          <w:szCs w:val="28"/>
        </w:rPr>
        <w:lastRenderedPageBreak/>
        <w:t xml:space="preserve">1. </w:t>
      </w:r>
      <w:r w:rsidR="002350C0" w:rsidRPr="003031E6">
        <w:rPr>
          <w:rFonts w:cs="Times New Roman"/>
          <w:sz w:val="28"/>
          <w:szCs w:val="28"/>
        </w:rPr>
        <w:t>Introduction</w:t>
      </w:r>
      <w:bookmarkEnd w:id="1"/>
    </w:p>
    <w:p w14:paraId="5CE18E21" w14:textId="77777777" w:rsidR="002350C0" w:rsidRPr="002350C0" w:rsidRDefault="002350C0" w:rsidP="003031E6">
      <w:pPr>
        <w:spacing w:after="0" w:line="480" w:lineRule="auto"/>
        <w:ind w:firstLine="720"/>
        <w:rPr>
          <w:rFonts w:ascii="Times New Roman" w:hAnsi="Times New Roman" w:cs="Times New Roman"/>
          <w:sz w:val="24"/>
          <w:szCs w:val="24"/>
        </w:rPr>
      </w:pPr>
      <w:r w:rsidRPr="002350C0">
        <w:rPr>
          <w:rFonts w:ascii="Times New Roman" w:hAnsi="Times New Roman" w:cs="Times New Roman"/>
          <w:sz w:val="24"/>
          <w:szCs w:val="24"/>
        </w:rPr>
        <w:t>The effectiveness of a marketing strategy is a crucial factor based on the alignment of organisational capabilities, environmental conditions and implementation execution. The case study of the Coca-Cola Company is especially educative, as it simultaneously holds the position of the most valuable brand in the whole world in terms of recognition of beverages and takes first place in the rating of the worst plastic pollutants in the world every year over six years (Oceana, 2025). This contradiction is enhanced by litigation situations in which the D.C. Court of Appeals reinstated greenwashing claims against sustainability communications of Coca-Cola, with judicial characterisation of environmental promises as lipstick on a pig reflecting extreme credibility problems (Earth Island Institute, 2024; Plastic Pollution Coalition, 2024).</w:t>
      </w:r>
    </w:p>
    <w:p w14:paraId="7CDB8F58" w14:textId="50E38E42" w:rsidR="002350C0" w:rsidRPr="002350C0" w:rsidRDefault="002350C0" w:rsidP="003031E6">
      <w:pPr>
        <w:spacing w:after="0" w:line="480" w:lineRule="auto"/>
        <w:ind w:firstLine="720"/>
        <w:rPr>
          <w:rFonts w:ascii="Times New Roman" w:hAnsi="Times New Roman" w:cs="Times New Roman"/>
          <w:sz w:val="24"/>
          <w:szCs w:val="24"/>
        </w:rPr>
      </w:pPr>
      <w:r w:rsidRPr="002350C0">
        <w:rPr>
          <w:rFonts w:ascii="Times New Roman" w:hAnsi="Times New Roman" w:cs="Times New Roman"/>
          <w:sz w:val="24"/>
          <w:szCs w:val="24"/>
        </w:rPr>
        <w:t>Pereira (2025) reports that Coca-Cola spends more than 5 billion on marketing and allocates 65% of this sum to digital channels and 35% to supporting traditional media, which positions the organisation as the leader in terms of marketing investment in the world and retains 40% of the market share of non-alcoholic drinks and 94% of brand recognition across the world. Nevertheless, the magnitude of resources alone is not adequate for marketing performance, as the study conducted by Wirtz et al. (2014) on 312 companies shows that the impact of marketing is based not on budget size but on organisational roles and control over resources.</w:t>
      </w:r>
      <w:r w:rsidRPr="003031E6">
        <w:rPr>
          <w:rFonts w:ascii="Times New Roman" w:hAnsi="Times New Roman" w:cs="Times New Roman"/>
          <w:sz w:val="24"/>
          <w:szCs w:val="24"/>
        </w:rPr>
        <w:t xml:space="preserve"> </w:t>
      </w:r>
      <w:r w:rsidRPr="002350C0">
        <w:rPr>
          <w:rFonts w:ascii="Times New Roman" w:hAnsi="Times New Roman" w:cs="Times New Roman"/>
          <w:sz w:val="24"/>
          <w:szCs w:val="24"/>
        </w:rPr>
        <w:t xml:space="preserve">This report includes extensive critical analysis looking into the marketing operations of Coca-Cola in terms of resource allocation, external analysis, consumer positioning, implementation process and performance evaluation, and then suggests strategic weaknesses and possible remedies based on the current marketing literature and industry experiences. The discussion shows that marketing performance differs radically between projects, with successful campaigns such as Share a Coke, which show both operational competence and sustainability failures, revealing the underlying </w:t>
      </w:r>
      <w:r w:rsidRPr="002350C0">
        <w:rPr>
          <w:rFonts w:ascii="Times New Roman" w:hAnsi="Times New Roman" w:cs="Times New Roman"/>
          <w:sz w:val="24"/>
          <w:szCs w:val="24"/>
        </w:rPr>
        <w:lastRenderedPageBreak/>
        <w:t>implementation gaps that will need to be systematically addressed through the comprehensive strategic change.</w:t>
      </w:r>
    </w:p>
    <w:p w14:paraId="0EB0A143" w14:textId="1A531D4E" w:rsidR="008A7180" w:rsidRPr="003031E6" w:rsidRDefault="008A7180" w:rsidP="003031E6">
      <w:pPr>
        <w:pStyle w:val="Heading1"/>
        <w:spacing w:before="0" w:after="0" w:line="480" w:lineRule="auto"/>
        <w:rPr>
          <w:rFonts w:cs="Times New Roman"/>
          <w:sz w:val="28"/>
          <w:szCs w:val="28"/>
        </w:rPr>
      </w:pPr>
      <w:bookmarkStart w:id="2" w:name="_Toc218612760"/>
      <w:r w:rsidRPr="003031E6">
        <w:rPr>
          <w:rFonts w:cs="Times New Roman"/>
          <w:sz w:val="28"/>
          <w:szCs w:val="28"/>
        </w:rPr>
        <w:t xml:space="preserve">2. </w:t>
      </w:r>
      <w:r w:rsidR="00BA36C0" w:rsidRPr="003031E6">
        <w:rPr>
          <w:rFonts w:cs="Times New Roman"/>
          <w:sz w:val="28"/>
          <w:szCs w:val="28"/>
        </w:rPr>
        <w:t>Main Findings</w:t>
      </w:r>
      <w:bookmarkEnd w:id="2"/>
    </w:p>
    <w:p w14:paraId="52033994" w14:textId="4B471CA8" w:rsidR="002350C0" w:rsidRPr="003031E6" w:rsidRDefault="002350C0" w:rsidP="003031E6">
      <w:pPr>
        <w:pStyle w:val="Heading2"/>
      </w:pPr>
      <w:bookmarkStart w:id="3" w:name="_Toc218612761"/>
      <w:r w:rsidRPr="003031E6">
        <w:t>2.1 Organisational Capabilities and Resource Deployment</w:t>
      </w:r>
      <w:bookmarkEnd w:id="3"/>
    </w:p>
    <w:p w14:paraId="7A1925AD" w14:textId="4460D61F" w:rsidR="007A0EFE" w:rsidRPr="007A0EFE" w:rsidRDefault="007A0EFE" w:rsidP="003031E6">
      <w:pPr>
        <w:spacing w:after="0" w:line="480" w:lineRule="auto"/>
        <w:ind w:firstLine="720"/>
        <w:rPr>
          <w:rFonts w:ascii="Times New Roman" w:hAnsi="Times New Roman" w:cs="Times New Roman"/>
          <w:sz w:val="24"/>
          <w:szCs w:val="24"/>
        </w:rPr>
      </w:pPr>
      <w:r w:rsidRPr="007A0EFE">
        <w:rPr>
          <w:rFonts w:ascii="Times New Roman" w:hAnsi="Times New Roman" w:cs="Times New Roman"/>
          <w:sz w:val="24"/>
          <w:szCs w:val="24"/>
        </w:rPr>
        <w:t xml:space="preserve">The strategic effectiveness is basically dependent on the influence of the marketing department irrespective of the availability of resources. According to </w:t>
      </w:r>
      <w:proofErr w:type="spellStart"/>
      <w:r w:rsidRPr="007A0EFE">
        <w:rPr>
          <w:rFonts w:ascii="Times New Roman" w:hAnsi="Times New Roman" w:cs="Times New Roman"/>
          <w:sz w:val="24"/>
          <w:szCs w:val="24"/>
        </w:rPr>
        <w:t>RankRed</w:t>
      </w:r>
      <w:proofErr w:type="spellEnd"/>
      <w:r w:rsidRPr="007A0EFE">
        <w:rPr>
          <w:rFonts w:ascii="Times New Roman" w:hAnsi="Times New Roman" w:cs="Times New Roman"/>
          <w:sz w:val="24"/>
          <w:szCs w:val="24"/>
        </w:rPr>
        <w:t xml:space="preserve"> (2025), Coca-Cola spends more than 20 per cent of overall spending on marketing activities in the United States markets but serves 2.2 billion daily in more than 200 countries, which shows significant resource allocation on the brand awareness and market penetration goals in both developed and emerging markets. Yet, paradoxical dynamics of influencing the marketing departments with high performance impact are also identified in the systematic review by Oliveira and Luce (2020), with the longitudinal research by Homburg et al. also showing influence loss in practically all eleven decisions studied, other than advertising messages, indicating the role of marketing has narrowed to tactical communications at the expense of strategic commercial decisions shifting to other functional areas of sales, operations, and finance.</w:t>
      </w:r>
    </w:p>
    <w:p w14:paraId="31C74972" w14:textId="77777777" w:rsidR="007A0EFE" w:rsidRPr="007A0EFE" w:rsidRDefault="007A0EFE" w:rsidP="003031E6">
      <w:pPr>
        <w:spacing w:after="0" w:line="480" w:lineRule="auto"/>
        <w:ind w:firstLine="720"/>
        <w:rPr>
          <w:rFonts w:ascii="Times New Roman" w:hAnsi="Times New Roman" w:cs="Times New Roman"/>
          <w:sz w:val="24"/>
          <w:szCs w:val="24"/>
        </w:rPr>
      </w:pPr>
      <w:r w:rsidRPr="007A0EFE">
        <w:rPr>
          <w:rFonts w:ascii="Times New Roman" w:hAnsi="Times New Roman" w:cs="Times New Roman"/>
          <w:sz w:val="24"/>
          <w:szCs w:val="24"/>
        </w:rPr>
        <w:t xml:space="preserve">A qualitative study by Malshe et al. (2025) of 120 interviews identifies the implementation barriers of idea dilution, tactical disconnect, and enactment discord, with managers describing marketing as a good-to-have department but not a must-have department (p. 7), which develops peripheral positioning when marketing develops sustainability commitments but has no operational authority to enforce those commitments and generates rhetoric-reality gaps when other functions pursue different goals. The difference between marketing dispersion (distributed responsibilities) and structuration (centralised authority) by Fürst et al. (2023) is applicable to comprehending the issues of implementation, and the study by Eriksson et al. </w:t>
      </w:r>
      <w:r w:rsidRPr="007A0EFE">
        <w:rPr>
          <w:rFonts w:ascii="Times New Roman" w:hAnsi="Times New Roman" w:cs="Times New Roman"/>
          <w:sz w:val="24"/>
          <w:szCs w:val="24"/>
        </w:rPr>
        <w:lastRenderedPageBreak/>
        <w:t>(2021) on functional top management teams also indicates that marketing can play a strategic role in decision-making, relying on structural positioning and executive representation, which is why organisational redesign can become one of the prerequisites of regaining marketing power. The value creation of marketing identified by Kumar et al. (2021) as the core element of marketing depends on the cross-functional integration skills, and the significance of the marketing department provided by Nardini et al. (2021) is associated with the perceived ability to contribute to performance, not the size of the resources.</w:t>
      </w:r>
    </w:p>
    <w:p w14:paraId="45596DF6" w14:textId="57FF4D6A" w:rsidR="007A0EFE" w:rsidRPr="003031E6" w:rsidRDefault="007A0EFE" w:rsidP="003031E6">
      <w:pPr>
        <w:pStyle w:val="Heading2"/>
      </w:pPr>
      <w:bookmarkStart w:id="4" w:name="_Toc218612762"/>
      <w:r w:rsidRPr="003031E6">
        <w:t>2.2 Environmental Environment and Strategy Pressures</w:t>
      </w:r>
      <w:bookmarkEnd w:id="4"/>
    </w:p>
    <w:p w14:paraId="12DC3E27" w14:textId="77777777" w:rsidR="007A0EFE" w:rsidRPr="007A0EFE" w:rsidRDefault="007A0EFE" w:rsidP="003031E6">
      <w:pPr>
        <w:spacing w:after="0" w:line="480" w:lineRule="auto"/>
        <w:ind w:firstLine="720"/>
        <w:rPr>
          <w:rFonts w:ascii="Times New Roman" w:hAnsi="Times New Roman" w:cs="Times New Roman"/>
          <w:sz w:val="24"/>
          <w:szCs w:val="24"/>
        </w:rPr>
      </w:pPr>
      <w:r w:rsidRPr="007A0EFE">
        <w:rPr>
          <w:rFonts w:ascii="Times New Roman" w:hAnsi="Times New Roman" w:cs="Times New Roman"/>
          <w:sz w:val="24"/>
          <w:szCs w:val="24"/>
        </w:rPr>
        <w:t xml:space="preserve">PESTEL analysis exposes complex environmental forces that the marketing strategy of Coca-Cola faces. Political-legal issues are especially acute, and the approach of Kaplow (2024) to analyse the situation highlights the case when courts conclude that the statements made by Coca-Cola in the aspirational section are misleading consumers, and the court sets a precedent that needs to be substantiated in practice. The analysis of Peters and Peters (2024) pinpoints the risks related to greenwashing as going beyond reputational harm to material lawsuits, whereas the analysis of Bloomberg Law (2022) and the reporting document of ESG Dive (2024) highlight further challenges of class-action litigation. The review conducted by </w:t>
      </w:r>
      <w:proofErr w:type="spellStart"/>
      <w:r w:rsidRPr="007A0EFE">
        <w:rPr>
          <w:rFonts w:ascii="Times New Roman" w:hAnsi="Times New Roman" w:cs="Times New Roman"/>
          <w:sz w:val="24"/>
          <w:szCs w:val="24"/>
        </w:rPr>
        <w:t>Lexology</w:t>
      </w:r>
      <w:proofErr w:type="spellEnd"/>
      <w:r w:rsidRPr="007A0EFE">
        <w:rPr>
          <w:rFonts w:ascii="Times New Roman" w:hAnsi="Times New Roman" w:cs="Times New Roman"/>
          <w:sz w:val="24"/>
          <w:szCs w:val="24"/>
        </w:rPr>
        <w:t xml:space="preserve"> (2025) highlights the tightening of regulations concerning environmental marketing claims as imposing compliance requirements in addition to the traditional advertising norms.</w:t>
      </w:r>
    </w:p>
    <w:p w14:paraId="26491218" w14:textId="77777777" w:rsidR="007A0EFE" w:rsidRPr="007A0EFE" w:rsidRDefault="007A0EFE" w:rsidP="003031E6">
      <w:pPr>
        <w:spacing w:after="0" w:line="480" w:lineRule="auto"/>
        <w:ind w:firstLine="720"/>
        <w:rPr>
          <w:rFonts w:ascii="Times New Roman" w:hAnsi="Times New Roman" w:cs="Times New Roman"/>
          <w:sz w:val="24"/>
          <w:szCs w:val="24"/>
        </w:rPr>
      </w:pPr>
      <w:r w:rsidRPr="007A0EFE">
        <w:rPr>
          <w:rFonts w:ascii="Times New Roman" w:hAnsi="Times New Roman" w:cs="Times New Roman"/>
          <w:sz w:val="24"/>
          <w:szCs w:val="24"/>
        </w:rPr>
        <w:t xml:space="preserve">The environmental pressures are added more when Oceana (2025) records that Coca-Cola has a 3.45 million metric tonne footprint of plastic every year, which is 16.6 per cent of their baseline of 2.96 million metric tonnes, though they communicate World Without Waste. The development of voluntary environmental objectives in the Coca-Cola Company (2024) can be viewed as recognition that initial promises were operationally impossible, but the reputational </w:t>
      </w:r>
      <w:r w:rsidRPr="007A0EFE">
        <w:rPr>
          <w:rFonts w:ascii="Times New Roman" w:hAnsi="Times New Roman" w:cs="Times New Roman"/>
          <w:sz w:val="24"/>
          <w:szCs w:val="24"/>
        </w:rPr>
        <w:lastRenderedPageBreak/>
        <w:t>losses have occurred. Social pressures are reflected in changing consumer expectations, but according to the study by Oe and Yamaoka (2020), there is a variation in geographic CSR perception. The analysis offered by Gupta et al. (2024) indicates other areas of pressure in which the health-conscious consumers examine the amount of sugar and the environmental impact. The fact that Coca-Cola revenue exceeded expectations despite controversies mentioned by Rajesh (2024) indicates that consumer purchasing behaviour is more price- and quality-sensitive than environmentally based positioning, whereas the data presented by Bar Am et al. (2023) shows that genuinely based ESG positioning does provide commercial benefits.</w:t>
      </w:r>
    </w:p>
    <w:p w14:paraId="5C47F7D6" w14:textId="3FE89094" w:rsidR="007A0EFE" w:rsidRPr="003031E6" w:rsidRDefault="007A0EFE" w:rsidP="003031E6">
      <w:pPr>
        <w:pStyle w:val="Heading2"/>
      </w:pPr>
      <w:bookmarkStart w:id="5" w:name="_Toc218612763"/>
      <w:r w:rsidRPr="003031E6">
        <w:t>2.3 Understanding and Market Positioning of the Consumer</w:t>
      </w:r>
      <w:bookmarkEnd w:id="5"/>
    </w:p>
    <w:p w14:paraId="4FFBB3C5" w14:textId="77777777" w:rsidR="007A0EFE" w:rsidRPr="007A0EFE" w:rsidRDefault="007A0EFE" w:rsidP="003031E6">
      <w:pPr>
        <w:spacing w:after="0" w:line="480" w:lineRule="auto"/>
        <w:ind w:firstLine="720"/>
        <w:rPr>
          <w:rFonts w:ascii="Times New Roman" w:hAnsi="Times New Roman" w:cs="Times New Roman"/>
          <w:sz w:val="24"/>
          <w:szCs w:val="24"/>
        </w:rPr>
      </w:pPr>
      <w:r w:rsidRPr="007A0EFE">
        <w:rPr>
          <w:rFonts w:ascii="Times New Roman" w:hAnsi="Times New Roman" w:cs="Times New Roman"/>
          <w:sz w:val="24"/>
          <w:szCs w:val="24"/>
        </w:rPr>
        <w:t xml:space="preserve">Targeting is a complex process that involves having advanced knowledge of the diversity of consumers instead of viewing markets as homogenous units. According to Pereira (2024), young adults aged 18-34, families with children, and convenience-seeking consumers are the key audiences of the Coca-Cola brand, but the analysis does not succeed in capturing the heterogeneity of sustainability preferences, with von der </w:t>
      </w:r>
      <w:proofErr w:type="spellStart"/>
      <w:r w:rsidRPr="007A0EFE">
        <w:rPr>
          <w:rFonts w:ascii="Times New Roman" w:hAnsi="Times New Roman" w:cs="Times New Roman"/>
          <w:sz w:val="24"/>
          <w:szCs w:val="24"/>
        </w:rPr>
        <w:t>Gathen</w:t>
      </w:r>
      <w:proofErr w:type="spellEnd"/>
      <w:r w:rsidRPr="007A0EFE">
        <w:rPr>
          <w:rFonts w:ascii="Times New Roman" w:hAnsi="Times New Roman" w:cs="Times New Roman"/>
          <w:sz w:val="24"/>
          <w:szCs w:val="24"/>
        </w:rPr>
        <w:t xml:space="preserve"> et al.'s (2024) research of 8,000 consumers finding that there is no single type of sustainable consumer.</w:t>
      </w:r>
    </w:p>
    <w:p w14:paraId="062C5D0B" w14:textId="77777777" w:rsidR="007A0EFE" w:rsidRPr="007A0EFE" w:rsidRDefault="007A0EFE" w:rsidP="003031E6">
      <w:pPr>
        <w:spacing w:after="0" w:line="480" w:lineRule="auto"/>
        <w:ind w:firstLine="720"/>
        <w:rPr>
          <w:rFonts w:ascii="Times New Roman" w:hAnsi="Times New Roman" w:cs="Times New Roman"/>
          <w:sz w:val="24"/>
          <w:szCs w:val="24"/>
        </w:rPr>
      </w:pPr>
      <w:r w:rsidRPr="007A0EFE">
        <w:rPr>
          <w:rFonts w:ascii="Times New Roman" w:hAnsi="Times New Roman" w:cs="Times New Roman"/>
          <w:sz w:val="24"/>
          <w:szCs w:val="24"/>
        </w:rPr>
        <w:t xml:space="preserve">The five-year analysis of the US sales statistics provided by Bar Am et al. (2023) shows that products claiming to be ESG in their claims increased on average 28% cumulatively compared to non-claiming products, and middle- and upper-income households, urban residents, and families all show a higher probability of purchase. The documentation published by </w:t>
      </w:r>
      <w:proofErr w:type="spellStart"/>
      <w:r w:rsidRPr="007A0EFE">
        <w:rPr>
          <w:rFonts w:ascii="Times New Roman" w:hAnsi="Times New Roman" w:cs="Times New Roman"/>
          <w:sz w:val="24"/>
          <w:szCs w:val="24"/>
        </w:rPr>
        <w:t>Packnode</w:t>
      </w:r>
      <w:proofErr w:type="spellEnd"/>
      <w:r w:rsidRPr="007A0EFE">
        <w:rPr>
          <w:rFonts w:ascii="Times New Roman" w:hAnsi="Times New Roman" w:cs="Times New Roman"/>
          <w:sz w:val="24"/>
          <w:szCs w:val="24"/>
        </w:rPr>
        <w:t xml:space="preserve"> (2023) demonstrates the presence of shocking geographic differences: the readiness to pay premiums is 36 per cent among Indian consumers, who are ready to pay a lot more than 3 per cent of Japanese consumers, and 13 per cent of the United States consumers are ready to pay premiums. The survey by Feber et al. (2025) in the Northeastern United States shows that high-</w:t>
      </w:r>
      <w:r w:rsidRPr="007A0EFE">
        <w:rPr>
          <w:rFonts w:ascii="Times New Roman" w:hAnsi="Times New Roman" w:cs="Times New Roman"/>
          <w:sz w:val="24"/>
          <w:szCs w:val="24"/>
        </w:rPr>
        <w:lastRenderedPageBreak/>
        <w:t>income women show 76% concern with the CO₂ impact, which is a baseline of 44%, with environmental impact being extremely important.</w:t>
      </w:r>
    </w:p>
    <w:p w14:paraId="43A00C7A" w14:textId="585CFEB3" w:rsidR="008A7180" w:rsidRPr="008A7180" w:rsidRDefault="007A0EFE" w:rsidP="003031E6">
      <w:pPr>
        <w:spacing w:after="0" w:line="480" w:lineRule="auto"/>
        <w:ind w:firstLine="720"/>
        <w:rPr>
          <w:rFonts w:ascii="Times New Roman" w:hAnsi="Times New Roman" w:cs="Times New Roman"/>
          <w:sz w:val="24"/>
          <w:szCs w:val="24"/>
        </w:rPr>
      </w:pPr>
      <w:r w:rsidRPr="007A0EFE">
        <w:rPr>
          <w:rFonts w:ascii="Times New Roman" w:hAnsi="Times New Roman" w:cs="Times New Roman"/>
          <w:sz w:val="24"/>
          <w:szCs w:val="24"/>
        </w:rPr>
        <w:t xml:space="preserve">The study of Sharma and </w:t>
      </w:r>
      <w:proofErr w:type="spellStart"/>
      <w:r w:rsidRPr="007A0EFE">
        <w:rPr>
          <w:rFonts w:ascii="Times New Roman" w:hAnsi="Times New Roman" w:cs="Times New Roman"/>
          <w:sz w:val="24"/>
          <w:szCs w:val="24"/>
        </w:rPr>
        <w:t>Wazal</w:t>
      </w:r>
      <w:proofErr w:type="spellEnd"/>
      <w:r w:rsidRPr="007A0EFE">
        <w:rPr>
          <w:rFonts w:ascii="Times New Roman" w:hAnsi="Times New Roman" w:cs="Times New Roman"/>
          <w:sz w:val="24"/>
          <w:szCs w:val="24"/>
        </w:rPr>
        <w:t xml:space="preserve"> (2025) reports the preference of 62 per cent of Gen Z for the brands with high sustainability commitments, and the analysis of Pavon Losada et al. (2025) highlights the growth in the tendency of consumers to consider the packaging sustainability in addition to the product features. Nevertheless, the fact that even 70%+ of consumers, according to Feber and </w:t>
      </w:r>
      <w:proofErr w:type="spellStart"/>
      <w:r w:rsidRPr="007A0EFE">
        <w:rPr>
          <w:rFonts w:ascii="Times New Roman" w:hAnsi="Times New Roman" w:cs="Times New Roman"/>
          <w:sz w:val="24"/>
          <w:szCs w:val="24"/>
        </w:rPr>
        <w:t>Nordigården</w:t>
      </w:r>
      <w:proofErr w:type="spellEnd"/>
      <w:r w:rsidRPr="007A0EFE">
        <w:rPr>
          <w:rFonts w:ascii="Times New Roman" w:hAnsi="Times New Roman" w:cs="Times New Roman"/>
          <w:sz w:val="24"/>
          <w:szCs w:val="24"/>
        </w:rPr>
        <w:t xml:space="preserve"> (2021), value quality, price, and convenience as very important but only 44% regard environmental impact as extremely important implies that pricing strategies cannot be based on sustainability differentiation only but that they need to maintain a competitive position and add environmental characteristics as an additional benefit.</w:t>
      </w:r>
      <w:r w:rsidR="003031E6">
        <w:rPr>
          <w:rFonts w:ascii="Times New Roman" w:hAnsi="Times New Roman" w:cs="Times New Roman"/>
          <w:sz w:val="24"/>
          <w:szCs w:val="24"/>
        </w:rPr>
        <w:t xml:space="preserve"> </w:t>
      </w:r>
      <w:r w:rsidR="003031E6" w:rsidRPr="003031E6">
        <w:rPr>
          <w:rFonts w:ascii="Times New Roman" w:hAnsi="Times New Roman" w:cs="Times New Roman"/>
          <w:sz w:val="24"/>
          <w:szCs w:val="24"/>
        </w:rPr>
        <w:t>Based on the consumer segmentation as illustrated in Table 1, there are eight distinct segments with radically different sustainability commitment and willingness to pay in geographic markets.</w:t>
      </w:r>
    </w:p>
    <w:p w14:paraId="6E0B6DF9" w14:textId="77777777" w:rsidR="008A7180" w:rsidRPr="003031E6" w:rsidRDefault="008A7180" w:rsidP="003031E6">
      <w:pPr>
        <w:spacing w:after="0" w:line="480" w:lineRule="auto"/>
        <w:rPr>
          <w:rFonts w:ascii="Times New Roman" w:hAnsi="Times New Roman" w:cs="Times New Roman"/>
          <w:b/>
          <w:bCs/>
          <w:sz w:val="24"/>
          <w:szCs w:val="24"/>
        </w:rPr>
      </w:pPr>
      <w:r w:rsidRPr="008A7180">
        <w:rPr>
          <w:rFonts w:ascii="Times New Roman" w:hAnsi="Times New Roman" w:cs="Times New Roman"/>
          <w:b/>
          <w:bCs/>
          <w:sz w:val="24"/>
          <w:szCs w:val="24"/>
        </w:rPr>
        <w:t>Table 1: Consumer Segmentation Matrix - Geographic and Demographic Variation</w:t>
      </w:r>
    </w:p>
    <w:tbl>
      <w:tblPr>
        <w:tblStyle w:val="TableGrid"/>
        <w:tblW w:w="9256" w:type="dxa"/>
        <w:tblLook w:val="04A0" w:firstRow="1" w:lastRow="0" w:firstColumn="1" w:lastColumn="0" w:noHBand="0" w:noVBand="1"/>
      </w:tblPr>
      <w:tblGrid>
        <w:gridCol w:w="1837"/>
        <w:gridCol w:w="1836"/>
        <w:gridCol w:w="1836"/>
        <w:gridCol w:w="1910"/>
        <w:gridCol w:w="1837"/>
      </w:tblGrid>
      <w:tr w:rsidR="00E06244" w:rsidRPr="003031E6" w14:paraId="1AA38408" w14:textId="77777777" w:rsidTr="00BA36C0">
        <w:trPr>
          <w:trHeight w:val="506"/>
        </w:trPr>
        <w:tc>
          <w:tcPr>
            <w:tcW w:w="1837" w:type="dxa"/>
            <w:vAlign w:val="center"/>
          </w:tcPr>
          <w:p w14:paraId="65854A34" w14:textId="61F8DC19"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Segment</w:t>
            </w:r>
          </w:p>
        </w:tc>
        <w:tc>
          <w:tcPr>
            <w:tcW w:w="1836" w:type="dxa"/>
            <w:vAlign w:val="center"/>
          </w:tcPr>
          <w:p w14:paraId="457C9DE2" w14:textId="23209422"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Geographic Focus</w:t>
            </w:r>
          </w:p>
        </w:tc>
        <w:tc>
          <w:tcPr>
            <w:tcW w:w="1836" w:type="dxa"/>
            <w:vAlign w:val="center"/>
          </w:tcPr>
          <w:p w14:paraId="58C1BDA4" w14:textId="33DFA927"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Willingness Premium</w:t>
            </w:r>
          </w:p>
        </w:tc>
        <w:tc>
          <w:tcPr>
            <w:tcW w:w="1910" w:type="dxa"/>
            <w:vAlign w:val="center"/>
          </w:tcPr>
          <w:p w14:paraId="1B9534EA" w14:textId="26691DFA"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Key Characteristics</w:t>
            </w:r>
          </w:p>
        </w:tc>
        <w:tc>
          <w:tcPr>
            <w:tcW w:w="1837" w:type="dxa"/>
            <w:vAlign w:val="center"/>
          </w:tcPr>
          <w:p w14:paraId="461BC3E8" w14:textId="29AFCD5F"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Strategic Implication</w:t>
            </w:r>
          </w:p>
        </w:tc>
      </w:tr>
      <w:tr w:rsidR="00E06244" w:rsidRPr="003031E6" w14:paraId="2AEE335E" w14:textId="77777777" w:rsidTr="00BA36C0">
        <w:trPr>
          <w:trHeight w:val="1001"/>
        </w:trPr>
        <w:tc>
          <w:tcPr>
            <w:tcW w:w="1837" w:type="dxa"/>
            <w:vAlign w:val="center"/>
          </w:tcPr>
          <w:p w14:paraId="161EC638" w14:textId="58668F46"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Premium Sustainability</w:t>
            </w:r>
          </w:p>
        </w:tc>
        <w:tc>
          <w:tcPr>
            <w:tcW w:w="1836" w:type="dxa"/>
            <w:vAlign w:val="center"/>
          </w:tcPr>
          <w:p w14:paraId="35A7103C" w14:textId="7193617E"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India, Mexico</w:t>
            </w:r>
          </w:p>
        </w:tc>
        <w:tc>
          <w:tcPr>
            <w:tcW w:w="1836" w:type="dxa"/>
            <w:vAlign w:val="center"/>
          </w:tcPr>
          <w:p w14:paraId="6526A8FC" w14:textId="3E1022A6"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36% (India) "a lot more"</w:t>
            </w:r>
          </w:p>
        </w:tc>
        <w:tc>
          <w:tcPr>
            <w:tcW w:w="1910" w:type="dxa"/>
            <w:vAlign w:val="center"/>
          </w:tcPr>
          <w:p w14:paraId="172DA790" w14:textId="0C0E0829"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High environmental concern, emerging markets</w:t>
            </w:r>
          </w:p>
        </w:tc>
        <w:tc>
          <w:tcPr>
            <w:tcW w:w="1837" w:type="dxa"/>
            <w:vAlign w:val="center"/>
          </w:tcPr>
          <w:p w14:paraId="4D81F4E3" w14:textId="115BB5CF"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Target with authentic claims</w:t>
            </w:r>
          </w:p>
        </w:tc>
      </w:tr>
      <w:tr w:rsidR="00E06244" w:rsidRPr="003031E6" w14:paraId="29320A31" w14:textId="77777777" w:rsidTr="00BA36C0">
        <w:trPr>
          <w:trHeight w:val="506"/>
        </w:trPr>
        <w:tc>
          <w:tcPr>
            <w:tcW w:w="1837" w:type="dxa"/>
            <w:vAlign w:val="center"/>
          </w:tcPr>
          <w:p w14:paraId="4784E46A" w14:textId="065A806C"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Moderate Sustainability</w:t>
            </w:r>
          </w:p>
        </w:tc>
        <w:tc>
          <w:tcPr>
            <w:tcW w:w="1836" w:type="dxa"/>
            <w:vAlign w:val="center"/>
          </w:tcPr>
          <w:p w14:paraId="503B8F39" w14:textId="58FD67E1"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China, emerging Asia</w:t>
            </w:r>
          </w:p>
        </w:tc>
        <w:tc>
          <w:tcPr>
            <w:tcW w:w="1836" w:type="dxa"/>
            <w:vAlign w:val="center"/>
          </w:tcPr>
          <w:p w14:paraId="17F259F2" w14:textId="0C8708DE"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54% "a little more"</w:t>
            </w:r>
          </w:p>
        </w:tc>
        <w:tc>
          <w:tcPr>
            <w:tcW w:w="1910" w:type="dxa"/>
            <w:vAlign w:val="center"/>
          </w:tcPr>
          <w:p w14:paraId="47716365" w14:textId="336BF63B"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Growing awareness</w:t>
            </w:r>
          </w:p>
        </w:tc>
        <w:tc>
          <w:tcPr>
            <w:tcW w:w="1837" w:type="dxa"/>
            <w:vAlign w:val="center"/>
          </w:tcPr>
          <w:p w14:paraId="63FEE24C" w14:textId="4FD1F725"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Educational focus</w:t>
            </w:r>
          </w:p>
        </w:tc>
      </w:tr>
      <w:tr w:rsidR="00E06244" w:rsidRPr="003031E6" w14:paraId="31A33EF4" w14:textId="77777777" w:rsidTr="00BA36C0">
        <w:trPr>
          <w:trHeight w:val="495"/>
        </w:trPr>
        <w:tc>
          <w:tcPr>
            <w:tcW w:w="1837" w:type="dxa"/>
            <w:vAlign w:val="center"/>
          </w:tcPr>
          <w:p w14:paraId="5A0207CD" w14:textId="45032BBF"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lastRenderedPageBreak/>
              <w:t>Price-Quality Balance</w:t>
            </w:r>
          </w:p>
        </w:tc>
        <w:tc>
          <w:tcPr>
            <w:tcW w:w="1836" w:type="dxa"/>
            <w:vAlign w:val="center"/>
          </w:tcPr>
          <w:p w14:paraId="1AF22E9F" w14:textId="25B2080B"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United States</w:t>
            </w:r>
          </w:p>
        </w:tc>
        <w:tc>
          <w:tcPr>
            <w:tcW w:w="1836" w:type="dxa"/>
            <w:vAlign w:val="center"/>
          </w:tcPr>
          <w:p w14:paraId="57F359DC" w14:textId="39EB56AD"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13% premium</w:t>
            </w:r>
          </w:p>
        </w:tc>
        <w:tc>
          <w:tcPr>
            <w:tcW w:w="1910" w:type="dxa"/>
            <w:vAlign w:val="center"/>
          </w:tcPr>
          <w:p w14:paraId="2DCB2D6E" w14:textId="14690C08"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70%+ prioritise price/quality</w:t>
            </w:r>
          </w:p>
        </w:tc>
        <w:tc>
          <w:tcPr>
            <w:tcW w:w="1837" w:type="dxa"/>
            <w:vAlign w:val="center"/>
          </w:tcPr>
          <w:p w14:paraId="669AAD00" w14:textId="1CFF58F0"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Competitive pricing essential</w:t>
            </w:r>
          </w:p>
        </w:tc>
      </w:tr>
      <w:tr w:rsidR="00E06244" w:rsidRPr="003031E6" w14:paraId="5790A563" w14:textId="77777777" w:rsidTr="00BA36C0">
        <w:trPr>
          <w:trHeight w:val="753"/>
        </w:trPr>
        <w:tc>
          <w:tcPr>
            <w:tcW w:w="1837" w:type="dxa"/>
            <w:vAlign w:val="center"/>
          </w:tcPr>
          <w:p w14:paraId="2DAE3775" w14:textId="0B03B45A"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Convenience-Oriented</w:t>
            </w:r>
          </w:p>
        </w:tc>
        <w:tc>
          <w:tcPr>
            <w:tcW w:w="1836" w:type="dxa"/>
            <w:vAlign w:val="center"/>
          </w:tcPr>
          <w:p w14:paraId="0F9248BE" w14:textId="282A86E9"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Japan, developed markets</w:t>
            </w:r>
          </w:p>
        </w:tc>
        <w:tc>
          <w:tcPr>
            <w:tcW w:w="1836" w:type="dxa"/>
            <w:vAlign w:val="center"/>
          </w:tcPr>
          <w:p w14:paraId="79FD4E34" w14:textId="0286648D"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3% premium</w:t>
            </w:r>
          </w:p>
        </w:tc>
        <w:tc>
          <w:tcPr>
            <w:tcW w:w="1910" w:type="dxa"/>
            <w:vAlign w:val="center"/>
          </w:tcPr>
          <w:p w14:paraId="05AE0F0A" w14:textId="78CC28C5"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Infrastructure expectations high</w:t>
            </w:r>
          </w:p>
        </w:tc>
        <w:tc>
          <w:tcPr>
            <w:tcW w:w="1837" w:type="dxa"/>
            <w:vAlign w:val="center"/>
          </w:tcPr>
          <w:p w14:paraId="0183A6B6" w14:textId="4B450C92"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Operational excellence required</w:t>
            </w:r>
          </w:p>
        </w:tc>
      </w:tr>
      <w:tr w:rsidR="00E06244" w:rsidRPr="003031E6" w14:paraId="0DAA5B8B" w14:textId="77777777" w:rsidTr="00BA36C0">
        <w:trPr>
          <w:trHeight w:val="753"/>
        </w:trPr>
        <w:tc>
          <w:tcPr>
            <w:tcW w:w="1837" w:type="dxa"/>
            <w:vAlign w:val="center"/>
          </w:tcPr>
          <w:p w14:paraId="24EBF3FD" w14:textId="33002950"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Gen Z Committed</w:t>
            </w:r>
          </w:p>
        </w:tc>
        <w:tc>
          <w:tcPr>
            <w:tcW w:w="1836" w:type="dxa"/>
            <w:vAlign w:val="center"/>
          </w:tcPr>
          <w:p w14:paraId="0AFBE746" w14:textId="283DA799"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Global, urban centres</w:t>
            </w:r>
          </w:p>
        </w:tc>
        <w:tc>
          <w:tcPr>
            <w:tcW w:w="1836" w:type="dxa"/>
            <w:vAlign w:val="center"/>
          </w:tcPr>
          <w:p w14:paraId="7CE426A7" w14:textId="605361A3"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62% prefer sustainability brands</w:t>
            </w:r>
          </w:p>
        </w:tc>
        <w:tc>
          <w:tcPr>
            <w:tcW w:w="1910" w:type="dxa"/>
            <w:vAlign w:val="center"/>
          </w:tcPr>
          <w:p w14:paraId="57ABE265" w14:textId="79D587DF"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Digital natives, social media</w:t>
            </w:r>
          </w:p>
        </w:tc>
        <w:tc>
          <w:tcPr>
            <w:tcW w:w="1837" w:type="dxa"/>
            <w:vAlign w:val="center"/>
          </w:tcPr>
          <w:p w14:paraId="78191960" w14:textId="0FCA782A"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Virtual engagement strategies</w:t>
            </w:r>
          </w:p>
        </w:tc>
      </w:tr>
      <w:tr w:rsidR="00E06244" w:rsidRPr="003031E6" w14:paraId="150E0858" w14:textId="77777777" w:rsidTr="00BA36C0">
        <w:trPr>
          <w:trHeight w:val="506"/>
        </w:trPr>
        <w:tc>
          <w:tcPr>
            <w:tcW w:w="1837" w:type="dxa"/>
            <w:vAlign w:val="center"/>
          </w:tcPr>
          <w:p w14:paraId="5912A98E" w14:textId="5662D7CE"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High-Income Women</w:t>
            </w:r>
          </w:p>
        </w:tc>
        <w:tc>
          <w:tcPr>
            <w:tcW w:w="1836" w:type="dxa"/>
            <w:vAlign w:val="center"/>
          </w:tcPr>
          <w:p w14:paraId="3BFF89A6" w14:textId="28FDF0C0"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Northeastern US</w:t>
            </w:r>
          </w:p>
        </w:tc>
        <w:tc>
          <w:tcPr>
            <w:tcW w:w="1836" w:type="dxa"/>
            <w:vAlign w:val="center"/>
          </w:tcPr>
          <w:p w14:paraId="55506FB5" w14:textId="3109B358"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76% CO₂ concern</w:t>
            </w:r>
          </w:p>
        </w:tc>
        <w:tc>
          <w:tcPr>
            <w:tcW w:w="1910" w:type="dxa"/>
            <w:vAlign w:val="center"/>
          </w:tcPr>
          <w:p w14:paraId="09DA5AC2" w14:textId="5C31F648"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Premium purchasing power</w:t>
            </w:r>
          </w:p>
        </w:tc>
        <w:tc>
          <w:tcPr>
            <w:tcW w:w="1837" w:type="dxa"/>
            <w:vAlign w:val="center"/>
          </w:tcPr>
          <w:p w14:paraId="18D87C73" w14:textId="03C214A8"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Differentiated positioning</w:t>
            </w:r>
          </w:p>
        </w:tc>
      </w:tr>
      <w:tr w:rsidR="00E06244" w:rsidRPr="003031E6" w14:paraId="25AA2D54" w14:textId="77777777" w:rsidTr="00BA36C0">
        <w:trPr>
          <w:trHeight w:val="495"/>
        </w:trPr>
        <w:tc>
          <w:tcPr>
            <w:tcW w:w="1837" w:type="dxa"/>
            <w:vAlign w:val="center"/>
          </w:tcPr>
          <w:p w14:paraId="215B725C" w14:textId="0C99A877"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Families with Children</w:t>
            </w:r>
          </w:p>
        </w:tc>
        <w:tc>
          <w:tcPr>
            <w:tcW w:w="1836" w:type="dxa"/>
            <w:vAlign w:val="center"/>
          </w:tcPr>
          <w:p w14:paraId="4C3EEA6B" w14:textId="7DE09280"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Suburban, developed</w:t>
            </w:r>
          </w:p>
        </w:tc>
        <w:tc>
          <w:tcPr>
            <w:tcW w:w="1836" w:type="dxa"/>
            <w:vAlign w:val="center"/>
          </w:tcPr>
          <w:p w14:paraId="24B3F126" w14:textId="2B613E53"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Elevated ESG likelihood</w:t>
            </w:r>
          </w:p>
        </w:tc>
        <w:tc>
          <w:tcPr>
            <w:tcW w:w="1910" w:type="dxa"/>
            <w:vAlign w:val="center"/>
          </w:tcPr>
          <w:p w14:paraId="26371653" w14:textId="4CA0B983"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Health and environment</w:t>
            </w:r>
          </w:p>
        </w:tc>
        <w:tc>
          <w:tcPr>
            <w:tcW w:w="1837" w:type="dxa"/>
            <w:vAlign w:val="center"/>
          </w:tcPr>
          <w:p w14:paraId="2A6027A0" w14:textId="4CF9BBBE"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Integrated value propositions</w:t>
            </w:r>
          </w:p>
        </w:tc>
      </w:tr>
      <w:tr w:rsidR="00E06244" w:rsidRPr="003031E6" w14:paraId="34C5A989" w14:textId="77777777" w:rsidTr="00BA36C0">
        <w:trPr>
          <w:trHeight w:val="506"/>
        </w:trPr>
        <w:tc>
          <w:tcPr>
            <w:tcW w:w="1837" w:type="dxa"/>
            <w:vAlign w:val="center"/>
          </w:tcPr>
          <w:p w14:paraId="625A1B24" w14:textId="1E05B7B3"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Emerging Market Growth</w:t>
            </w:r>
          </w:p>
        </w:tc>
        <w:tc>
          <w:tcPr>
            <w:tcW w:w="1836" w:type="dxa"/>
            <w:vAlign w:val="center"/>
          </w:tcPr>
          <w:p w14:paraId="35D02B5D" w14:textId="5C651A14"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Latin America, Asia</w:t>
            </w:r>
          </w:p>
        </w:tc>
        <w:tc>
          <w:tcPr>
            <w:tcW w:w="1836" w:type="dxa"/>
            <w:vAlign w:val="center"/>
          </w:tcPr>
          <w:p w14:paraId="0E1C6F39" w14:textId="2DA6591E"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Variable (36%-54%)</w:t>
            </w:r>
          </w:p>
        </w:tc>
        <w:tc>
          <w:tcPr>
            <w:tcW w:w="1910" w:type="dxa"/>
            <w:vAlign w:val="center"/>
          </w:tcPr>
          <w:p w14:paraId="73E3886A" w14:textId="61B5A44B"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Rapid awareness growth</w:t>
            </w:r>
          </w:p>
        </w:tc>
        <w:tc>
          <w:tcPr>
            <w:tcW w:w="1837" w:type="dxa"/>
            <w:vAlign w:val="center"/>
          </w:tcPr>
          <w:p w14:paraId="7AF538E0" w14:textId="106CCDA1"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Long-term positioning</w:t>
            </w:r>
          </w:p>
        </w:tc>
      </w:tr>
    </w:tbl>
    <w:p w14:paraId="57F6B608" w14:textId="77777777" w:rsidR="008A7180" w:rsidRPr="008A7180" w:rsidRDefault="008A7180" w:rsidP="003031E6">
      <w:pPr>
        <w:spacing w:after="0" w:line="480" w:lineRule="auto"/>
        <w:rPr>
          <w:rFonts w:ascii="Times New Roman" w:hAnsi="Times New Roman" w:cs="Times New Roman"/>
          <w:sz w:val="24"/>
          <w:szCs w:val="24"/>
        </w:rPr>
      </w:pPr>
      <w:r w:rsidRPr="008A7180">
        <w:rPr>
          <w:rFonts w:ascii="Times New Roman" w:hAnsi="Times New Roman" w:cs="Times New Roman"/>
          <w:i/>
          <w:iCs/>
          <w:sz w:val="24"/>
          <w:szCs w:val="24"/>
        </w:rPr>
        <w:t xml:space="preserve">Sources: von der </w:t>
      </w:r>
      <w:proofErr w:type="spellStart"/>
      <w:r w:rsidRPr="008A7180">
        <w:rPr>
          <w:rFonts w:ascii="Times New Roman" w:hAnsi="Times New Roman" w:cs="Times New Roman"/>
          <w:i/>
          <w:iCs/>
          <w:sz w:val="24"/>
          <w:szCs w:val="24"/>
        </w:rPr>
        <w:t>Gathen</w:t>
      </w:r>
      <w:proofErr w:type="spellEnd"/>
      <w:r w:rsidRPr="008A7180">
        <w:rPr>
          <w:rFonts w:ascii="Times New Roman" w:hAnsi="Times New Roman" w:cs="Times New Roman"/>
          <w:i/>
          <w:iCs/>
          <w:sz w:val="24"/>
          <w:szCs w:val="24"/>
        </w:rPr>
        <w:t xml:space="preserve"> et al. (2024); </w:t>
      </w:r>
      <w:proofErr w:type="spellStart"/>
      <w:r w:rsidRPr="008A7180">
        <w:rPr>
          <w:rFonts w:ascii="Times New Roman" w:hAnsi="Times New Roman" w:cs="Times New Roman"/>
          <w:i/>
          <w:iCs/>
          <w:sz w:val="24"/>
          <w:szCs w:val="24"/>
        </w:rPr>
        <w:t>Packnode</w:t>
      </w:r>
      <w:proofErr w:type="spellEnd"/>
      <w:r w:rsidRPr="008A7180">
        <w:rPr>
          <w:rFonts w:ascii="Times New Roman" w:hAnsi="Times New Roman" w:cs="Times New Roman"/>
          <w:i/>
          <w:iCs/>
          <w:sz w:val="24"/>
          <w:szCs w:val="24"/>
        </w:rPr>
        <w:t xml:space="preserve"> (2023); Feber et al. (2025); Bar Am et al. (2023); Sharma &amp; </w:t>
      </w:r>
      <w:proofErr w:type="spellStart"/>
      <w:r w:rsidRPr="008A7180">
        <w:rPr>
          <w:rFonts w:ascii="Times New Roman" w:hAnsi="Times New Roman" w:cs="Times New Roman"/>
          <w:i/>
          <w:iCs/>
          <w:sz w:val="24"/>
          <w:szCs w:val="24"/>
        </w:rPr>
        <w:t>Wazal</w:t>
      </w:r>
      <w:proofErr w:type="spellEnd"/>
      <w:r w:rsidRPr="008A7180">
        <w:rPr>
          <w:rFonts w:ascii="Times New Roman" w:hAnsi="Times New Roman" w:cs="Times New Roman"/>
          <w:i/>
          <w:iCs/>
          <w:sz w:val="24"/>
          <w:szCs w:val="24"/>
        </w:rPr>
        <w:t xml:space="preserve"> (2025)</w:t>
      </w:r>
    </w:p>
    <w:p w14:paraId="2EB22F3E" w14:textId="77777777" w:rsidR="008A7180" w:rsidRPr="003031E6" w:rsidRDefault="008A7180" w:rsidP="003031E6">
      <w:pPr>
        <w:pStyle w:val="Heading2"/>
      </w:pPr>
      <w:bookmarkStart w:id="6" w:name="_Toc218612764"/>
      <w:r w:rsidRPr="003031E6">
        <w:t>2.4 Strategic Marketing Implementation</w:t>
      </w:r>
      <w:bookmarkEnd w:id="6"/>
    </w:p>
    <w:p w14:paraId="75F6B985" w14:textId="77777777" w:rsidR="00E06244" w:rsidRPr="00E06244" w:rsidRDefault="00E06244" w:rsidP="003031E6">
      <w:pPr>
        <w:spacing w:after="0" w:line="480" w:lineRule="auto"/>
        <w:ind w:firstLine="720"/>
        <w:rPr>
          <w:rFonts w:ascii="Times New Roman" w:hAnsi="Times New Roman" w:cs="Times New Roman"/>
          <w:sz w:val="24"/>
          <w:szCs w:val="24"/>
        </w:rPr>
      </w:pPr>
      <w:r w:rsidRPr="00E06244">
        <w:rPr>
          <w:rFonts w:ascii="Times New Roman" w:hAnsi="Times New Roman" w:cs="Times New Roman"/>
          <w:sz w:val="24"/>
          <w:szCs w:val="24"/>
        </w:rPr>
        <w:t xml:space="preserve">Marketing mix performance is based on coordinated action in terms of product, price, place, and promotion. The product strategy is under serious pressure concerning packaging innovation, where the Woolley et al. (2024) study has shown that UV fluorescence imaging can be an effective technological solution for reusable packaging systems that can sense 100 per cent contamination to 0.17 per cent concentration and cover the entire surface and have the </w:t>
      </w:r>
      <w:r w:rsidRPr="00E06244">
        <w:rPr>
          <w:rFonts w:ascii="Times New Roman" w:hAnsi="Times New Roman" w:cs="Times New Roman"/>
          <w:sz w:val="24"/>
          <w:szCs w:val="24"/>
        </w:rPr>
        <w:lastRenderedPageBreak/>
        <w:t xml:space="preserve">throughput capacity of more than ten times per second. This not only solves consumer food safety issues, which are known to be the greatest obstacles to the adoption of reusables, but also allows industrial-scale implementation. But the analysis by </w:t>
      </w:r>
      <w:proofErr w:type="spellStart"/>
      <w:r w:rsidRPr="00E06244">
        <w:rPr>
          <w:rFonts w:ascii="Times New Roman" w:hAnsi="Times New Roman" w:cs="Times New Roman"/>
          <w:sz w:val="24"/>
          <w:szCs w:val="24"/>
        </w:rPr>
        <w:t>Frishammar</w:t>
      </w:r>
      <w:proofErr w:type="spellEnd"/>
      <w:r w:rsidRPr="00E06244">
        <w:rPr>
          <w:rFonts w:ascii="Times New Roman" w:hAnsi="Times New Roman" w:cs="Times New Roman"/>
          <w:sz w:val="24"/>
          <w:szCs w:val="24"/>
        </w:rPr>
        <w:t xml:space="preserve"> et al. (2025) shows that few existing firms have managed to transform a linear business model into a scaled CBM (p. 4959), and the reason is that the customers are not willing to accept the notion of a circular offering (p. 4966) despite the systematic approach of addressing the issue, which is the introduction of consumer education campaigns and confidence-building programmes that prove the hygiene standards and operational excellence.</w:t>
      </w:r>
    </w:p>
    <w:p w14:paraId="15380E8B" w14:textId="77777777" w:rsidR="00E06244" w:rsidRPr="00E06244" w:rsidRDefault="00E06244" w:rsidP="003031E6">
      <w:pPr>
        <w:spacing w:after="0" w:line="480" w:lineRule="auto"/>
        <w:ind w:firstLine="720"/>
        <w:rPr>
          <w:rFonts w:ascii="Times New Roman" w:hAnsi="Times New Roman" w:cs="Times New Roman"/>
          <w:sz w:val="24"/>
          <w:szCs w:val="24"/>
        </w:rPr>
      </w:pPr>
      <w:r w:rsidRPr="00E06244">
        <w:rPr>
          <w:rFonts w:ascii="Times New Roman" w:hAnsi="Times New Roman" w:cs="Times New Roman"/>
          <w:sz w:val="24"/>
          <w:szCs w:val="24"/>
        </w:rPr>
        <w:t xml:space="preserve">The pricing strategy demonstrates complicated interactions between sustainability premium and competitiveness. The geographic variation in the types of willingness-to-pay profiles of consumers is reported by </w:t>
      </w:r>
      <w:proofErr w:type="spellStart"/>
      <w:r w:rsidRPr="00E06244">
        <w:rPr>
          <w:rFonts w:ascii="Times New Roman" w:hAnsi="Times New Roman" w:cs="Times New Roman"/>
          <w:sz w:val="24"/>
          <w:szCs w:val="24"/>
        </w:rPr>
        <w:t>Packnode</w:t>
      </w:r>
      <w:proofErr w:type="spellEnd"/>
      <w:r w:rsidRPr="00E06244">
        <w:rPr>
          <w:rFonts w:ascii="Times New Roman" w:hAnsi="Times New Roman" w:cs="Times New Roman"/>
          <w:sz w:val="24"/>
          <w:szCs w:val="24"/>
        </w:rPr>
        <w:t xml:space="preserve"> (2023), where just 36 per cent of Indian consumers would pay a lot more to get sustainable packaging compared to only 3 per cent in Japan, implying that pricing strategies should not be designed to reflect global willingness-to-pay. The evidence provided by Bar Am et al. (2023) proves the viability of premium pricing in cases where the sustainability claims are credible: the average cumulative growth in products making ESG claims was 28 years, and in products making no claims, it was 20 years, with multiple ESG claims growing on average twice as fast as single claims. Nevertheless, the fact that consumer willingness can significantly differ depending on the packaging type and product type, as stated by Feber and </w:t>
      </w:r>
      <w:proofErr w:type="spellStart"/>
      <w:r w:rsidRPr="00E06244">
        <w:rPr>
          <w:rFonts w:ascii="Times New Roman" w:hAnsi="Times New Roman" w:cs="Times New Roman"/>
          <w:sz w:val="24"/>
          <w:szCs w:val="24"/>
        </w:rPr>
        <w:t>Nordigården</w:t>
      </w:r>
      <w:proofErr w:type="spellEnd"/>
      <w:r w:rsidRPr="00E06244">
        <w:rPr>
          <w:rFonts w:ascii="Times New Roman" w:hAnsi="Times New Roman" w:cs="Times New Roman"/>
          <w:sz w:val="24"/>
          <w:szCs w:val="24"/>
        </w:rPr>
        <w:t xml:space="preserve"> (2021), means that the pricing approach has to be granular, considering the specifics of products instead of implementing a universal premium pricing across all portfolio entries.</w:t>
      </w:r>
    </w:p>
    <w:p w14:paraId="22929B47" w14:textId="77777777" w:rsidR="00E06244" w:rsidRPr="00E06244" w:rsidRDefault="00E06244" w:rsidP="003031E6">
      <w:pPr>
        <w:spacing w:after="0" w:line="480" w:lineRule="auto"/>
        <w:ind w:firstLine="720"/>
        <w:rPr>
          <w:rFonts w:ascii="Times New Roman" w:hAnsi="Times New Roman" w:cs="Times New Roman"/>
          <w:sz w:val="24"/>
          <w:szCs w:val="24"/>
        </w:rPr>
      </w:pPr>
      <w:r w:rsidRPr="00E06244">
        <w:rPr>
          <w:rFonts w:ascii="Times New Roman" w:hAnsi="Times New Roman" w:cs="Times New Roman"/>
          <w:sz w:val="24"/>
          <w:szCs w:val="24"/>
        </w:rPr>
        <w:t xml:space="preserve">The distribution strategy involves the vast network of Coca-Cola, which covers 200+ countries and delivers 2.2 billion servings per day with the help of franchise bottler systems, </w:t>
      </w:r>
      <w:r w:rsidRPr="00E06244">
        <w:rPr>
          <w:rFonts w:ascii="Times New Roman" w:hAnsi="Times New Roman" w:cs="Times New Roman"/>
          <w:sz w:val="24"/>
          <w:szCs w:val="24"/>
        </w:rPr>
        <w:lastRenderedPageBreak/>
        <w:t xml:space="preserve">which need to coordinate the work of independent entities. </w:t>
      </w:r>
      <w:proofErr w:type="spellStart"/>
      <w:r w:rsidRPr="00E06244">
        <w:rPr>
          <w:rFonts w:ascii="Times New Roman" w:hAnsi="Times New Roman" w:cs="Times New Roman"/>
          <w:sz w:val="24"/>
          <w:szCs w:val="24"/>
        </w:rPr>
        <w:t>InsightAce</w:t>
      </w:r>
      <w:proofErr w:type="spellEnd"/>
      <w:r w:rsidRPr="00E06244">
        <w:rPr>
          <w:rFonts w:ascii="Times New Roman" w:hAnsi="Times New Roman" w:cs="Times New Roman"/>
          <w:sz w:val="24"/>
          <w:szCs w:val="24"/>
        </w:rPr>
        <w:t xml:space="preserve"> Analytic (2025) forecasts a 6.8% CAGR increase in the circular economy of the beverage industry between the years 2025 and 2034, with the plastic segment (especially PET, as well as recycled PET) likely to lead the adoption with the benefits of recyclability. The analysis of Wallach (2025) reveals the economic potential of plastic recycling of 50-75 billion pounds in 2035, but an up to 50 billion </w:t>
      </w:r>
      <w:proofErr w:type="gramStart"/>
      <w:r w:rsidRPr="00E06244">
        <w:rPr>
          <w:rFonts w:ascii="Times New Roman" w:hAnsi="Times New Roman" w:cs="Times New Roman"/>
          <w:sz w:val="24"/>
          <w:szCs w:val="24"/>
        </w:rPr>
        <w:t>investment</w:t>
      </w:r>
      <w:proofErr w:type="gramEnd"/>
      <w:r w:rsidRPr="00E06244">
        <w:rPr>
          <w:rFonts w:ascii="Times New Roman" w:hAnsi="Times New Roman" w:cs="Times New Roman"/>
          <w:sz w:val="24"/>
          <w:szCs w:val="24"/>
        </w:rPr>
        <w:t xml:space="preserve"> in 20-25 MT advanced recycling capacity by 2030 implies significant capital needs to transform the circular distribution infrastructure, which will require executive prioritisation and shareholder support of long-term value creation over short-term profit maximisation.</w:t>
      </w:r>
    </w:p>
    <w:p w14:paraId="1C0E87C6" w14:textId="6A72AA43" w:rsidR="008A7180" w:rsidRPr="008A7180" w:rsidRDefault="00E06244" w:rsidP="003031E6">
      <w:pPr>
        <w:spacing w:after="0" w:line="480" w:lineRule="auto"/>
        <w:ind w:firstLine="720"/>
        <w:rPr>
          <w:rFonts w:ascii="Times New Roman" w:hAnsi="Times New Roman" w:cs="Times New Roman"/>
          <w:sz w:val="24"/>
          <w:szCs w:val="24"/>
        </w:rPr>
      </w:pPr>
      <w:r w:rsidRPr="00E06244">
        <w:rPr>
          <w:rFonts w:ascii="Times New Roman" w:hAnsi="Times New Roman" w:cs="Times New Roman"/>
          <w:sz w:val="24"/>
          <w:szCs w:val="24"/>
        </w:rPr>
        <w:t xml:space="preserve">There is a variation in the effectiveness of promotional strategy across campaigns. The success of the Share a Coke campaign recorded by </w:t>
      </w:r>
      <w:proofErr w:type="spellStart"/>
      <w:r w:rsidRPr="00E06244">
        <w:rPr>
          <w:rFonts w:ascii="Times New Roman" w:hAnsi="Times New Roman" w:cs="Times New Roman"/>
          <w:sz w:val="24"/>
          <w:szCs w:val="24"/>
        </w:rPr>
        <w:t>RankRed</w:t>
      </w:r>
      <w:proofErr w:type="spellEnd"/>
      <w:r w:rsidRPr="00E06244">
        <w:rPr>
          <w:rFonts w:ascii="Times New Roman" w:hAnsi="Times New Roman" w:cs="Times New Roman"/>
          <w:sz w:val="24"/>
          <w:szCs w:val="24"/>
        </w:rPr>
        <w:t xml:space="preserve"> (2025) resulted in more than 500,000 user posts and provided 7% sales growth among young adults in Australia, which confirms the effectiveness of personalisation strategies for Millennials and Gen Z when operated with the required creativity. The evolution of the promotional mix, where Pereira (2025) records 65% of the budgetary allocation to digital channels, indicates social media, programmatic advertising, and influencer partnerships as the primary focused media instead of traditional media. Nevertheless, sustainability positioning promotion is problematic: the campaign on becoming a World Without Waste did not lead to the improvement of brand equity but to the creation of greenwashing claims, which proves that the sophistication of communication cannot offset the lack of authenticity in the operations.</w:t>
      </w:r>
      <w:r w:rsidR="003031E6">
        <w:rPr>
          <w:rFonts w:ascii="Times New Roman" w:hAnsi="Times New Roman" w:cs="Times New Roman"/>
          <w:sz w:val="24"/>
          <w:szCs w:val="24"/>
        </w:rPr>
        <w:t xml:space="preserve"> </w:t>
      </w:r>
      <w:r w:rsidR="003031E6" w:rsidRPr="003031E6">
        <w:rPr>
          <w:rFonts w:ascii="Times New Roman" w:hAnsi="Times New Roman" w:cs="Times New Roman"/>
          <w:sz w:val="24"/>
          <w:szCs w:val="24"/>
        </w:rPr>
        <w:t>As seen in Table 2, VRIO analysis reveals that whilst Coca-Cola possesses valuable and rare marketing resources, organisational failures prevent effective deployment.</w:t>
      </w:r>
    </w:p>
    <w:p w14:paraId="747B85AD" w14:textId="77777777" w:rsidR="008A7180" w:rsidRPr="008A7180" w:rsidRDefault="008A7180" w:rsidP="003031E6">
      <w:pPr>
        <w:spacing w:after="0" w:line="480" w:lineRule="auto"/>
        <w:rPr>
          <w:rFonts w:ascii="Times New Roman" w:hAnsi="Times New Roman" w:cs="Times New Roman"/>
          <w:sz w:val="24"/>
          <w:szCs w:val="24"/>
        </w:rPr>
      </w:pPr>
      <w:r w:rsidRPr="008A7180">
        <w:rPr>
          <w:rFonts w:ascii="Times New Roman" w:hAnsi="Times New Roman" w:cs="Times New Roman"/>
          <w:b/>
          <w:bCs/>
          <w:sz w:val="24"/>
          <w:szCs w:val="24"/>
        </w:rPr>
        <w:t>Table 2: VRIO Analysis - Marketing Resources and Competitive Position</w:t>
      </w:r>
    </w:p>
    <w:tbl>
      <w:tblPr>
        <w:tblStyle w:val="TableGrid"/>
        <w:tblW w:w="9000" w:type="dxa"/>
        <w:tblLook w:val="04A0" w:firstRow="1" w:lastRow="0" w:firstColumn="1" w:lastColumn="0" w:noHBand="0" w:noVBand="1"/>
      </w:tblPr>
      <w:tblGrid>
        <w:gridCol w:w="2250"/>
        <w:gridCol w:w="2250"/>
        <w:gridCol w:w="2250"/>
        <w:gridCol w:w="2250"/>
      </w:tblGrid>
      <w:tr w:rsidR="00E06244" w:rsidRPr="003031E6" w14:paraId="75B23993" w14:textId="77777777" w:rsidTr="00E06244">
        <w:trPr>
          <w:trHeight w:val="499"/>
        </w:trPr>
        <w:tc>
          <w:tcPr>
            <w:tcW w:w="2250" w:type="dxa"/>
            <w:vAlign w:val="center"/>
          </w:tcPr>
          <w:p w14:paraId="29A28172" w14:textId="04FDA387"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lastRenderedPageBreak/>
              <w:t>VRIO Component</w:t>
            </w:r>
          </w:p>
        </w:tc>
        <w:tc>
          <w:tcPr>
            <w:tcW w:w="2250" w:type="dxa"/>
            <w:vAlign w:val="center"/>
          </w:tcPr>
          <w:p w14:paraId="5A4CC030" w14:textId="11772047"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Assessment</w:t>
            </w:r>
          </w:p>
        </w:tc>
        <w:tc>
          <w:tcPr>
            <w:tcW w:w="2250" w:type="dxa"/>
            <w:vAlign w:val="center"/>
          </w:tcPr>
          <w:p w14:paraId="4D75E01B" w14:textId="221DFA0B"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Supporting Evidence</w:t>
            </w:r>
          </w:p>
        </w:tc>
        <w:tc>
          <w:tcPr>
            <w:tcW w:w="2250" w:type="dxa"/>
            <w:vAlign w:val="center"/>
          </w:tcPr>
          <w:p w14:paraId="3E235083" w14:textId="730E3EF3"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Competitive Implication</w:t>
            </w:r>
          </w:p>
        </w:tc>
      </w:tr>
      <w:tr w:rsidR="00E06244" w:rsidRPr="003031E6" w14:paraId="2E7EE796" w14:textId="77777777" w:rsidTr="00E06244">
        <w:trPr>
          <w:trHeight w:val="2476"/>
        </w:trPr>
        <w:tc>
          <w:tcPr>
            <w:tcW w:w="2250" w:type="dxa"/>
            <w:vAlign w:val="center"/>
          </w:tcPr>
          <w:p w14:paraId="54ADC45B" w14:textId="0491F102"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Valuable</w:t>
            </w:r>
          </w:p>
        </w:tc>
        <w:tc>
          <w:tcPr>
            <w:tcW w:w="2250" w:type="dxa"/>
            <w:vAlign w:val="center"/>
          </w:tcPr>
          <w:p w14:paraId="2952B565" w14:textId="6DD78F99"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Platform for transformation story exists; believable success stories available</w:t>
            </w:r>
          </w:p>
        </w:tc>
        <w:tc>
          <w:tcPr>
            <w:tcW w:w="2250" w:type="dxa"/>
            <w:vAlign w:val="center"/>
          </w:tcPr>
          <w:p w14:paraId="6505B177" w14:textId="01ACD16E"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 World brand recognition (Oceana, 2025)</w:t>
            </w:r>
            <w:r w:rsidRPr="008A7180">
              <w:rPr>
                <w:rFonts w:ascii="Times New Roman" w:hAnsi="Times New Roman" w:cs="Times New Roman"/>
                <w:sz w:val="24"/>
                <w:szCs w:val="24"/>
              </w:rPr>
              <w:br/>
              <w:t>• Latin America packaging replacement experience</w:t>
            </w:r>
            <w:r w:rsidRPr="008A7180">
              <w:rPr>
                <w:rFonts w:ascii="Times New Roman" w:hAnsi="Times New Roman" w:cs="Times New Roman"/>
                <w:sz w:val="24"/>
                <w:szCs w:val="24"/>
              </w:rPr>
              <w:br/>
              <w:t>• £5B+ annual budget (Pereira, 2025)</w:t>
            </w:r>
          </w:p>
        </w:tc>
        <w:tc>
          <w:tcPr>
            <w:tcW w:w="2250" w:type="dxa"/>
            <w:vAlign w:val="center"/>
          </w:tcPr>
          <w:p w14:paraId="267610E7" w14:textId="5DEB0B5A"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Valuable resources present but underutilised</w:t>
            </w:r>
          </w:p>
        </w:tc>
      </w:tr>
      <w:tr w:rsidR="00E06244" w:rsidRPr="003031E6" w14:paraId="4F00D4E4" w14:textId="77777777" w:rsidTr="00E06244">
        <w:trPr>
          <w:trHeight w:val="1243"/>
        </w:trPr>
        <w:tc>
          <w:tcPr>
            <w:tcW w:w="2250" w:type="dxa"/>
            <w:vAlign w:val="center"/>
          </w:tcPr>
          <w:p w14:paraId="4F75BE9C" w14:textId="1D1F63DA"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Rare</w:t>
            </w:r>
          </w:p>
        </w:tc>
        <w:tc>
          <w:tcPr>
            <w:tcW w:w="2250" w:type="dxa"/>
            <w:vAlign w:val="center"/>
          </w:tcPr>
          <w:p w14:paraId="731E5051" w14:textId="584658BE"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Distinctive marketing leadership position in beverage industry</w:t>
            </w:r>
          </w:p>
        </w:tc>
        <w:tc>
          <w:tcPr>
            <w:tcW w:w="2250" w:type="dxa"/>
            <w:vAlign w:val="center"/>
          </w:tcPr>
          <w:p w14:paraId="6CFC37F9" w14:textId="1DC753DB"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 Ability to impact change across industry</w:t>
            </w:r>
            <w:r w:rsidRPr="008A7180">
              <w:rPr>
                <w:rFonts w:ascii="Times New Roman" w:hAnsi="Times New Roman" w:cs="Times New Roman"/>
                <w:sz w:val="24"/>
                <w:szCs w:val="24"/>
              </w:rPr>
              <w:br/>
              <w:t>• Budget availability for infrastructure transformation (Oceana, 2025)</w:t>
            </w:r>
            <w:r w:rsidRPr="008A7180">
              <w:rPr>
                <w:rFonts w:ascii="Times New Roman" w:hAnsi="Times New Roman" w:cs="Times New Roman"/>
                <w:sz w:val="24"/>
                <w:szCs w:val="24"/>
              </w:rPr>
              <w:br/>
              <w:t>• Global distribution reach (</w:t>
            </w:r>
            <w:proofErr w:type="spellStart"/>
            <w:r w:rsidRPr="008A7180">
              <w:rPr>
                <w:rFonts w:ascii="Times New Roman" w:hAnsi="Times New Roman" w:cs="Times New Roman"/>
                <w:sz w:val="24"/>
                <w:szCs w:val="24"/>
              </w:rPr>
              <w:t>RankRed</w:t>
            </w:r>
            <w:proofErr w:type="spellEnd"/>
            <w:r w:rsidRPr="008A7180">
              <w:rPr>
                <w:rFonts w:ascii="Times New Roman" w:hAnsi="Times New Roman" w:cs="Times New Roman"/>
                <w:sz w:val="24"/>
                <w:szCs w:val="24"/>
              </w:rPr>
              <w:t>, 2025)</w:t>
            </w:r>
          </w:p>
        </w:tc>
        <w:tc>
          <w:tcPr>
            <w:tcW w:w="2250" w:type="dxa"/>
            <w:vAlign w:val="center"/>
          </w:tcPr>
          <w:p w14:paraId="22FC31BC" w14:textId="02E8C271"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Rare positioning advantages exist</w:t>
            </w:r>
          </w:p>
        </w:tc>
      </w:tr>
      <w:tr w:rsidR="00E06244" w:rsidRPr="003031E6" w14:paraId="468DC88B" w14:textId="77777777" w:rsidTr="00E06244">
        <w:trPr>
          <w:trHeight w:val="133"/>
        </w:trPr>
        <w:tc>
          <w:tcPr>
            <w:tcW w:w="2250" w:type="dxa"/>
            <w:vAlign w:val="center"/>
          </w:tcPr>
          <w:p w14:paraId="46B67B44" w14:textId="36782046"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lastRenderedPageBreak/>
              <w:t>Imitable</w:t>
            </w:r>
          </w:p>
        </w:tc>
        <w:tc>
          <w:tcPr>
            <w:tcW w:w="2250" w:type="dxa"/>
            <w:vAlign w:val="center"/>
          </w:tcPr>
          <w:p w14:paraId="61A3C1A2" w14:textId="397AF240"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Recycling campaigns novel currently but easily replicated</w:t>
            </w:r>
          </w:p>
        </w:tc>
        <w:tc>
          <w:tcPr>
            <w:tcW w:w="2250" w:type="dxa"/>
            <w:vAlign w:val="center"/>
          </w:tcPr>
          <w:p w14:paraId="62484D33" w14:textId="3CAC6368"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 Recycling initiatives imitable by competitors</w:t>
            </w:r>
            <w:r w:rsidRPr="008A7180">
              <w:rPr>
                <w:rFonts w:ascii="Times New Roman" w:hAnsi="Times New Roman" w:cs="Times New Roman"/>
                <w:sz w:val="24"/>
                <w:szCs w:val="24"/>
              </w:rPr>
              <w:br/>
              <w:t>• ESG governance frameworks widely available (Kalyanam, 2024)</w:t>
            </w:r>
            <w:r w:rsidRPr="008A7180">
              <w:rPr>
                <w:rFonts w:ascii="Times New Roman" w:hAnsi="Times New Roman" w:cs="Times New Roman"/>
                <w:sz w:val="24"/>
                <w:szCs w:val="24"/>
              </w:rPr>
              <w:br/>
              <w:t>• Technology solutions commercially accessible (Woolley et al., 2024)</w:t>
            </w:r>
          </w:p>
        </w:tc>
        <w:tc>
          <w:tcPr>
            <w:tcW w:w="2250" w:type="dxa"/>
            <w:vAlign w:val="center"/>
          </w:tcPr>
          <w:p w14:paraId="0AC68635" w14:textId="3C6E64AC"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Temporary competitive advantage only</w:t>
            </w:r>
          </w:p>
        </w:tc>
      </w:tr>
      <w:tr w:rsidR="00E06244" w:rsidRPr="003031E6" w14:paraId="09A2281D" w14:textId="77777777" w:rsidTr="00E06244">
        <w:trPr>
          <w:trHeight w:val="2732"/>
        </w:trPr>
        <w:tc>
          <w:tcPr>
            <w:tcW w:w="2250" w:type="dxa"/>
            <w:vAlign w:val="center"/>
          </w:tcPr>
          <w:p w14:paraId="01609209" w14:textId="7218F6CB"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Organisation</w:t>
            </w:r>
          </w:p>
        </w:tc>
        <w:tc>
          <w:tcPr>
            <w:tcW w:w="2250" w:type="dxa"/>
            <w:vAlign w:val="center"/>
          </w:tcPr>
          <w:p w14:paraId="70CF08A8" w14:textId="42C0C18E"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Critical failure: inability to fulfil commitments destroys brand credibility</w:t>
            </w:r>
          </w:p>
        </w:tc>
        <w:tc>
          <w:tcPr>
            <w:tcW w:w="2250" w:type="dxa"/>
            <w:vAlign w:val="center"/>
          </w:tcPr>
          <w:p w14:paraId="518C075F" w14:textId="77CE4F81"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sz w:val="24"/>
                <w:szCs w:val="24"/>
              </w:rPr>
              <w:t>• 58% collection rates versus 100% goal (Oceana, 2025)</w:t>
            </w:r>
            <w:r w:rsidRPr="008A7180">
              <w:rPr>
                <w:rFonts w:ascii="Times New Roman" w:hAnsi="Times New Roman" w:cs="Times New Roman"/>
                <w:sz w:val="24"/>
                <w:szCs w:val="24"/>
              </w:rPr>
              <w:br/>
              <w:t>• Discarded 25% reuse objective, reduced to 14%</w:t>
            </w:r>
            <w:r w:rsidRPr="008A7180">
              <w:rPr>
                <w:rFonts w:ascii="Times New Roman" w:hAnsi="Times New Roman" w:cs="Times New Roman"/>
                <w:sz w:val="24"/>
                <w:szCs w:val="24"/>
              </w:rPr>
              <w:br/>
              <w:t>• Greenwashing litigation (Earth Island Institute, 2024)</w:t>
            </w:r>
          </w:p>
        </w:tc>
        <w:tc>
          <w:tcPr>
            <w:tcW w:w="2250" w:type="dxa"/>
            <w:vAlign w:val="center"/>
          </w:tcPr>
          <w:p w14:paraId="0403B3F0" w14:textId="40CD0FC9" w:rsidR="00E06244" w:rsidRPr="003031E6" w:rsidRDefault="00E06244" w:rsidP="003031E6">
            <w:pPr>
              <w:spacing w:line="480" w:lineRule="auto"/>
              <w:rPr>
                <w:rFonts w:ascii="Times New Roman" w:hAnsi="Times New Roman" w:cs="Times New Roman"/>
                <w:sz w:val="24"/>
                <w:szCs w:val="24"/>
              </w:rPr>
            </w:pPr>
            <w:r w:rsidRPr="008A7180">
              <w:rPr>
                <w:rFonts w:ascii="Times New Roman" w:hAnsi="Times New Roman" w:cs="Times New Roman"/>
                <w:b/>
                <w:bCs/>
                <w:sz w:val="24"/>
                <w:szCs w:val="24"/>
              </w:rPr>
              <w:t>Organisational failures negate V, R, I advantages</w:t>
            </w:r>
          </w:p>
        </w:tc>
      </w:tr>
    </w:tbl>
    <w:p w14:paraId="275C6609" w14:textId="10944C9A" w:rsidR="008A7180" w:rsidRPr="008A7180" w:rsidRDefault="008A7180" w:rsidP="003031E6">
      <w:pPr>
        <w:spacing w:after="0" w:line="480" w:lineRule="auto"/>
        <w:rPr>
          <w:rFonts w:ascii="Times New Roman" w:hAnsi="Times New Roman" w:cs="Times New Roman"/>
          <w:sz w:val="24"/>
          <w:szCs w:val="24"/>
        </w:rPr>
      </w:pPr>
      <w:r w:rsidRPr="008A7180">
        <w:rPr>
          <w:rFonts w:ascii="Times New Roman" w:hAnsi="Times New Roman" w:cs="Times New Roman"/>
          <w:i/>
          <w:iCs/>
          <w:sz w:val="24"/>
          <w:szCs w:val="24"/>
        </w:rPr>
        <w:lastRenderedPageBreak/>
        <w:t xml:space="preserve">Sources: Oceana (2025); Kalyanam (2024); Earth Island Institute (2024); Pereira (2025); </w:t>
      </w:r>
      <w:proofErr w:type="spellStart"/>
      <w:r w:rsidRPr="008A7180">
        <w:rPr>
          <w:rFonts w:ascii="Times New Roman" w:hAnsi="Times New Roman" w:cs="Times New Roman"/>
          <w:i/>
          <w:iCs/>
          <w:sz w:val="24"/>
          <w:szCs w:val="24"/>
        </w:rPr>
        <w:t>RankRed</w:t>
      </w:r>
      <w:proofErr w:type="spellEnd"/>
      <w:r w:rsidRPr="008A7180">
        <w:rPr>
          <w:rFonts w:ascii="Times New Roman" w:hAnsi="Times New Roman" w:cs="Times New Roman"/>
          <w:i/>
          <w:iCs/>
          <w:sz w:val="24"/>
          <w:szCs w:val="24"/>
        </w:rPr>
        <w:t xml:space="preserve"> (2025); Woolley et al. (2024)</w:t>
      </w:r>
    </w:p>
    <w:p w14:paraId="1EC33B0B" w14:textId="77777777" w:rsidR="008A7180" w:rsidRPr="003031E6" w:rsidRDefault="008A7180" w:rsidP="003031E6">
      <w:pPr>
        <w:pStyle w:val="Heading2"/>
      </w:pPr>
      <w:bookmarkStart w:id="7" w:name="_Toc218612765"/>
      <w:r w:rsidRPr="003031E6">
        <w:t>2.5 Performance Measurement and Campaign Effectiveness</w:t>
      </w:r>
      <w:bookmarkEnd w:id="7"/>
    </w:p>
    <w:p w14:paraId="538454C6" w14:textId="77777777" w:rsidR="00E06244" w:rsidRPr="00E06244" w:rsidRDefault="00E06244" w:rsidP="003031E6">
      <w:pPr>
        <w:spacing w:after="0" w:line="480" w:lineRule="auto"/>
        <w:ind w:firstLine="720"/>
        <w:rPr>
          <w:rFonts w:ascii="Times New Roman" w:hAnsi="Times New Roman" w:cs="Times New Roman"/>
          <w:sz w:val="24"/>
          <w:szCs w:val="24"/>
        </w:rPr>
      </w:pPr>
      <w:r w:rsidRPr="00E06244">
        <w:rPr>
          <w:rFonts w:ascii="Times New Roman" w:hAnsi="Times New Roman" w:cs="Times New Roman"/>
          <w:sz w:val="24"/>
          <w:szCs w:val="24"/>
        </w:rPr>
        <w:t>The accountability of marketing must have a well-developed measurement system that monitors input, throughput and output measures throughout the entire customer journey. The framework presented by Pauwels (2015) focuses on the idea of right metrics that lead to right results, a range of metrics that prove value creation and metrics that prove activity. The significance of marketing accountability models as highlighted by Stewart (2006) justifies the need for a demonstrable return on investment, and the role of marketing as highlighted by the analysis of Moorman and Rust (1999) is that the role of marketing is not limited to instant sales but rather long-term value addition such as brand equity and customer relationships.</w:t>
      </w:r>
    </w:p>
    <w:p w14:paraId="058A95AC" w14:textId="2536FB41" w:rsidR="008A7180" w:rsidRPr="008A7180" w:rsidRDefault="00E06244" w:rsidP="003031E6">
      <w:pPr>
        <w:spacing w:after="0" w:line="480" w:lineRule="auto"/>
        <w:ind w:firstLine="720"/>
        <w:rPr>
          <w:rFonts w:ascii="Times New Roman" w:hAnsi="Times New Roman" w:cs="Times New Roman"/>
          <w:sz w:val="24"/>
          <w:szCs w:val="24"/>
        </w:rPr>
      </w:pPr>
      <w:r w:rsidRPr="00E06244">
        <w:rPr>
          <w:rFonts w:ascii="Times New Roman" w:hAnsi="Times New Roman" w:cs="Times New Roman"/>
          <w:sz w:val="24"/>
          <w:szCs w:val="24"/>
        </w:rPr>
        <w:t>The analysis by Hu et al. (2023) of 19,719 firm-year observations offers metrics frameworks of ESG-marketing integration showing that firms that have stronger marketing abilities are more ESG engaged and less inefficient in their investments. The metrics provided by Bar Am et al. (2023) indicate the effectiveness of ESG claims: the growth of products with claims was 28% when compared to the growth of products without claims at five years and 600,000 SKUs, reflecting the retail sales of $400 billion.</w:t>
      </w:r>
      <w:r w:rsidR="00BA36C0" w:rsidRPr="003031E6">
        <w:rPr>
          <w:rFonts w:ascii="Times New Roman" w:hAnsi="Times New Roman" w:cs="Times New Roman"/>
          <w:sz w:val="24"/>
          <w:szCs w:val="24"/>
        </w:rPr>
        <w:t xml:space="preserve"> </w:t>
      </w:r>
      <w:r w:rsidRPr="00E06244">
        <w:rPr>
          <w:rFonts w:ascii="Times New Roman" w:hAnsi="Times New Roman" w:cs="Times New Roman"/>
          <w:sz w:val="24"/>
          <w:szCs w:val="24"/>
        </w:rPr>
        <w:t>Nonetheless, the measurement systems at Coca-Cola exhibit significant loopholes in which the operational measures (increases in plastic footprint) are in conflict with the marketing statements (reduction promises), posing problems of accountability. The lack of publicly stated measures of the success of the World Without Waste in terms of its performance despite the heavy investment indicates the organisational shortcomings in measurement and the need to provide detailed performance frameworks that may include both communication and operational aspects.</w:t>
      </w:r>
    </w:p>
    <w:p w14:paraId="309CA082" w14:textId="1A2B954D" w:rsidR="008A7180" w:rsidRPr="003031E6" w:rsidRDefault="008A7180" w:rsidP="003031E6">
      <w:pPr>
        <w:pStyle w:val="Heading1"/>
        <w:spacing w:before="0" w:after="0" w:line="480" w:lineRule="auto"/>
        <w:rPr>
          <w:rFonts w:cs="Times New Roman"/>
          <w:sz w:val="28"/>
          <w:szCs w:val="28"/>
        </w:rPr>
      </w:pPr>
      <w:bookmarkStart w:id="8" w:name="_Toc218612766"/>
      <w:r w:rsidRPr="003031E6">
        <w:rPr>
          <w:rFonts w:cs="Times New Roman"/>
          <w:sz w:val="28"/>
          <w:szCs w:val="28"/>
        </w:rPr>
        <w:lastRenderedPageBreak/>
        <w:t>3</w:t>
      </w:r>
      <w:r w:rsidR="00E06244" w:rsidRPr="003031E6">
        <w:rPr>
          <w:rFonts w:cs="Times New Roman"/>
          <w:sz w:val="28"/>
          <w:szCs w:val="28"/>
        </w:rPr>
        <w:t>. Conclusion</w:t>
      </w:r>
      <w:bookmarkEnd w:id="8"/>
    </w:p>
    <w:p w14:paraId="4D871CA0" w14:textId="3CEE7F36" w:rsidR="002350C0" w:rsidRPr="002350C0" w:rsidRDefault="002350C0" w:rsidP="003031E6">
      <w:pPr>
        <w:spacing w:after="0" w:line="480" w:lineRule="auto"/>
        <w:ind w:firstLine="720"/>
        <w:rPr>
          <w:rFonts w:ascii="Times New Roman" w:hAnsi="Times New Roman" w:cs="Times New Roman"/>
          <w:sz w:val="24"/>
          <w:szCs w:val="24"/>
        </w:rPr>
      </w:pPr>
      <w:r w:rsidRPr="002350C0">
        <w:rPr>
          <w:rFonts w:ascii="Times New Roman" w:hAnsi="Times New Roman" w:cs="Times New Roman"/>
          <w:sz w:val="24"/>
          <w:szCs w:val="24"/>
        </w:rPr>
        <w:t xml:space="preserve">This analysis </w:t>
      </w:r>
      <w:r w:rsidR="00BA36C0" w:rsidRPr="003031E6">
        <w:rPr>
          <w:rFonts w:ascii="Times New Roman" w:hAnsi="Times New Roman" w:cs="Times New Roman"/>
          <w:sz w:val="24"/>
          <w:szCs w:val="24"/>
        </w:rPr>
        <w:t xml:space="preserve">has </w:t>
      </w:r>
      <w:r w:rsidRPr="002350C0">
        <w:rPr>
          <w:rFonts w:ascii="Times New Roman" w:hAnsi="Times New Roman" w:cs="Times New Roman"/>
          <w:sz w:val="24"/>
          <w:szCs w:val="24"/>
        </w:rPr>
        <w:t>identifie</w:t>
      </w:r>
      <w:r w:rsidR="00BA36C0" w:rsidRPr="003031E6">
        <w:rPr>
          <w:rFonts w:ascii="Times New Roman" w:hAnsi="Times New Roman" w:cs="Times New Roman"/>
          <w:sz w:val="24"/>
          <w:szCs w:val="24"/>
        </w:rPr>
        <w:t>d</w:t>
      </w:r>
      <w:r w:rsidRPr="002350C0">
        <w:rPr>
          <w:rFonts w:ascii="Times New Roman" w:hAnsi="Times New Roman" w:cs="Times New Roman"/>
          <w:sz w:val="24"/>
          <w:szCs w:val="24"/>
        </w:rPr>
        <w:t xml:space="preserve"> 4 strategic failures that are connected to the weaknesses of the marketing of Coca-Cola even after investing a significant </w:t>
      </w:r>
      <w:proofErr w:type="gramStart"/>
      <w:r w:rsidRPr="002350C0">
        <w:rPr>
          <w:rFonts w:ascii="Times New Roman" w:hAnsi="Times New Roman" w:cs="Times New Roman"/>
          <w:sz w:val="24"/>
          <w:szCs w:val="24"/>
        </w:rPr>
        <w:t>amount</w:t>
      </w:r>
      <w:proofErr w:type="gramEnd"/>
      <w:r w:rsidRPr="002350C0">
        <w:rPr>
          <w:rFonts w:ascii="Times New Roman" w:hAnsi="Times New Roman" w:cs="Times New Roman"/>
          <w:sz w:val="24"/>
          <w:szCs w:val="24"/>
        </w:rPr>
        <w:t xml:space="preserve"> of resources. To begin with, organisational influence erosion is the fundamental weakness in which marketing departments no longer have the power to make pricing and distribution decisions historically in the area of their control. The fact that Oliveira and Luce (2020) report that the marketing department has lost its voice is reflected in how Coca-Cola has failed to guarantee operational implementation in accordance with marketing promises, which results in implementation gaps where sustainability promises are implemented with no accompanying operational authority to guarantee execution.</w:t>
      </w:r>
    </w:p>
    <w:p w14:paraId="71F8D4A6" w14:textId="5A04DC8A" w:rsidR="002350C0" w:rsidRPr="002350C0" w:rsidRDefault="002350C0" w:rsidP="003031E6">
      <w:pPr>
        <w:spacing w:after="0" w:line="480" w:lineRule="auto"/>
        <w:ind w:firstLine="720"/>
        <w:rPr>
          <w:rFonts w:ascii="Times New Roman" w:hAnsi="Times New Roman" w:cs="Times New Roman"/>
          <w:sz w:val="24"/>
          <w:szCs w:val="24"/>
        </w:rPr>
      </w:pPr>
      <w:r w:rsidRPr="002350C0">
        <w:rPr>
          <w:rFonts w:ascii="Times New Roman" w:hAnsi="Times New Roman" w:cs="Times New Roman"/>
          <w:sz w:val="24"/>
          <w:szCs w:val="24"/>
        </w:rPr>
        <w:t>Second, the rhetoric-reality gap is the extreme form of credibility crisis where marketing communications claim results that do not conform to the performance in the operations. The quantification of the plastic footprint in the case of Oceana (2025), 2.96 to 3.45 million metric tonnes of growth, and the communications reduction claims providing judicial validation of the claim of consumer deception are empirical evidence, although the documentation by the Earth Island Institute (2024) of the courts characterising sustainability claims as lipstick on a pig is judicial validation of consumer deception.</w:t>
      </w:r>
      <w:r w:rsidR="00BA36C0" w:rsidRPr="003031E6">
        <w:rPr>
          <w:rFonts w:ascii="Times New Roman" w:hAnsi="Times New Roman" w:cs="Times New Roman"/>
          <w:sz w:val="24"/>
          <w:szCs w:val="24"/>
        </w:rPr>
        <w:t xml:space="preserve"> In addition</w:t>
      </w:r>
      <w:r w:rsidRPr="002350C0">
        <w:rPr>
          <w:rFonts w:ascii="Times New Roman" w:hAnsi="Times New Roman" w:cs="Times New Roman"/>
          <w:sz w:val="24"/>
          <w:szCs w:val="24"/>
        </w:rPr>
        <w:t xml:space="preserve">, consumer misunderstanding is a strategic failure in which targeting policies presume the existence of monolithic, sustainable consumer segments when the current evidence presented by von der </w:t>
      </w:r>
      <w:proofErr w:type="spellStart"/>
      <w:r w:rsidRPr="002350C0">
        <w:rPr>
          <w:rFonts w:ascii="Times New Roman" w:hAnsi="Times New Roman" w:cs="Times New Roman"/>
          <w:sz w:val="24"/>
          <w:szCs w:val="24"/>
        </w:rPr>
        <w:t>Gathen</w:t>
      </w:r>
      <w:proofErr w:type="spellEnd"/>
      <w:r w:rsidRPr="002350C0">
        <w:rPr>
          <w:rFonts w:ascii="Times New Roman" w:hAnsi="Times New Roman" w:cs="Times New Roman"/>
          <w:sz w:val="24"/>
          <w:szCs w:val="24"/>
        </w:rPr>
        <w:t xml:space="preserve"> et al. (2024) indicates that there exist eight distinct segments with dramatically low sustainability commitment and willingness to pay as low as 3% in Japan and as high as 36% in India.</w:t>
      </w:r>
    </w:p>
    <w:p w14:paraId="16ED2991" w14:textId="2818F4E7" w:rsidR="008A7180" w:rsidRPr="008A7180" w:rsidRDefault="002350C0" w:rsidP="003031E6">
      <w:pPr>
        <w:spacing w:after="0" w:line="480" w:lineRule="auto"/>
        <w:ind w:firstLine="720"/>
        <w:rPr>
          <w:rFonts w:ascii="Times New Roman" w:hAnsi="Times New Roman" w:cs="Times New Roman"/>
          <w:sz w:val="24"/>
          <w:szCs w:val="24"/>
        </w:rPr>
      </w:pPr>
      <w:r w:rsidRPr="002350C0">
        <w:rPr>
          <w:rFonts w:ascii="Times New Roman" w:hAnsi="Times New Roman" w:cs="Times New Roman"/>
          <w:sz w:val="24"/>
          <w:szCs w:val="24"/>
        </w:rPr>
        <w:t xml:space="preserve">Finally, the lack of efficient performance evaluation is caused by inadequacies of measurement systems. Lack of built-in dashboards that would combine the indicators of both </w:t>
      </w:r>
      <w:r w:rsidRPr="002350C0">
        <w:rPr>
          <w:rFonts w:ascii="Times New Roman" w:hAnsi="Times New Roman" w:cs="Times New Roman"/>
          <w:sz w:val="24"/>
          <w:szCs w:val="24"/>
        </w:rPr>
        <w:lastRenderedPageBreak/>
        <w:t xml:space="preserve">marketing communications and indicators of operational sustainability lets rhetoric-reality gaps go unnoticed until they are revealed by an outside examination. The very notion of a reputational reservoir introduced by </w:t>
      </w:r>
      <w:proofErr w:type="spellStart"/>
      <w:r w:rsidRPr="002350C0">
        <w:rPr>
          <w:rFonts w:ascii="Times New Roman" w:hAnsi="Times New Roman" w:cs="Times New Roman"/>
          <w:sz w:val="24"/>
          <w:szCs w:val="24"/>
        </w:rPr>
        <w:t>Greyser</w:t>
      </w:r>
      <w:proofErr w:type="spellEnd"/>
      <w:r w:rsidRPr="002350C0">
        <w:rPr>
          <w:rFonts w:ascii="Times New Roman" w:hAnsi="Times New Roman" w:cs="Times New Roman"/>
          <w:sz w:val="24"/>
          <w:szCs w:val="24"/>
        </w:rPr>
        <w:t xml:space="preserve"> (2009) is especially applicable in the case of greenwashing litigation: decades of building brand equity through decades of brand-building turn the valuable brand equity into a liability in cases when the operations of the company do not meet the marketing promises.</w:t>
      </w:r>
    </w:p>
    <w:p w14:paraId="2360697B" w14:textId="54623388" w:rsidR="008A7180" w:rsidRPr="003031E6" w:rsidRDefault="008A7180" w:rsidP="003031E6">
      <w:pPr>
        <w:pStyle w:val="Heading1"/>
        <w:spacing w:before="0" w:after="0" w:line="480" w:lineRule="auto"/>
        <w:rPr>
          <w:rFonts w:cs="Times New Roman"/>
          <w:sz w:val="28"/>
          <w:szCs w:val="28"/>
        </w:rPr>
      </w:pPr>
      <w:bookmarkStart w:id="9" w:name="_Toc218612767"/>
      <w:r w:rsidRPr="003031E6">
        <w:rPr>
          <w:rFonts w:cs="Times New Roman"/>
          <w:sz w:val="28"/>
          <w:szCs w:val="28"/>
        </w:rPr>
        <w:t xml:space="preserve">4. </w:t>
      </w:r>
      <w:r w:rsidR="00BA36C0" w:rsidRPr="003031E6">
        <w:rPr>
          <w:rFonts w:cs="Times New Roman"/>
          <w:sz w:val="28"/>
          <w:szCs w:val="28"/>
        </w:rPr>
        <w:t>Strategic Recommendations for Marketing Transformation</w:t>
      </w:r>
      <w:bookmarkEnd w:id="9"/>
    </w:p>
    <w:p w14:paraId="44BB6A4D" w14:textId="77777777" w:rsidR="008A7180" w:rsidRPr="003031E6" w:rsidRDefault="008A7180" w:rsidP="003031E6">
      <w:pPr>
        <w:pStyle w:val="Heading2"/>
        <w:rPr>
          <w:sz w:val="32"/>
          <w:szCs w:val="32"/>
        </w:rPr>
      </w:pPr>
      <w:bookmarkStart w:id="10" w:name="_Toc218612768"/>
      <w:r w:rsidRPr="003031E6">
        <w:rPr>
          <w:sz w:val="32"/>
          <w:szCs w:val="32"/>
        </w:rPr>
        <w:t>4.1 Operational Authenticity and Market Leadership</w:t>
      </w:r>
      <w:bookmarkEnd w:id="10"/>
    </w:p>
    <w:p w14:paraId="33DE2228" w14:textId="77777777" w:rsidR="006879DF" w:rsidRPr="006879DF" w:rsidRDefault="006879DF" w:rsidP="006879DF">
      <w:pPr>
        <w:spacing w:after="0" w:line="480" w:lineRule="auto"/>
        <w:ind w:firstLine="720"/>
        <w:rPr>
          <w:rFonts w:ascii="Times New Roman" w:hAnsi="Times New Roman" w:cs="Times New Roman"/>
          <w:sz w:val="24"/>
          <w:szCs w:val="24"/>
        </w:rPr>
      </w:pPr>
      <w:r w:rsidRPr="006879DF">
        <w:rPr>
          <w:rFonts w:ascii="Times New Roman" w:hAnsi="Times New Roman" w:cs="Times New Roman"/>
          <w:sz w:val="24"/>
          <w:szCs w:val="24"/>
        </w:rPr>
        <w:t xml:space="preserve">Coca-Cola needs to radically shift its positioning strategy from forfeiting to the positioning strategy of reacting to a proactive transformation that determines consumer expectations. The framework presented by Sheth and </w:t>
      </w:r>
      <w:proofErr w:type="spellStart"/>
      <w:r w:rsidRPr="006879DF">
        <w:rPr>
          <w:rFonts w:ascii="Times New Roman" w:hAnsi="Times New Roman" w:cs="Times New Roman"/>
          <w:sz w:val="24"/>
          <w:szCs w:val="24"/>
        </w:rPr>
        <w:t>Parvatiyar</w:t>
      </w:r>
      <w:proofErr w:type="spellEnd"/>
      <w:r w:rsidRPr="006879DF">
        <w:rPr>
          <w:rFonts w:ascii="Times New Roman" w:hAnsi="Times New Roman" w:cs="Times New Roman"/>
          <w:sz w:val="24"/>
          <w:szCs w:val="24"/>
        </w:rPr>
        <w:t xml:space="preserve"> (2021) asserts that marketing requires a two-dimensional change of focus on sustainability as opposed to consumption (p. 2), which necessitates taking an active role in driving the development of the market. The fact that the existing studies indicate that the focus is on high-impact behaviours, with only 1.04% that has been identified, as stated by White et al. (2025), implies that much can be done to transform things.</w:t>
      </w:r>
    </w:p>
    <w:p w14:paraId="5CBCE930" w14:textId="447D395D" w:rsidR="00E06244" w:rsidRPr="00E06244" w:rsidRDefault="006879DF" w:rsidP="006879DF">
      <w:pPr>
        <w:spacing w:after="0" w:line="480" w:lineRule="auto"/>
        <w:ind w:firstLine="720"/>
        <w:rPr>
          <w:rFonts w:ascii="Times New Roman" w:hAnsi="Times New Roman" w:cs="Times New Roman"/>
          <w:sz w:val="24"/>
          <w:szCs w:val="24"/>
        </w:rPr>
      </w:pPr>
      <w:r w:rsidRPr="006879DF">
        <w:rPr>
          <w:rFonts w:ascii="Times New Roman" w:hAnsi="Times New Roman" w:cs="Times New Roman"/>
          <w:sz w:val="24"/>
          <w:szCs w:val="24"/>
        </w:rPr>
        <w:t xml:space="preserve">To implement this, it is necessary to reverse the historical trend where operations were developed before communications so that transformation will create a legitimate foundation first. The difference between strategic sustainability practices that create competitive differentiation and typical practices that show what is expected in a certain industry as provided by Ioannou and Serafeim (2019) implies the need to find investments that would initiate both environmental and competitive benefits. The study of Berns et al. (2009) shows that 92% of executives discuss sustainability, but most of the initiatives bring minimal business benefits and need stringent </w:t>
      </w:r>
      <w:r w:rsidRPr="006879DF">
        <w:rPr>
          <w:rFonts w:ascii="Times New Roman" w:hAnsi="Times New Roman" w:cs="Times New Roman"/>
          <w:sz w:val="24"/>
          <w:szCs w:val="24"/>
        </w:rPr>
        <w:lastRenderedPageBreak/>
        <w:t>assessment structures. The best practices by the Institute of Sustainability Studies (2024) focus on the aspect of authenticity by operational transformation before the communication campaigns.</w:t>
      </w:r>
    </w:p>
    <w:p w14:paraId="564AABB4" w14:textId="44B28DA1" w:rsidR="00E06244" w:rsidRPr="003031E6" w:rsidRDefault="00E06244" w:rsidP="003031E6">
      <w:pPr>
        <w:pStyle w:val="Heading2"/>
      </w:pPr>
      <w:bookmarkStart w:id="11" w:name="_Toc218612769"/>
      <w:r w:rsidRPr="003031E6">
        <w:t>4.2 Circular Systems and Infrastructure Investment</w:t>
      </w:r>
      <w:bookmarkEnd w:id="11"/>
    </w:p>
    <w:p w14:paraId="22AA8938" w14:textId="77777777" w:rsidR="006879DF" w:rsidRPr="006879DF" w:rsidRDefault="006879DF" w:rsidP="006879DF">
      <w:pPr>
        <w:spacing w:after="0" w:line="480" w:lineRule="auto"/>
        <w:ind w:firstLine="720"/>
        <w:rPr>
          <w:rFonts w:ascii="Times New Roman" w:hAnsi="Times New Roman" w:cs="Times New Roman"/>
          <w:sz w:val="24"/>
          <w:szCs w:val="24"/>
        </w:rPr>
      </w:pPr>
      <w:r w:rsidRPr="006879DF">
        <w:rPr>
          <w:rFonts w:ascii="Times New Roman" w:hAnsi="Times New Roman" w:cs="Times New Roman"/>
          <w:sz w:val="24"/>
          <w:szCs w:val="24"/>
        </w:rPr>
        <w:t xml:space="preserve">Coca-Cola needs to focus on the infrastructure development that will allow the use of reusable packaging systems with the help of technological innovation. The fact that UV fluorescence imaging can offer a similar level of sensitivity to ATP swabbing and offers complete coverage of the surface plus a throughput of multiple of ten per second (Woolley et al. 352-353) demonstrates that addressing food safety issues – the number one consumer barrier – technologically is viable. The three-phase approach adopted by </w:t>
      </w:r>
      <w:proofErr w:type="spellStart"/>
      <w:r w:rsidRPr="006879DF">
        <w:rPr>
          <w:rFonts w:ascii="Times New Roman" w:hAnsi="Times New Roman" w:cs="Times New Roman"/>
          <w:sz w:val="24"/>
          <w:szCs w:val="24"/>
        </w:rPr>
        <w:t>Frishammar</w:t>
      </w:r>
      <w:proofErr w:type="spellEnd"/>
      <w:r w:rsidRPr="006879DF">
        <w:rPr>
          <w:rFonts w:ascii="Times New Roman" w:hAnsi="Times New Roman" w:cs="Times New Roman"/>
          <w:sz w:val="24"/>
          <w:szCs w:val="24"/>
        </w:rPr>
        <w:t xml:space="preserve"> et al. (2025) should be implemented: the assessment of circular capabilities by involving ecosystem partners, enhancing the delivery organisation with specific teams, and adopting the idea of continuous agile experimentation that facilitates fast iteration.</w:t>
      </w:r>
    </w:p>
    <w:p w14:paraId="035EE8D0" w14:textId="77777777" w:rsidR="006879DF" w:rsidRPr="006879DF" w:rsidRDefault="006879DF" w:rsidP="006879DF">
      <w:pPr>
        <w:spacing w:after="0" w:line="480" w:lineRule="auto"/>
        <w:ind w:firstLine="720"/>
        <w:rPr>
          <w:rFonts w:ascii="Times New Roman" w:hAnsi="Times New Roman" w:cs="Times New Roman"/>
          <w:sz w:val="24"/>
          <w:szCs w:val="24"/>
        </w:rPr>
      </w:pPr>
      <w:r w:rsidRPr="006879DF">
        <w:rPr>
          <w:rFonts w:ascii="Times New Roman" w:hAnsi="Times New Roman" w:cs="Times New Roman"/>
          <w:sz w:val="24"/>
          <w:szCs w:val="24"/>
        </w:rPr>
        <w:t>Pilot implementation is recommended to be in geographies with the best collection infrastructure potentials, namely Germany, Sweden and Japan, with a collection rate above 80 per cent (Feber et al., 2025), and then extend to those markets that need to develop their infrastructure. The projection of the economic opportunity through plastic recycling of £50-75 billion in the future, according to Wallach (2025), proves that it is commercially viable, but the investment would require tremendous capital commitment to reach that level, which would need prioritisation by the executive and support by the shareholders.</w:t>
      </w:r>
    </w:p>
    <w:p w14:paraId="34B0089E" w14:textId="6D20D102" w:rsidR="00E06244" w:rsidRPr="00E06244" w:rsidRDefault="006879DF" w:rsidP="006879DF">
      <w:pPr>
        <w:spacing w:after="0" w:line="480" w:lineRule="auto"/>
        <w:ind w:firstLine="720"/>
        <w:rPr>
          <w:rFonts w:ascii="Times New Roman" w:hAnsi="Times New Roman" w:cs="Times New Roman"/>
          <w:sz w:val="24"/>
          <w:szCs w:val="24"/>
        </w:rPr>
      </w:pPr>
      <w:r w:rsidRPr="006879DF">
        <w:rPr>
          <w:rFonts w:ascii="Times New Roman" w:hAnsi="Times New Roman" w:cs="Times New Roman"/>
          <w:sz w:val="24"/>
          <w:szCs w:val="24"/>
        </w:rPr>
        <w:t xml:space="preserve">The market trend of early movers is supported by the forecast by </w:t>
      </w:r>
      <w:proofErr w:type="spellStart"/>
      <w:r w:rsidRPr="006879DF">
        <w:rPr>
          <w:rFonts w:ascii="Times New Roman" w:hAnsi="Times New Roman" w:cs="Times New Roman"/>
          <w:sz w:val="24"/>
          <w:szCs w:val="24"/>
        </w:rPr>
        <w:t>InsightAce</w:t>
      </w:r>
      <w:proofErr w:type="spellEnd"/>
      <w:r w:rsidRPr="006879DF">
        <w:rPr>
          <w:rFonts w:ascii="Times New Roman" w:hAnsi="Times New Roman" w:cs="Times New Roman"/>
          <w:sz w:val="24"/>
          <w:szCs w:val="24"/>
        </w:rPr>
        <w:t xml:space="preserve"> Analytic (2025) of a 6.8 per cent CAGR growth in the beverage industry circular economy. Reallocation of the budget should focus more on infrastructure investment (between 2 and 3 billion towards circular economy systems) rather than on purely communicative marketing, inverting the </w:t>
      </w:r>
      <w:r w:rsidRPr="006879DF">
        <w:rPr>
          <w:rFonts w:ascii="Times New Roman" w:hAnsi="Times New Roman" w:cs="Times New Roman"/>
          <w:sz w:val="24"/>
          <w:szCs w:val="24"/>
        </w:rPr>
        <w:lastRenderedPageBreak/>
        <w:t>historical trends but spending enough on marketing to educate consumers on the circular systems.</w:t>
      </w:r>
    </w:p>
    <w:p w14:paraId="60477827" w14:textId="10F02FF5" w:rsidR="00E06244" w:rsidRPr="003031E6" w:rsidRDefault="00E06244" w:rsidP="003031E6">
      <w:pPr>
        <w:pStyle w:val="Heading2"/>
      </w:pPr>
      <w:bookmarkStart w:id="12" w:name="_Toc218612770"/>
      <w:r w:rsidRPr="003031E6">
        <w:t>4.3 Technology Combination and Consumer Interaction</w:t>
      </w:r>
      <w:bookmarkEnd w:id="12"/>
    </w:p>
    <w:p w14:paraId="6393D41A" w14:textId="77777777" w:rsidR="006879DF" w:rsidRPr="006879DF" w:rsidRDefault="006879DF" w:rsidP="006879DF">
      <w:pPr>
        <w:spacing w:after="0" w:line="480" w:lineRule="auto"/>
        <w:ind w:firstLine="720"/>
        <w:rPr>
          <w:rFonts w:ascii="Times New Roman" w:hAnsi="Times New Roman" w:cs="Times New Roman"/>
          <w:sz w:val="24"/>
          <w:szCs w:val="24"/>
        </w:rPr>
      </w:pPr>
      <w:r w:rsidRPr="006879DF">
        <w:rPr>
          <w:rFonts w:ascii="Times New Roman" w:hAnsi="Times New Roman" w:cs="Times New Roman"/>
          <w:sz w:val="24"/>
          <w:szCs w:val="24"/>
        </w:rPr>
        <w:t>Coca-Cola needs to speed up the digital transformation using a three-stage framework of digitisation, digitalisation, and digital transformation suggested by Verhoeff et al. (2021). Reverse logistics should be optimised with the focus of AI-enabled personalisation; in this case, according to the research conducted by Davenport et al. (2020), AI offers the most value in marketing areas. Virtual brand ambassador implementation at Gen Z is a strategic priority since Shi (2023) records that 75% of them subscribe to virtual influences, with 40% already having made purchases of promoted products, which presents a benefit in sensitive environmental issues.</w:t>
      </w:r>
    </w:p>
    <w:p w14:paraId="1D4925C2" w14:textId="4B937BA9" w:rsidR="00E06244" w:rsidRPr="00E06244" w:rsidRDefault="006879DF" w:rsidP="006879DF">
      <w:pPr>
        <w:spacing w:after="0" w:line="480" w:lineRule="auto"/>
        <w:ind w:firstLine="720"/>
        <w:rPr>
          <w:rFonts w:ascii="Times New Roman" w:hAnsi="Times New Roman" w:cs="Times New Roman"/>
          <w:sz w:val="24"/>
          <w:szCs w:val="24"/>
        </w:rPr>
      </w:pPr>
      <w:r w:rsidRPr="006879DF">
        <w:rPr>
          <w:rFonts w:ascii="Times New Roman" w:hAnsi="Times New Roman" w:cs="Times New Roman"/>
          <w:sz w:val="24"/>
          <w:szCs w:val="24"/>
        </w:rPr>
        <w:t xml:space="preserve">According to the analysis by </w:t>
      </w:r>
      <w:proofErr w:type="spellStart"/>
      <w:r w:rsidRPr="006879DF">
        <w:rPr>
          <w:rFonts w:ascii="Times New Roman" w:hAnsi="Times New Roman" w:cs="Times New Roman"/>
          <w:sz w:val="24"/>
          <w:szCs w:val="24"/>
        </w:rPr>
        <w:t>Kamkankaew</w:t>
      </w:r>
      <w:proofErr w:type="spellEnd"/>
      <w:r w:rsidRPr="006879DF">
        <w:rPr>
          <w:rFonts w:ascii="Times New Roman" w:hAnsi="Times New Roman" w:cs="Times New Roman"/>
          <w:sz w:val="24"/>
          <w:szCs w:val="24"/>
        </w:rPr>
        <w:t xml:space="preserve"> et al. (2025), there are brands which, being genuinely committed to sustainability, will achieve a competitive advantage, but it will be necessary to balance between innovation, compliance, and consumer comprehension. The dual nature of social media in the study by Dwivedi et al. (2021) demands two-way communication methods that consider adverse word-of-mouth exposures. The study conducted by Tran and Wang (2021) highlights the point of genuine interaction, whereas the analysis of Verhoeff and </w:t>
      </w:r>
      <w:proofErr w:type="spellStart"/>
      <w:r w:rsidRPr="006879DF">
        <w:rPr>
          <w:rFonts w:ascii="Times New Roman" w:hAnsi="Times New Roman" w:cs="Times New Roman"/>
          <w:sz w:val="24"/>
          <w:szCs w:val="24"/>
        </w:rPr>
        <w:t>Bijmolt</w:t>
      </w:r>
      <w:proofErr w:type="spellEnd"/>
      <w:r w:rsidRPr="006879DF">
        <w:rPr>
          <w:rFonts w:ascii="Times New Roman" w:hAnsi="Times New Roman" w:cs="Times New Roman"/>
          <w:sz w:val="24"/>
          <w:szCs w:val="24"/>
        </w:rPr>
        <w:t xml:space="preserve"> (2019) reports that more than 79% of executives accept that there are data reliability concerns, indicating that data quality is an essential success factor. The analysis by Henning-Thurau et al. (2004) that social benefits are the most powerful electronic word-of-mouth motivation indicates that gamification should be considered a combination of social recognition with economic compensation on bottle returns.</w:t>
      </w:r>
    </w:p>
    <w:p w14:paraId="1A3A57EC" w14:textId="696C9501" w:rsidR="00E06244" w:rsidRPr="003031E6" w:rsidRDefault="00E06244" w:rsidP="003031E6">
      <w:pPr>
        <w:pStyle w:val="Heading2"/>
      </w:pPr>
      <w:bookmarkStart w:id="13" w:name="_Toc218612771"/>
      <w:r w:rsidRPr="003031E6">
        <w:lastRenderedPageBreak/>
        <w:t>4.4 Reputation Rebuilding and Trust Rebuilding</w:t>
      </w:r>
      <w:bookmarkEnd w:id="13"/>
    </w:p>
    <w:p w14:paraId="17B851A3" w14:textId="77777777" w:rsidR="006879DF" w:rsidRPr="006879DF" w:rsidRDefault="006879DF" w:rsidP="006879DF">
      <w:pPr>
        <w:spacing w:after="0" w:line="480" w:lineRule="auto"/>
        <w:ind w:firstLine="720"/>
        <w:rPr>
          <w:rFonts w:ascii="Times New Roman" w:hAnsi="Times New Roman" w:cs="Times New Roman"/>
          <w:sz w:val="24"/>
          <w:szCs w:val="24"/>
        </w:rPr>
      </w:pPr>
      <w:r w:rsidRPr="006879DF">
        <w:rPr>
          <w:rFonts w:ascii="Times New Roman" w:hAnsi="Times New Roman" w:cs="Times New Roman"/>
          <w:sz w:val="24"/>
          <w:szCs w:val="24"/>
        </w:rPr>
        <w:t>Coca-Cola needs to adopt a holistic crisis response by rebuilding strategies which require focus on stakeholder protection. According to the theory of Combs (2007), the allegations of greenwashing must be fully apologised for, paid, and corrected, and it is important to note that any crisis must be addressed first by ensuring that the stakeholders are not harmed but by protecting the reputation (p. 165). The application needs open recognition that sustainability communications went on with a lack of an operation base.</w:t>
      </w:r>
    </w:p>
    <w:p w14:paraId="56472F23" w14:textId="2F635057" w:rsidR="008A7180" w:rsidRPr="008A7180" w:rsidRDefault="006879DF" w:rsidP="006879DF">
      <w:pPr>
        <w:spacing w:after="0" w:line="480" w:lineRule="auto"/>
        <w:ind w:firstLine="720"/>
        <w:rPr>
          <w:rFonts w:ascii="Times New Roman" w:hAnsi="Times New Roman" w:cs="Times New Roman"/>
          <w:sz w:val="24"/>
          <w:szCs w:val="24"/>
        </w:rPr>
      </w:pPr>
      <w:r w:rsidRPr="006879DF">
        <w:rPr>
          <w:rFonts w:ascii="Times New Roman" w:hAnsi="Times New Roman" w:cs="Times New Roman"/>
          <w:sz w:val="24"/>
          <w:szCs w:val="24"/>
        </w:rPr>
        <w:t xml:space="preserve">The concept of brand repositioning should take advantage of the advice offered by Aaker (2004), who states that reconnection with original roots is possible via the introduction of the original glass bottle systems, and the transition to a circular economy and shift back to sources is positioned as a turn. The fact that partnerships with environmental organisations, certification bodies and researchers with external validation are acceptable as long as the brands are associated with credible organisations, as stated by Keller (2003), supports the need to form partnerships with these organisations. The analysis by Guevara and Dib (2022) focuses more on transparency and accountability as a key precondition, and the study by de Souza Barbosa et al. (2023) focuses on the authentic signals of commitment as what needs to be in place to restore trust. The analysis by </w:t>
      </w:r>
      <w:proofErr w:type="spellStart"/>
      <w:r w:rsidRPr="006879DF">
        <w:rPr>
          <w:rFonts w:ascii="Times New Roman" w:hAnsi="Times New Roman" w:cs="Times New Roman"/>
          <w:sz w:val="24"/>
          <w:szCs w:val="24"/>
        </w:rPr>
        <w:t>Zervoudi</w:t>
      </w:r>
      <w:proofErr w:type="spellEnd"/>
      <w:r w:rsidRPr="006879DF">
        <w:rPr>
          <w:rFonts w:ascii="Times New Roman" w:hAnsi="Times New Roman" w:cs="Times New Roman"/>
          <w:sz w:val="24"/>
          <w:szCs w:val="24"/>
        </w:rPr>
        <w:t xml:space="preserve"> et al. (2025) highlights the effectiveness of sustainability marketing by pointing out that it requires an operational authenticity over communication sophistication and that combining marketing and operations </w:t>
      </w:r>
      <w:proofErr w:type="spellStart"/>
      <w:r w:rsidRPr="006879DF">
        <w:rPr>
          <w:rFonts w:ascii="Times New Roman" w:hAnsi="Times New Roman" w:cs="Times New Roman"/>
          <w:sz w:val="24"/>
          <w:szCs w:val="24"/>
        </w:rPr>
        <w:t>integratively</w:t>
      </w:r>
      <w:proofErr w:type="spellEnd"/>
      <w:r w:rsidRPr="006879DF">
        <w:rPr>
          <w:rFonts w:ascii="Times New Roman" w:hAnsi="Times New Roman" w:cs="Times New Roman"/>
          <w:sz w:val="24"/>
          <w:szCs w:val="24"/>
        </w:rPr>
        <w:t xml:space="preserve"> instead of acting independently of each other is the way to go.</w:t>
      </w:r>
    </w:p>
    <w:p w14:paraId="0024C667" w14:textId="77777777" w:rsidR="006879DF" w:rsidRDefault="006879DF">
      <w:pPr>
        <w:rPr>
          <w:rFonts w:ascii="Times New Roman" w:eastAsiaTheme="majorEastAsia" w:hAnsi="Times New Roman" w:cs="Times New Roman"/>
          <w:b/>
          <w:sz w:val="28"/>
          <w:szCs w:val="28"/>
        </w:rPr>
      </w:pPr>
      <w:r>
        <w:rPr>
          <w:rFonts w:cs="Times New Roman"/>
          <w:sz w:val="28"/>
          <w:szCs w:val="28"/>
        </w:rPr>
        <w:br w:type="page"/>
      </w:r>
    </w:p>
    <w:p w14:paraId="03E8269D" w14:textId="100DE55C" w:rsidR="008A7180" w:rsidRPr="003031E6" w:rsidRDefault="00BA36C0" w:rsidP="003031E6">
      <w:pPr>
        <w:pStyle w:val="Heading1"/>
        <w:spacing w:before="0" w:after="0" w:line="480" w:lineRule="auto"/>
        <w:rPr>
          <w:rFonts w:cs="Times New Roman"/>
          <w:sz w:val="28"/>
          <w:szCs w:val="28"/>
        </w:rPr>
      </w:pPr>
      <w:bookmarkStart w:id="14" w:name="_Toc218612772"/>
      <w:r w:rsidRPr="003031E6">
        <w:rPr>
          <w:rFonts w:cs="Times New Roman"/>
          <w:sz w:val="28"/>
          <w:szCs w:val="28"/>
        </w:rPr>
        <w:lastRenderedPageBreak/>
        <w:t>References List</w:t>
      </w:r>
      <w:bookmarkEnd w:id="14"/>
    </w:p>
    <w:p w14:paraId="5FDE32BE"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Aaker, D.A. (2004) 'Leveraging the corporate brand', </w:t>
      </w:r>
      <w:r w:rsidRPr="003031E6">
        <w:rPr>
          <w:rFonts w:ascii="Times New Roman" w:hAnsi="Times New Roman" w:cs="Times New Roman"/>
          <w:i/>
          <w:iCs/>
          <w:sz w:val="24"/>
          <w:szCs w:val="24"/>
        </w:rPr>
        <w:t>California Management Review</w:t>
      </w:r>
      <w:r w:rsidRPr="003031E6">
        <w:rPr>
          <w:rFonts w:ascii="Times New Roman" w:hAnsi="Times New Roman" w:cs="Times New Roman"/>
          <w:sz w:val="24"/>
          <w:szCs w:val="24"/>
        </w:rPr>
        <w:t>, 46(3), pp. 6–18.</w:t>
      </w:r>
    </w:p>
    <w:p w14:paraId="6A4D7B5D"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Bar Am, J., Doshi, V., Malik, A., Noble, S. and Frey, S. (2023) </w:t>
      </w:r>
      <w:r w:rsidRPr="003031E6">
        <w:rPr>
          <w:rFonts w:ascii="Times New Roman" w:hAnsi="Times New Roman" w:cs="Times New Roman"/>
          <w:i/>
          <w:iCs/>
          <w:sz w:val="24"/>
          <w:szCs w:val="24"/>
        </w:rPr>
        <w:t>Consumers care about sustainability—and back it up with their wallets</w:t>
      </w:r>
      <w:r w:rsidRPr="003031E6">
        <w:rPr>
          <w:rFonts w:ascii="Times New Roman" w:hAnsi="Times New Roman" w:cs="Times New Roman"/>
          <w:sz w:val="24"/>
          <w:szCs w:val="24"/>
        </w:rPr>
        <w:t xml:space="preserve">, McKinsey &amp; Company, 6 February. Available at: </w:t>
      </w:r>
      <w:hyperlink r:id="rId8" w:history="1">
        <w:r w:rsidRPr="003031E6">
          <w:rPr>
            <w:rStyle w:val="Hyperlink"/>
            <w:rFonts w:ascii="Times New Roman" w:hAnsi="Times New Roman" w:cs="Times New Roman"/>
            <w:sz w:val="24"/>
            <w:szCs w:val="24"/>
          </w:rPr>
          <w:t>https://www.mckinsey.com/industries/consumer-packaged-goods/our-insights/consumers-care-about-sustainability-and-back-it-up-with-their-wallets</w:t>
        </w:r>
      </w:hyperlink>
      <w:r w:rsidRPr="003031E6">
        <w:rPr>
          <w:rFonts w:ascii="Times New Roman" w:hAnsi="Times New Roman" w:cs="Times New Roman"/>
          <w:sz w:val="24"/>
          <w:szCs w:val="24"/>
        </w:rPr>
        <w:t xml:space="preserve"> (Accessed: 5 January 2026).</w:t>
      </w:r>
    </w:p>
    <w:p w14:paraId="39827E8B"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Berns, M., Townend, A., Khayat, Z., Balagopal, B., Reeves, M., Hopkins, M.S. and Kruschwitz, N. (2009) 'Sustainability and competitive advantage', </w:t>
      </w:r>
      <w:r w:rsidRPr="003031E6">
        <w:rPr>
          <w:rFonts w:ascii="Times New Roman" w:hAnsi="Times New Roman" w:cs="Times New Roman"/>
          <w:i/>
          <w:iCs/>
          <w:sz w:val="24"/>
          <w:szCs w:val="24"/>
        </w:rPr>
        <w:t>MIT Sloan Management Review</w:t>
      </w:r>
      <w:r w:rsidRPr="003031E6">
        <w:rPr>
          <w:rFonts w:ascii="Times New Roman" w:hAnsi="Times New Roman" w:cs="Times New Roman"/>
          <w:sz w:val="24"/>
          <w:szCs w:val="24"/>
        </w:rPr>
        <w:t>, 51(1), pp. 19–26.</w:t>
      </w:r>
    </w:p>
    <w:p w14:paraId="5E3D7994"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Bloomberg Law (2022) </w:t>
      </w:r>
      <w:r w:rsidRPr="003031E6">
        <w:rPr>
          <w:rFonts w:ascii="Times New Roman" w:hAnsi="Times New Roman" w:cs="Times New Roman"/>
          <w:i/>
          <w:iCs/>
          <w:sz w:val="24"/>
          <w:szCs w:val="24"/>
        </w:rPr>
        <w:t>Coca-Cola facing greenwashing suit over plastic pollution</w:t>
      </w:r>
      <w:r w:rsidRPr="003031E6">
        <w:rPr>
          <w:rFonts w:ascii="Times New Roman" w:hAnsi="Times New Roman" w:cs="Times New Roman"/>
          <w:sz w:val="24"/>
          <w:szCs w:val="24"/>
        </w:rPr>
        <w:t xml:space="preserve">, 26 October. Available at: </w:t>
      </w:r>
      <w:hyperlink r:id="rId9" w:history="1">
        <w:r w:rsidRPr="003031E6">
          <w:rPr>
            <w:rStyle w:val="Hyperlink"/>
            <w:rFonts w:ascii="Times New Roman" w:hAnsi="Times New Roman" w:cs="Times New Roman"/>
            <w:sz w:val="24"/>
            <w:szCs w:val="24"/>
          </w:rPr>
          <w:t>https://news.bloomberglaw.com/environment-and-energy/coca-cola-facing-greenwashing-suit-over-plastic-pollution</w:t>
        </w:r>
      </w:hyperlink>
      <w:r w:rsidRPr="003031E6">
        <w:rPr>
          <w:rFonts w:ascii="Times New Roman" w:hAnsi="Times New Roman" w:cs="Times New Roman"/>
          <w:sz w:val="24"/>
          <w:szCs w:val="24"/>
        </w:rPr>
        <w:t xml:space="preserve"> (Accessed: 5 January 2026).</w:t>
      </w:r>
    </w:p>
    <w:p w14:paraId="776E0FDC"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Boyington, A. (2025) 'Coca-Cola hit with class-action lawsuit over allegedly misleading advertising', </w:t>
      </w:r>
      <w:r w:rsidRPr="003031E6">
        <w:rPr>
          <w:rFonts w:ascii="Times New Roman" w:hAnsi="Times New Roman" w:cs="Times New Roman"/>
          <w:i/>
          <w:iCs/>
          <w:sz w:val="24"/>
          <w:szCs w:val="24"/>
        </w:rPr>
        <w:t>Packaging Dive</w:t>
      </w:r>
      <w:r w:rsidRPr="003031E6">
        <w:rPr>
          <w:rFonts w:ascii="Times New Roman" w:hAnsi="Times New Roman" w:cs="Times New Roman"/>
          <w:sz w:val="24"/>
          <w:szCs w:val="24"/>
        </w:rPr>
        <w:t>, 4 July.</w:t>
      </w:r>
    </w:p>
    <w:p w14:paraId="546356BE"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Coombs, W.T. (2007) 'Protecting organization reputations during a crisis: The development and application of situational crisis communication theory', </w:t>
      </w:r>
      <w:r w:rsidRPr="003031E6">
        <w:rPr>
          <w:rFonts w:ascii="Times New Roman" w:hAnsi="Times New Roman" w:cs="Times New Roman"/>
          <w:i/>
          <w:iCs/>
          <w:sz w:val="24"/>
          <w:szCs w:val="24"/>
        </w:rPr>
        <w:t>Corporate Reputation Review</w:t>
      </w:r>
      <w:r w:rsidRPr="003031E6">
        <w:rPr>
          <w:rFonts w:ascii="Times New Roman" w:hAnsi="Times New Roman" w:cs="Times New Roman"/>
          <w:sz w:val="24"/>
          <w:szCs w:val="24"/>
        </w:rPr>
        <w:t>, 10(3), pp. 163–176.</w:t>
      </w:r>
    </w:p>
    <w:p w14:paraId="02039F8D"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Davenport, T., Guha, A., Grewal, D. and </w:t>
      </w:r>
      <w:proofErr w:type="spellStart"/>
      <w:r w:rsidRPr="003031E6">
        <w:rPr>
          <w:rFonts w:ascii="Times New Roman" w:hAnsi="Times New Roman" w:cs="Times New Roman"/>
          <w:sz w:val="24"/>
          <w:szCs w:val="24"/>
        </w:rPr>
        <w:t>Bressgott</w:t>
      </w:r>
      <w:proofErr w:type="spellEnd"/>
      <w:r w:rsidRPr="003031E6">
        <w:rPr>
          <w:rFonts w:ascii="Times New Roman" w:hAnsi="Times New Roman" w:cs="Times New Roman"/>
          <w:sz w:val="24"/>
          <w:szCs w:val="24"/>
        </w:rPr>
        <w:t xml:space="preserve">, T. (2020) 'How artificial intelligence will change the future of marketing', </w:t>
      </w:r>
      <w:r w:rsidRPr="003031E6">
        <w:rPr>
          <w:rFonts w:ascii="Times New Roman" w:hAnsi="Times New Roman" w:cs="Times New Roman"/>
          <w:i/>
          <w:iCs/>
          <w:sz w:val="24"/>
          <w:szCs w:val="24"/>
        </w:rPr>
        <w:t>Journal of the Academy of Marketing Science</w:t>
      </w:r>
      <w:r w:rsidRPr="003031E6">
        <w:rPr>
          <w:rFonts w:ascii="Times New Roman" w:hAnsi="Times New Roman" w:cs="Times New Roman"/>
          <w:sz w:val="24"/>
          <w:szCs w:val="24"/>
        </w:rPr>
        <w:t>, 48(1), pp. 24–42.</w:t>
      </w:r>
    </w:p>
    <w:p w14:paraId="600CA69C"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lastRenderedPageBreak/>
        <w:t xml:space="preserve">de Souza Barbosa, A., Duarte Ribeiro, J.L. and Morioka, S.N. (2023) 'Organizational transformation toward sustainability: Strategic guidelines for leading companies', </w:t>
      </w:r>
      <w:r w:rsidRPr="003031E6">
        <w:rPr>
          <w:rFonts w:ascii="Times New Roman" w:hAnsi="Times New Roman" w:cs="Times New Roman"/>
          <w:i/>
          <w:iCs/>
          <w:sz w:val="24"/>
          <w:szCs w:val="24"/>
        </w:rPr>
        <w:t>Business Strategy and the Environment</w:t>
      </w:r>
      <w:r w:rsidRPr="003031E6">
        <w:rPr>
          <w:rFonts w:ascii="Times New Roman" w:hAnsi="Times New Roman" w:cs="Times New Roman"/>
          <w:sz w:val="24"/>
          <w:szCs w:val="24"/>
        </w:rPr>
        <w:t>, 32(8), pp. 5654–5672.</w:t>
      </w:r>
    </w:p>
    <w:p w14:paraId="606085F7"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Dwivedi, Y.K., </w:t>
      </w:r>
      <w:proofErr w:type="spellStart"/>
      <w:r w:rsidRPr="003031E6">
        <w:rPr>
          <w:rFonts w:ascii="Times New Roman" w:hAnsi="Times New Roman" w:cs="Times New Roman"/>
          <w:sz w:val="24"/>
          <w:szCs w:val="24"/>
        </w:rPr>
        <w:t>Ismagilova</w:t>
      </w:r>
      <w:proofErr w:type="spellEnd"/>
      <w:r w:rsidRPr="003031E6">
        <w:rPr>
          <w:rFonts w:ascii="Times New Roman" w:hAnsi="Times New Roman" w:cs="Times New Roman"/>
          <w:sz w:val="24"/>
          <w:szCs w:val="24"/>
        </w:rPr>
        <w:t xml:space="preserve">, E., Hughes, D.L., Carlson, J., </w:t>
      </w:r>
      <w:proofErr w:type="spellStart"/>
      <w:r w:rsidRPr="003031E6">
        <w:rPr>
          <w:rFonts w:ascii="Times New Roman" w:hAnsi="Times New Roman" w:cs="Times New Roman"/>
          <w:sz w:val="24"/>
          <w:szCs w:val="24"/>
        </w:rPr>
        <w:t>Filieri</w:t>
      </w:r>
      <w:proofErr w:type="spellEnd"/>
      <w:r w:rsidRPr="003031E6">
        <w:rPr>
          <w:rFonts w:ascii="Times New Roman" w:hAnsi="Times New Roman" w:cs="Times New Roman"/>
          <w:sz w:val="24"/>
          <w:szCs w:val="24"/>
        </w:rPr>
        <w:t xml:space="preserve">, R., Jacobson, J., Jain, V., Karjaluoto, H., </w:t>
      </w:r>
      <w:proofErr w:type="spellStart"/>
      <w:r w:rsidRPr="003031E6">
        <w:rPr>
          <w:rFonts w:ascii="Times New Roman" w:hAnsi="Times New Roman" w:cs="Times New Roman"/>
          <w:sz w:val="24"/>
          <w:szCs w:val="24"/>
        </w:rPr>
        <w:t>Kefi</w:t>
      </w:r>
      <w:proofErr w:type="spellEnd"/>
      <w:r w:rsidRPr="003031E6">
        <w:rPr>
          <w:rFonts w:ascii="Times New Roman" w:hAnsi="Times New Roman" w:cs="Times New Roman"/>
          <w:sz w:val="24"/>
          <w:szCs w:val="24"/>
        </w:rPr>
        <w:t xml:space="preserve">, H., Krishen, A.S., Kumar, V., Rahman, M.M., Raman, R., </w:t>
      </w:r>
      <w:proofErr w:type="spellStart"/>
      <w:r w:rsidRPr="003031E6">
        <w:rPr>
          <w:rFonts w:ascii="Times New Roman" w:hAnsi="Times New Roman" w:cs="Times New Roman"/>
          <w:sz w:val="24"/>
          <w:szCs w:val="24"/>
        </w:rPr>
        <w:t>Rauschnabel</w:t>
      </w:r>
      <w:proofErr w:type="spellEnd"/>
      <w:r w:rsidRPr="003031E6">
        <w:rPr>
          <w:rFonts w:ascii="Times New Roman" w:hAnsi="Times New Roman" w:cs="Times New Roman"/>
          <w:sz w:val="24"/>
          <w:szCs w:val="24"/>
        </w:rPr>
        <w:t xml:space="preserve">, P.A., Rowley, J., Salo, J., Tran, G.A. and Wang, Y. (2021) 'Setting the future of digital and social media marketing research: Perspectives and research propositions', </w:t>
      </w:r>
      <w:r w:rsidRPr="003031E6">
        <w:rPr>
          <w:rFonts w:ascii="Times New Roman" w:hAnsi="Times New Roman" w:cs="Times New Roman"/>
          <w:i/>
          <w:iCs/>
          <w:sz w:val="24"/>
          <w:szCs w:val="24"/>
        </w:rPr>
        <w:t>International Journal of Information Management</w:t>
      </w:r>
      <w:r w:rsidRPr="003031E6">
        <w:rPr>
          <w:rFonts w:ascii="Times New Roman" w:hAnsi="Times New Roman" w:cs="Times New Roman"/>
          <w:sz w:val="24"/>
          <w:szCs w:val="24"/>
        </w:rPr>
        <w:t>, 59, Article 102168.</w:t>
      </w:r>
    </w:p>
    <w:p w14:paraId="720036A9"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Earth Island Institute (2024) </w:t>
      </w:r>
      <w:r w:rsidRPr="003031E6">
        <w:rPr>
          <w:rFonts w:ascii="Times New Roman" w:hAnsi="Times New Roman" w:cs="Times New Roman"/>
          <w:i/>
          <w:iCs/>
          <w:sz w:val="24"/>
          <w:szCs w:val="24"/>
        </w:rPr>
        <w:t>Coca-Cola must face greenwashing lawsuit in D.C.</w:t>
      </w:r>
      <w:r w:rsidRPr="003031E6">
        <w:rPr>
          <w:rFonts w:ascii="Times New Roman" w:hAnsi="Times New Roman" w:cs="Times New Roman"/>
          <w:sz w:val="24"/>
          <w:szCs w:val="24"/>
        </w:rPr>
        <w:t xml:space="preserve">, 4 September. Available at: </w:t>
      </w:r>
      <w:hyperlink r:id="rId10" w:history="1">
        <w:r w:rsidRPr="003031E6">
          <w:rPr>
            <w:rStyle w:val="Hyperlink"/>
            <w:rFonts w:ascii="Times New Roman" w:hAnsi="Times New Roman" w:cs="Times New Roman"/>
            <w:sz w:val="24"/>
            <w:szCs w:val="24"/>
          </w:rPr>
          <w:t>https://www.earthisland.org/advocates/suit/coca-cola-plastic</w:t>
        </w:r>
      </w:hyperlink>
      <w:r w:rsidRPr="003031E6">
        <w:rPr>
          <w:rFonts w:ascii="Times New Roman" w:hAnsi="Times New Roman" w:cs="Times New Roman"/>
          <w:sz w:val="24"/>
          <w:szCs w:val="24"/>
        </w:rPr>
        <w:t xml:space="preserve"> (Accessed: 5 January 2026).</w:t>
      </w:r>
    </w:p>
    <w:p w14:paraId="0D3DDABF"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Eriksson, T., Nummela, N. and Jonsson, S. (2021) 'The marketing-led organization is dead. Long live the marketing-led organization!', </w:t>
      </w:r>
      <w:r w:rsidRPr="003031E6">
        <w:rPr>
          <w:rFonts w:ascii="Times New Roman" w:hAnsi="Times New Roman" w:cs="Times New Roman"/>
          <w:i/>
          <w:iCs/>
          <w:sz w:val="24"/>
          <w:szCs w:val="24"/>
        </w:rPr>
        <w:t>European Journal of Marketing</w:t>
      </w:r>
      <w:r w:rsidRPr="003031E6">
        <w:rPr>
          <w:rFonts w:ascii="Times New Roman" w:hAnsi="Times New Roman" w:cs="Times New Roman"/>
          <w:sz w:val="24"/>
          <w:szCs w:val="24"/>
        </w:rPr>
        <w:t>, 55(13), pp. 1–22.</w:t>
      </w:r>
    </w:p>
    <w:p w14:paraId="18FD93DA"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ESG Dive (2024) </w:t>
      </w:r>
      <w:r w:rsidRPr="003031E6">
        <w:rPr>
          <w:rFonts w:ascii="Times New Roman" w:hAnsi="Times New Roman" w:cs="Times New Roman"/>
          <w:i/>
          <w:iCs/>
          <w:sz w:val="24"/>
          <w:szCs w:val="24"/>
        </w:rPr>
        <w:t>Coca-Cola to face greenwashing lawsuit</w:t>
      </w:r>
      <w:r w:rsidRPr="003031E6">
        <w:rPr>
          <w:rFonts w:ascii="Times New Roman" w:hAnsi="Times New Roman" w:cs="Times New Roman"/>
          <w:sz w:val="24"/>
          <w:szCs w:val="24"/>
        </w:rPr>
        <w:t xml:space="preserve">, 5 September. Available at: </w:t>
      </w:r>
      <w:hyperlink r:id="rId11" w:history="1">
        <w:r w:rsidRPr="003031E6">
          <w:rPr>
            <w:rStyle w:val="Hyperlink"/>
            <w:rFonts w:ascii="Times New Roman" w:hAnsi="Times New Roman" w:cs="Times New Roman"/>
            <w:sz w:val="24"/>
            <w:szCs w:val="24"/>
          </w:rPr>
          <w:t>https://www.esgdive.com/news/coca-cola-greenwashing-lawsuit-plastic-pollution/725931/</w:t>
        </w:r>
      </w:hyperlink>
      <w:r w:rsidRPr="003031E6">
        <w:rPr>
          <w:rFonts w:ascii="Times New Roman" w:hAnsi="Times New Roman" w:cs="Times New Roman"/>
          <w:sz w:val="24"/>
          <w:szCs w:val="24"/>
        </w:rPr>
        <w:t xml:space="preserve"> (Accessed: 5 January 2026).</w:t>
      </w:r>
    </w:p>
    <w:p w14:paraId="531DCA17"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Feber, D., </w:t>
      </w:r>
      <w:proofErr w:type="spellStart"/>
      <w:r w:rsidRPr="003031E6">
        <w:rPr>
          <w:rFonts w:ascii="Times New Roman" w:hAnsi="Times New Roman" w:cs="Times New Roman"/>
          <w:sz w:val="24"/>
          <w:szCs w:val="24"/>
        </w:rPr>
        <w:t>Granskog</w:t>
      </w:r>
      <w:proofErr w:type="spellEnd"/>
      <w:r w:rsidRPr="003031E6">
        <w:rPr>
          <w:rFonts w:ascii="Times New Roman" w:hAnsi="Times New Roman" w:cs="Times New Roman"/>
          <w:sz w:val="24"/>
          <w:szCs w:val="24"/>
        </w:rPr>
        <w:t xml:space="preserve">, A., </w:t>
      </w:r>
      <w:proofErr w:type="spellStart"/>
      <w:r w:rsidRPr="003031E6">
        <w:rPr>
          <w:rFonts w:ascii="Times New Roman" w:hAnsi="Times New Roman" w:cs="Times New Roman"/>
          <w:sz w:val="24"/>
          <w:szCs w:val="24"/>
        </w:rPr>
        <w:t>Lingqvist</w:t>
      </w:r>
      <w:proofErr w:type="spellEnd"/>
      <w:r w:rsidRPr="003031E6">
        <w:rPr>
          <w:rFonts w:ascii="Times New Roman" w:hAnsi="Times New Roman" w:cs="Times New Roman"/>
          <w:sz w:val="24"/>
          <w:szCs w:val="24"/>
        </w:rPr>
        <w:t xml:space="preserve">, O., </w:t>
      </w:r>
      <w:proofErr w:type="spellStart"/>
      <w:r w:rsidRPr="003031E6">
        <w:rPr>
          <w:rFonts w:ascii="Times New Roman" w:hAnsi="Times New Roman" w:cs="Times New Roman"/>
          <w:sz w:val="24"/>
          <w:szCs w:val="24"/>
        </w:rPr>
        <w:t>Nordigården</w:t>
      </w:r>
      <w:proofErr w:type="spellEnd"/>
      <w:r w:rsidRPr="003031E6">
        <w:rPr>
          <w:rFonts w:ascii="Times New Roman" w:hAnsi="Times New Roman" w:cs="Times New Roman"/>
          <w:sz w:val="24"/>
          <w:szCs w:val="24"/>
        </w:rPr>
        <w:t xml:space="preserve">, D., Rosén, J., Wallach, J. and Witte, C. (2025) </w:t>
      </w:r>
      <w:r w:rsidRPr="003031E6">
        <w:rPr>
          <w:rFonts w:ascii="Times New Roman" w:hAnsi="Times New Roman" w:cs="Times New Roman"/>
          <w:i/>
          <w:iCs/>
          <w:sz w:val="24"/>
          <w:szCs w:val="24"/>
        </w:rPr>
        <w:t xml:space="preserve">Do US consumers care about sustainable packaging in </w:t>
      </w:r>
      <w:proofErr w:type="gramStart"/>
      <w:r w:rsidRPr="003031E6">
        <w:rPr>
          <w:rFonts w:ascii="Times New Roman" w:hAnsi="Times New Roman" w:cs="Times New Roman"/>
          <w:i/>
          <w:iCs/>
          <w:sz w:val="24"/>
          <w:szCs w:val="24"/>
        </w:rPr>
        <w:t>2025?</w:t>
      </w:r>
      <w:r w:rsidRPr="003031E6">
        <w:rPr>
          <w:rFonts w:ascii="Times New Roman" w:hAnsi="Times New Roman" w:cs="Times New Roman"/>
          <w:sz w:val="24"/>
          <w:szCs w:val="24"/>
        </w:rPr>
        <w:t>,</w:t>
      </w:r>
      <w:proofErr w:type="gramEnd"/>
      <w:r w:rsidRPr="003031E6">
        <w:rPr>
          <w:rFonts w:ascii="Times New Roman" w:hAnsi="Times New Roman" w:cs="Times New Roman"/>
          <w:sz w:val="24"/>
          <w:szCs w:val="24"/>
        </w:rPr>
        <w:t xml:space="preserve"> McKinsey &amp; Company, 4 June.</w:t>
      </w:r>
    </w:p>
    <w:p w14:paraId="38DEC187"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Feber, D. and </w:t>
      </w:r>
      <w:proofErr w:type="spellStart"/>
      <w:r w:rsidRPr="003031E6">
        <w:rPr>
          <w:rFonts w:ascii="Times New Roman" w:hAnsi="Times New Roman" w:cs="Times New Roman"/>
          <w:sz w:val="24"/>
          <w:szCs w:val="24"/>
        </w:rPr>
        <w:t>Nordigården</w:t>
      </w:r>
      <w:proofErr w:type="spellEnd"/>
      <w:r w:rsidRPr="003031E6">
        <w:rPr>
          <w:rFonts w:ascii="Times New Roman" w:hAnsi="Times New Roman" w:cs="Times New Roman"/>
          <w:sz w:val="24"/>
          <w:szCs w:val="24"/>
        </w:rPr>
        <w:t xml:space="preserve">, D. (2021) </w:t>
      </w:r>
      <w:r w:rsidRPr="003031E6">
        <w:rPr>
          <w:rFonts w:ascii="Times New Roman" w:hAnsi="Times New Roman" w:cs="Times New Roman"/>
          <w:i/>
          <w:iCs/>
          <w:sz w:val="24"/>
          <w:szCs w:val="24"/>
        </w:rPr>
        <w:t>Sustainability sells: Why consumers and companies should think regionally</w:t>
      </w:r>
      <w:r w:rsidRPr="003031E6">
        <w:rPr>
          <w:rFonts w:ascii="Times New Roman" w:hAnsi="Times New Roman" w:cs="Times New Roman"/>
          <w:sz w:val="24"/>
          <w:szCs w:val="24"/>
        </w:rPr>
        <w:t>, McKinsey &amp; Company, 21 December.</w:t>
      </w:r>
    </w:p>
    <w:p w14:paraId="54B32478" w14:textId="77777777" w:rsidR="00BA36C0" w:rsidRPr="003031E6" w:rsidRDefault="00BA36C0" w:rsidP="003031E6">
      <w:pPr>
        <w:spacing w:after="0" w:line="480" w:lineRule="auto"/>
        <w:ind w:left="720" w:hanging="720"/>
        <w:rPr>
          <w:rFonts w:ascii="Times New Roman" w:hAnsi="Times New Roman" w:cs="Times New Roman"/>
          <w:sz w:val="24"/>
          <w:szCs w:val="24"/>
        </w:rPr>
      </w:pPr>
      <w:proofErr w:type="spellStart"/>
      <w:r w:rsidRPr="003031E6">
        <w:rPr>
          <w:rFonts w:ascii="Times New Roman" w:hAnsi="Times New Roman" w:cs="Times New Roman"/>
          <w:sz w:val="24"/>
          <w:szCs w:val="24"/>
        </w:rPr>
        <w:lastRenderedPageBreak/>
        <w:t>Frishammar</w:t>
      </w:r>
      <w:proofErr w:type="spellEnd"/>
      <w:r w:rsidRPr="003031E6">
        <w:rPr>
          <w:rFonts w:ascii="Times New Roman" w:hAnsi="Times New Roman" w:cs="Times New Roman"/>
          <w:sz w:val="24"/>
          <w:szCs w:val="24"/>
        </w:rPr>
        <w:t xml:space="preserve">, J., Parida, V., Panda, D. and Kaipainen, J. (2025) 'On the right path to circularity or running around in circles? A fresh perspective on circular business model barriers', </w:t>
      </w:r>
      <w:r w:rsidRPr="003031E6">
        <w:rPr>
          <w:rFonts w:ascii="Times New Roman" w:hAnsi="Times New Roman" w:cs="Times New Roman"/>
          <w:i/>
          <w:iCs/>
          <w:sz w:val="24"/>
          <w:szCs w:val="24"/>
        </w:rPr>
        <w:t>Business Strategy and the Environment</w:t>
      </w:r>
      <w:r w:rsidRPr="003031E6">
        <w:rPr>
          <w:rFonts w:ascii="Times New Roman" w:hAnsi="Times New Roman" w:cs="Times New Roman"/>
          <w:sz w:val="24"/>
          <w:szCs w:val="24"/>
        </w:rPr>
        <w:t>, 34(4), pp. 4958–4979.</w:t>
      </w:r>
    </w:p>
    <w:p w14:paraId="778AF3EB"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Fürst, A., Leimbach, M. and Prigge, J. (2023) 'Marketing dispersion and structuration: How distinct marketing organizational designs impact firm performance', </w:t>
      </w:r>
      <w:r w:rsidRPr="003031E6">
        <w:rPr>
          <w:rFonts w:ascii="Times New Roman" w:hAnsi="Times New Roman" w:cs="Times New Roman"/>
          <w:i/>
          <w:iCs/>
          <w:sz w:val="24"/>
          <w:szCs w:val="24"/>
        </w:rPr>
        <w:t>Journal of Business Research</w:t>
      </w:r>
      <w:r w:rsidRPr="003031E6">
        <w:rPr>
          <w:rFonts w:ascii="Times New Roman" w:hAnsi="Times New Roman" w:cs="Times New Roman"/>
          <w:sz w:val="24"/>
          <w:szCs w:val="24"/>
        </w:rPr>
        <w:t>, 155, Article 113424.</w:t>
      </w:r>
    </w:p>
    <w:p w14:paraId="28BC86E4" w14:textId="77777777" w:rsidR="00BA36C0" w:rsidRPr="003031E6" w:rsidRDefault="00BA36C0" w:rsidP="003031E6">
      <w:pPr>
        <w:spacing w:after="0" w:line="480" w:lineRule="auto"/>
        <w:ind w:left="720" w:hanging="720"/>
        <w:rPr>
          <w:rFonts w:ascii="Times New Roman" w:hAnsi="Times New Roman" w:cs="Times New Roman"/>
          <w:sz w:val="24"/>
          <w:szCs w:val="24"/>
        </w:rPr>
      </w:pPr>
      <w:proofErr w:type="spellStart"/>
      <w:r w:rsidRPr="003031E6">
        <w:rPr>
          <w:rFonts w:ascii="Times New Roman" w:hAnsi="Times New Roman" w:cs="Times New Roman"/>
          <w:sz w:val="24"/>
          <w:szCs w:val="24"/>
        </w:rPr>
        <w:t>Greyser</w:t>
      </w:r>
      <w:proofErr w:type="spellEnd"/>
      <w:r w:rsidRPr="003031E6">
        <w:rPr>
          <w:rFonts w:ascii="Times New Roman" w:hAnsi="Times New Roman" w:cs="Times New Roman"/>
          <w:sz w:val="24"/>
          <w:szCs w:val="24"/>
        </w:rPr>
        <w:t xml:space="preserve">, S.A. (2009) 'Corporate brand reputation and brand crisis management', </w:t>
      </w:r>
      <w:r w:rsidRPr="003031E6">
        <w:rPr>
          <w:rFonts w:ascii="Times New Roman" w:hAnsi="Times New Roman" w:cs="Times New Roman"/>
          <w:i/>
          <w:iCs/>
          <w:sz w:val="24"/>
          <w:szCs w:val="24"/>
        </w:rPr>
        <w:t>Management Decision</w:t>
      </w:r>
      <w:r w:rsidRPr="003031E6">
        <w:rPr>
          <w:rFonts w:ascii="Times New Roman" w:hAnsi="Times New Roman" w:cs="Times New Roman"/>
          <w:sz w:val="24"/>
          <w:szCs w:val="24"/>
        </w:rPr>
        <w:t>, 47(4), pp. 590–602.</w:t>
      </w:r>
    </w:p>
    <w:p w14:paraId="638FB0DE"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Guevara, C.P.R. and Dib, V.C. (2022) 'Sustainability-oriented marketing: A systematic literature review', </w:t>
      </w:r>
      <w:r w:rsidRPr="003031E6">
        <w:rPr>
          <w:rFonts w:ascii="Times New Roman" w:hAnsi="Times New Roman" w:cs="Times New Roman"/>
          <w:i/>
          <w:iCs/>
          <w:sz w:val="24"/>
          <w:szCs w:val="24"/>
        </w:rPr>
        <w:t>Sustainability</w:t>
      </w:r>
      <w:r w:rsidRPr="003031E6">
        <w:rPr>
          <w:rFonts w:ascii="Times New Roman" w:hAnsi="Times New Roman" w:cs="Times New Roman"/>
          <w:sz w:val="24"/>
          <w:szCs w:val="24"/>
        </w:rPr>
        <w:t>, 14(20), 13056.</w:t>
      </w:r>
    </w:p>
    <w:p w14:paraId="1A811EE6"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Gupta, P., Srivastava, R., Jain, S. and Jain, S.P. (2024) 'The ethics of unhealthy food and beverage marketing', </w:t>
      </w:r>
      <w:r w:rsidRPr="003031E6">
        <w:rPr>
          <w:rFonts w:ascii="Times New Roman" w:hAnsi="Times New Roman" w:cs="Times New Roman"/>
          <w:i/>
          <w:iCs/>
          <w:sz w:val="24"/>
          <w:szCs w:val="24"/>
        </w:rPr>
        <w:t>Journal of Business Ethics</w:t>
      </w:r>
      <w:r w:rsidRPr="003031E6">
        <w:rPr>
          <w:rFonts w:ascii="Times New Roman" w:hAnsi="Times New Roman" w:cs="Times New Roman"/>
          <w:sz w:val="24"/>
          <w:szCs w:val="24"/>
        </w:rPr>
        <w:t>, 189, pp. 561–577.</w:t>
      </w:r>
    </w:p>
    <w:p w14:paraId="668B26C2"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Hennig-Thurau, T., Gwinner, K.P., Walsh, G. and Gremler, D.D. (2004) 'Electronic word-of-mouth via consumer-opinion platforms: What motivates consumers to articulate themselves on the Internet?', </w:t>
      </w:r>
      <w:r w:rsidRPr="003031E6">
        <w:rPr>
          <w:rFonts w:ascii="Times New Roman" w:hAnsi="Times New Roman" w:cs="Times New Roman"/>
          <w:i/>
          <w:iCs/>
          <w:sz w:val="24"/>
          <w:szCs w:val="24"/>
        </w:rPr>
        <w:t>Journal of Interactive Marketing</w:t>
      </w:r>
      <w:r w:rsidRPr="003031E6">
        <w:rPr>
          <w:rFonts w:ascii="Times New Roman" w:hAnsi="Times New Roman" w:cs="Times New Roman"/>
          <w:sz w:val="24"/>
          <w:szCs w:val="24"/>
        </w:rPr>
        <w:t>, 18(1), pp. 38–52.</w:t>
      </w:r>
    </w:p>
    <w:p w14:paraId="035ACC14"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Hu, W., Sun, J., Lin, Y.-E. and Hu, J. (2023) 'ESG and investment efficiency: The role of marketing capability', </w:t>
      </w:r>
      <w:r w:rsidRPr="003031E6">
        <w:rPr>
          <w:rFonts w:ascii="Times New Roman" w:hAnsi="Times New Roman" w:cs="Times New Roman"/>
          <w:i/>
          <w:iCs/>
          <w:sz w:val="24"/>
          <w:szCs w:val="24"/>
        </w:rPr>
        <w:t>Sustainability</w:t>
      </w:r>
      <w:r w:rsidRPr="003031E6">
        <w:rPr>
          <w:rFonts w:ascii="Times New Roman" w:hAnsi="Times New Roman" w:cs="Times New Roman"/>
          <w:sz w:val="24"/>
          <w:szCs w:val="24"/>
        </w:rPr>
        <w:t>, 15(24), 16676.</w:t>
      </w:r>
    </w:p>
    <w:p w14:paraId="4D53C872" w14:textId="77777777" w:rsidR="00BA36C0" w:rsidRPr="003031E6" w:rsidRDefault="00BA36C0" w:rsidP="003031E6">
      <w:pPr>
        <w:spacing w:after="0" w:line="480" w:lineRule="auto"/>
        <w:ind w:left="720" w:hanging="720"/>
        <w:rPr>
          <w:rFonts w:ascii="Times New Roman" w:hAnsi="Times New Roman" w:cs="Times New Roman"/>
          <w:sz w:val="24"/>
          <w:szCs w:val="24"/>
        </w:rPr>
      </w:pPr>
      <w:proofErr w:type="spellStart"/>
      <w:r w:rsidRPr="003031E6">
        <w:rPr>
          <w:rFonts w:ascii="Times New Roman" w:hAnsi="Times New Roman" w:cs="Times New Roman"/>
          <w:sz w:val="24"/>
          <w:szCs w:val="24"/>
        </w:rPr>
        <w:t>InsightAce</w:t>
      </w:r>
      <w:proofErr w:type="spellEnd"/>
      <w:r w:rsidRPr="003031E6">
        <w:rPr>
          <w:rFonts w:ascii="Times New Roman" w:hAnsi="Times New Roman" w:cs="Times New Roman"/>
          <w:sz w:val="24"/>
          <w:szCs w:val="24"/>
        </w:rPr>
        <w:t xml:space="preserve"> Analytic (2025) </w:t>
      </w:r>
      <w:r w:rsidRPr="003031E6">
        <w:rPr>
          <w:rFonts w:ascii="Times New Roman" w:hAnsi="Times New Roman" w:cs="Times New Roman"/>
          <w:i/>
          <w:iCs/>
          <w:sz w:val="24"/>
          <w:szCs w:val="24"/>
        </w:rPr>
        <w:t>Circular economy in the beverage industry market forecast 2025-2034</w:t>
      </w:r>
      <w:r w:rsidRPr="003031E6">
        <w:rPr>
          <w:rFonts w:ascii="Times New Roman" w:hAnsi="Times New Roman" w:cs="Times New Roman"/>
          <w:sz w:val="24"/>
          <w:szCs w:val="24"/>
        </w:rPr>
        <w:t xml:space="preserve"> (Report No. 2978).</w:t>
      </w:r>
    </w:p>
    <w:p w14:paraId="223DAB90"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Institute of Sustainability Studies (2024) </w:t>
      </w:r>
      <w:r w:rsidRPr="003031E6">
        <w:rPr>
          <w:rFonts w:ascii="Times New Roman" w:hAnsi="Times New Roman" w:cs="Times New Roman"/>
          <w:i/>
          <w:iCs/>
          <w:sz w:val="24"/>
          <w:szCs w:val="24"/>
        </w:rPr>
        <w:t>Best practices in sustainability marketing</w:t>
      </w:r>
      <w:r w:rsidRPr="003031E6">
        <w:rPr>
          <w:rFonts w:ascii="Times New Roman" w:hAnsi="Times New Roman" w:cs="Times New Roman"/>
          <w:sz w:val="24"/>
          <w:szCs w:val="24"/>
        </w:rPr>
        <w:t xml:space="preserve">. Available at: </w:t>
      </w:r>
      <w:hyperlink r:id="rId12" w:history="1">
        <w:r w:rsidRPr="003031E6">
          <w:rPr>
            <w:rStyle w:val="Hyperlink"/>
            <w:rFonts w:ascii="Times New Roman" w:hAnsi="Times New Roman" w:cs="Times New Roman"/>
            <w:sz w:val="24"/>
            <w:szCs w:val="24"/>
          </w:rPr>
          <w:t>https://www.sustainabilityinstitute.org/best-practices</w:t>
        </w:r>
      </w:hyperlink>
      <w:r w:rsidRPr="003031E6">
        <w:rPr>
          <w:rFonts w:ascii="Times New Roman" w:hAnsi="Times New Roman" w:cs="Times New Roman"/>
          <w:sz w:val="24"/>
          <w:szCs w:val="24"/>
        </w:rPr>
        <w:t xml:space="preserve"> (Accessed: 5 January 2026).</w:t>
      </w:r>
    </w:p>
    <w:p w14:paraId="32EB673D"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Ioannou, I. and Serafeim, G. (2019) 'Corporate sustainability: A strategy?', </w:t>
      </w:r>
      <w:r w:rsidRPr="003031E6">
        <w:rPr>
          <w:rFonts w:ascii="Times New Roman" w:hAnsi="Times New Roman" w:cs="Times New Roman"/>
          <w:i/>
          <w:iCs/>
          <w:sz w:val="24"/>
          <w:szCs w:val="24"/>
        </w:rPr>
        <w:t>Harvard Business School Working Paper</w:t>
      </w:r>
      <w:r w:rsidRPr="003031E6">
        <w:rPr>
          <w:rFonts w:ascii="Times New Roman" w:hAnsi="Times New Roman" w:cs="Times New Roman"/>
          <w:sz w:val="24"/>
          <w:szCs w:val="24"/>
        </w:rPr>
        <w:t>, 19-065.</w:t>
      </w:r>
    </w:p>
    <w:p w14:paraId="0BE46448"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lastRenderedPageBreak/>
        <w:t xml:space="preserve">Kalyanam, A.K. (2024) 'ESG: Environmental, Social, and Governance-A Comprehensive Guide to ESG and its Role in Sustainability', </w:t>
      </w:r>
      <w:r w:rsidRPr="003031E6">
        <w:rPr>
          <w:rFonts w:ascii="Times New Roman" w:hAnsi="Times New Roman" w:cs="Times New Roman"/>
          <w:i/>
          <w:iCs/>
          <w:sz w:val="24"/>
          <w:szCs w:val="24"/>
        </w:rPr>
        <w:t>International Journal of Innovative Research and Creative Technology</w:t>
      </w:r>
      <w:r w:rsidRPr="003031E6">
        <w:rPr>
          <w:rFonts w:ascii="Times New Roman" w:hAnsi="Times New Roman" w:cs="Times New Roman"/>
          <w:sz w:val="24"/>
          <w:szCs w:val="24"/>
        </w:rPr>
        <w:t>, 10(4), pp. 1–12.</w:t>
      </w:r>
    </w:p>
    <w:p w14:paraId="53E7DED2" w14:textId="77777777" w:rsidR="00BA36C0" w:rsidRPr="003031E6" w:rsidRDefault="00BA36C0" w:rsidP="003031E6">
      <w:pPr>
        <w:spacing w:after="0" w:line="480" w:lineRule="auto"/>
        <w:ind w:left="720" w:hanging="720"/>
        <w:rPr>
          <w:rFonts w:ascii="Times New Roman" w:hAnsi="Times New Roman" w:cs="Times New Roman"/>
          <w:sz w:val="24"/>
          <w:szCs w:val="24"/>
        </w:rPr>
      </w:pPr>
      <w:proofErr w:type="spellStart"/>
      <w:r w:rsidRPr="003031E6">
        <w:rPr>
          <w:rFonts w:ascii="Times New Roman" w:hAnsi="Times New Roman" w:cs="Times New Roman"/>
          <w:sz w:val="24"/>
          <w:szCs w:val="24"/>
        </w:rPr>
        <w:t>Kamkankaew</w:t>
      </w:r>
      <w:proofErr w:type="spellEnd"/>
      <w:r w:rsidRPr="003031E6">
        <w:rPr>
          <w:rFonts w:ascii="Times New Roman" w:hAnsi="Times New Roman" w:cs="Times New Roman"/>
          <w:sz w:val="24"/>
          <w:szCs w:val="24"/>
        </w:rPr>
        <w:t xml:space="preserve">, P., </w:t>
      </w:r>
      <w:proofErr w:type="spellStart"/>
      <w:r w:rsidRPr="003031E6">
        <w:rPr>
          <w:rFonts w:ascii="Times New Roman" w:hAnsi="Times New Roman" w:cs="Times New Roman"/>
          <w:sz w:val="24"/>
          <w:szCs w:val="24"/>
        </w:rPr>
        <w:t>Thanitbenjasith</w:t>
      </w:r>
      <w:proofErr w:type="spellEnd"/>
      <w:r w:rsidRPr="003031E6">
        <w:rPr>
          <w:rFonts w:ascii="Times New Roman" w:hAnsi="Times New Roman" w:cs="Times New Roman"/>
          <w:sz w:val="24"/>
          <w:szCs w:val="24"/>
        </w:rPr>
        <w:t xml:space="preserve">, P., </w:t>
      </w:r>
      <w:proofErr w:type="spellStart"/>
      <w:r w:rsidRPr="003031E6">
        <w:rPr>
          <w:rFonts w:ascii="Times New Roman" w:hAnsi="Times New Roman" w:cs="Times New Roman"/>
          <w:sz w:val="24"/>
          <w:szCs w:val="24"/>
        </w:rPr>
        <w:t>Sribenjachot</w:t>
      </w:r>
      <w:proofErr w:type="spellEnd"/>
      <w:r w:rsidRPr="003031E6">
        <w:rPr>
          <w:rFonts w:ascii="Times New Roman" w:hAnsi="Times New Roman" w:cs="Times New Roman"/>
          <w:sz w:val="24"/>
          <w:szCs w:val="24"/>
        </w:rPr>
        <w:t xml:space="preserve">, S., </w:t>
      </w:r>
      <w:proofErr w:type="spellStart"/>
      <w:r w:rsidRPr="003031E6">
        <w:rPr>
          <w:rFonts w:ascii="Times New Roman" w:hAnsi="Times New Roman" w:cs="Times New Roman"/>
          <w:sz w:val="24"/>
          <w:szCs w:val="24"/>
        </w:rPr>
        <w:t>Phattarowas</w:t>
      </w:r>
      <w:proofErr w:type="spellEnd"/>
      <w:r w:rsidRPr="003031E6">
        <w:rPr>
          <w:rFonts w:ascii="Times New Roman" w:hAnsi="Times New Roman" w:cs="Times New Roman"/>
          <w:sz w:val="24"/>
          <w:szCs w:val="24"/>
        </w:rPr>
        <w:t xml:space="preserve">, V., Thanin, P. and </w:t>
      </w:r>
      <w:proofErr w:type="spellStart"/>
      <w:r w:rsidRPr="003031E6">
        <w:rPr>
          <w:rFonts w:ascii="Times New Roman" w:hAnsi="Times New Roman" w:cs="Times New Roman"/>
          <w:sz w:val="24"/>
          <w:szCs w:val="24"/>
        </w:rPr>
        <w:t>Khumwongpin</w:t>
      </w:r>
      <w:proofErr w:type="spellEnd"/>
      <w:r w:rsidRPr="003031E6">
        <w:rPr>
          <w:rFonts w:ascii="Times New Roman" w:hAnsi="Times New Roman" w:cs="Times New Roman"/>
          <w:sz w:val="24"/>
          <w:szCs w:val="24"/>
        </w:rPr>
        <w:t xml:space="preserve">, S. (2025) 'The future of digital marketing: What lies ahead?', </w:t>
      </w:r>
      <w:r w:rsidRPr="003031E6">
        <w:rPr>
          <w:rFonts w:ascii="Times New Roman" w:hAnsi="Times New Roman" w:cs="Times New Roman"/>
          <w:i/>
          <w:iCs/>
          <w:sz w:val="24"/>
          <w:szCs w:val="24"/>
        </w:rPr>
        <w:t>International Journal of Sociologies and Anthropologies Science Reviews</w:t>
      </w:r>
      <w:r w:rsidRPr="003031E6">
        <w:rPr>
          <w:rFonts w:ascii="Times New Roman" w:hAnsi="Times New Roman" w:cs="Times New Roman"/>
          <w:sz w:val="24"/>
          <w:szCs w:val="24"/>
        </w:rPr>
        <w:t>, 5(2), pp. 1–28.</w:t>
      </w:r>
    </w:p>
    <w:p w14:paraId="015BEEC4"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Kaplow, S. (2024) 'Greenwashing? Court Says Coca-Cola's Aspirational Statements May Mislead Consumers', </w:t>
      </w:r>
      <w:r w:rsidRPr="003031E6">
        <w:rPr>
          <w:rFonts w:ascii="Times New Roman" w:hAnsi="Times New Roman" w:cs="Times New Roman"/>
          <w:i/>
          <w:iCs/>
          <w:sz w:val="24"/>
          <w:szCs w:val="24"/>
        </w:rPr>
        <w:t>Green Building Law Update</w:t>
      </w:r>
      <w:r w:rsidRPr="003031E6">
        <w:rPr>
          <w:rFonts w:ascii="Times New Roman" w:hAnsi="Times New Roman" w:cs="Times New Roman"/>
          <w:sz w:val="24"/>
          <w:szCs w:val="24"/>
        </w:rPr>
        <w:t>, 13 October.</w:t>
      </w:r>
    </w:p>
    <w:p w14:paraId="3EE38BD4"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Keller, K.L. (2003) 'Brand synthesis: The multidimensionality of brand knowledge', </w:t>
      </w:r>
      <w:r w:rsidRPr="003031E6">
        <w:rPr>
          <w:rFonts w:ascii="Times New Roman" w:hAnsi="Times New Roman" w:cs="Times New Roman"/>
          <w:i/>
          <w:iCs/>
          <w:sz w:val="24"/>
          <w:szCs w:val="24"/>
        </w:rPr>
        <w:t>Journal of Consumer Research</w:t>
      </w:r>
      <w:r w:rsidRPr="003031E6">
        <w:rPr>
          <w:rFonts w:ascii="Times New Roman" w:hAnsi="Times New Roman" w:cs="Times New Roman"/>
          <w:sz w:val="24"/>
          <w:szCs w:val="24"/>
        </w:rPr>
        <w:t>, 29(4), pp. 595–600.</w:t>
      </w:r>
    </w:p>
    <w:p w14:paraId="3A780774"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Kumar, V., Shah, D. and Venkatesan, R. (2021) 'Creating value through marketing', in Kumar, V. and Shah, D. (eds.) </w:t>
      </w:r>
      <w:r w:rsidRPr="003031E6">
        <w:rPr>
          <w:rFonts w:ascii="Times New Roman" w:hAnsi="Times New Roman" w:cs="Times New Roman"/>
          <w:i/>
          <w:iCs/>
          <w:sz w:val="24"/>
          <w:szCs w:val="24"/>
        </w:rPr>
        <w:t>Building a Customer Value-Based Strategy for the Firm</w:t>
      </w:r>
      <w:r w:rsidRPr="003031E6">
        <w:rPr>
          <w:rFonts w:ascii="Times New Roman" w:hAnsi="Times New Roman" w:cs="Times New Roman"/>
          <w:sz w:val="24"/>
          <w:szCs w:val="24"/>
        </w:rPr>
        <w:t>. London: Sage Publications, pp. 1–26.</w:t>
      </w:r>
    </w:p>
    <w:p w14:paraId="29C2BE5D"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Lamberton, C. and Stephen, A.T. (2016) 'A thematic exploration of digital, social media, and mobile marketing: Research evolution from 2000 to 2015 and an agenda for future inquiry', </w:t>
      </w:r>
      <w:r w:rsidRPr="003031E6">
        <w:rPr>
          <w:rFonts w:ascii="Times New Roman" w:hAnsi="Times New Roman" w:cs="Times New Roman"/>
          <w:i/>
          <w:iCs/>
          <w:sz w:val="24"/>
          <w:szCs w:val="24"/>
        </w:rPr>
        <w:t>Journal of Marketing</w:t>
      </w:r>
      <w:r w:rsidRPr="003031E6">
        <w:rPr>
          <w:rFonts w:ascii="Times New Roman" w:hAnsi="Times New Roman" w:cs="Times New Roman"/>
          <w:sz w:val="24"/>
          <w:szCs w:val="24"/>
        </w:rPr>
        <w:t>, 80(6), pp. 146–172.</w:t>
      </w:r>
    </w:p>
    <w:p w14:paraId="2F0DCBBB"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Laville, S. (2022) 'Coca-Cola among brands greenwashing over packaging, report says', </w:t>
      </w:r>
      <w:r w:rsidRPr="003031E6">
        <w:rPr>
          <w:rFonts w:ascii="Times New Roman" w:hAnsi="Times New Roman" w:cs="Times New Roman"/>
          <w:i/>
          <w:iCs/>
          <w:sz w:val="24"/>
          <w:szCs w:val="24"/>
        </w:rPr>
        <w:t>The Guardian</w:t>
      </w:r>
      <w:r w:rsidRPr="003031E6">
        <w:rPr>
          <w:rFonts w:ascii="Times New Roman" w:hAnsi="Times New Roman" w:cs="Times New Roman"/>
          <w:sz w:val="24"/>
          <w:szCs w:val="24"/>
        </w:rPr>
        <w:t>, 30 June.</w:t>
      </w:r>
    </w:p>
    <w:p w14:paraId="3F4D8586" w14:textId="77777777" w:rsidR="00BA36C0" w:rsidRPr="003031E6" w:rsidRDefault="00BA36C0" w:rsidP="003031E6">
      <w:pPr>
        <w:spacing w:after="0" w:line="480" w:lineRule="auto"/>
        <w:ind w:left="720" w:hanging="720"/>
        <w:rPr>
          <w:rFonts w:ascii="Times New Roman" w:hAnsi="Times New Roman" w:cs="Times New Roman"/>
          <w:sz w:val="24"/>
          <w:szCs w:val="24"/>
        </w:rPr>
      </w:pPr>
      <w:proofErr w:type="spellStart"/>
      <w:r w:rsidRPr="003031E6">
        <w:rPr>
          <w:rFonts w:ascii="Times New Roman" w:hAnsi="Times New Roman" w:cs="Times New Roman"/>
          <w:sz w:val="24"/>
          <w:szCs w:val="24"/>
        </w:rPr>
        <w:t>Lexology</w:t>
      </w:r>
      <w:proofErr w:type="spellEnd"/>
      <w:r w:rsidRPr="003031E6">
        <w:rPr>
          <w:rFonts w:ascii="Times New Roman" w:hAnsi="Times New Roman" w:cs="Times New Roman"/>
          <w:sz w:val="24"/>
          <w:szCs w:val="24"/>
        </w:rPr>
        <w:t xml:space="preserve"> (2025) </w:t>
      </w:r>
      <w:r w:rsidRPr="003031E6">
        <w:rPr>
          <w:rFonts w:ascii="Times New Roman" w:hAnsi="Times New Roman" w:cs="Times New Roman"/>
          <w:i/>
          <w:iCs/>
          <w:sz w:val="24"/>
          <w:szCs w:val="24"/>
        </w:rPr>
        <w:t>Environmental marketing claims: Regulatory landscape</w:t>
      </w:r>
      <w:r w:rsidRPr="003031E6">
        <w:rPr>
          <w:rFonts w:ascii="Times New Roman" w:hAnsi="Times New Roman" w:cs="Times New Roman"/>
          <w:sz w:val="24"/>
          <w:szCs w:val="24"/>
        </w:rPr>
        <w:t xml:space="preserve">, 15 March. Available at: </w:t>
      </w:r>
      <w:hyperlink r:id="rId13" w:history="1">
        <w:r w:rsidRPr="003031E6">
          <w:rPr>
            <w:rStyle w:val="Hyperlink"/>
            <w:rFonts w:ascii="Times New Roman" w:hAnsi="Times New Roman" w:cs="Times New Roman"/>
            <w:sz w:val="24"/>
            <w:szCs w:val="24"/>
          </w:rPr>
          <w:t>https://www.lexology.com/library/detail.aspx?g=environmental-claims</w:t>
        </w:r>
      </w:hyperlink>
      <w:r w:rsidRPr="003031E6">
        <w:rPr>
          <w:rFonts w:ascii="Times New Roman" w:hAnsi="Times New Roman" w:cs="Times New Roman"/>
          <w:sz w:val="24"/>
          <w:szCs w:val="24"/>
        </w:rPr>
        <w:t xml:space="preserve"> (Accessed: 5 January 2026).</w:t>
      </w:r>
    </w:p>
    <w:p w14:paraId="1C082F30"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lastRenderedPageBreak/>
        <w:t xml:space="preserve">Malshe, A., Biemans, W. and Friend, S.B. (2025) 'Marketing strategy implementation in healthcare organizations: Navigating the challenges of marketing dispersion', </w:t>
      </w:r>
      <w:r w:rsidRPr="003031E6">
        <w:rPr>
          <w:rFonts w:ascii="Times New Roman" w:hAnsi="Times New Roman" w:cs="Times New Roman"/>
          <w:i/>
          <w:iCs/>
          <w:sz w:val="24"/>
          <w:szCs w:val="24"/>
        </w:rPr>
        <w:t>Journal of Business Research</w:t>
      </w:r>
      <w:r w:rsidRPr="003031E6">
        <w:rPr>
          <w:rFonts w:ascii="Times New Roman" w:hAnsi="Times New Roman" w:cs="Times New Roman"/>
          <w:sz w:val="24"/>
          <w:szCs w:val="24"/>
        </w:rPr>
        <w:t>, 200, 115593.</w:t>
      </w:r>
    </w:p>
    <w:p w14:paraId="0106FF2F"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Moorman, C. and Rust, R.T. (1999) 'The role of marketing', </w:t>
      </w:r>
      <w:r w:rsidRPr="003031E6">
        <w:rPr>
          <w:rFonts w:ascii="Times New Roman" w:hAnsi="Times New Roman" w:cs="Times New Roman"/>
          <w:i/>
          <w:iCs/>
          <w:sz w:val="24"/>
          <w:szCs w:val="24"/>
        </w:rPr>
        <w:t>Journal of Marketing</w:t>
      </w:r>
      <w:r w:rsidRPr="003031E6">
        <w:rPr>
          <w:rFonts w:ascii="Times New Roman" w:hAnsi="Times New Roman" w:cs="Times New Roman"/>
          <w:sz w:val="24"/>
          <w:szCs w:val="24"/>
        </w:rPr>
        <w:t>, 63(Special Issue), pp. 180–197.</w:t>
      </w:r>
    </w:p>
    <w:p w14:paraId="04787124"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Nardini, G., </w:t>
      </w:r>
      <w:proofErr w:type="spellStart"/>
      <w:r w:rsidRPr="003031E6">
        <w:rPr>
          <w:rFonts w:ascii="Times New Roman" w:hAnsi="Times New Roman" w:cs="Times New Roman"/>
          <w:sz w:val="24"/>
          <w:szCs w:val="24"/>
        </w:rPr>
        <w:t>Samoggia</w:t>
      </w:r>
      <w:proofErr w:type="spellEnd"/>
      <w:r w:rsidRPr="003031E6">
        <w:rPr>
          <w:rFonts w:ascii="Times New Roman" w:hAnsi="Times New Roman" w:cs="Times New Roman"/>
          <w:sz w:val="24"/>
          <w:szCs w:val="24"/>
        </w:rPr>
        <w:t xml:space="preserve">, A. and Domingo, P.J. (2021) 'Strategic positioning and importance of the marketing department in the food and beverage firms', </w:t>
      </w:r>
      <w:r w:rsidRPr="003031E6">
        <w:rPr>
          <w:rFonts w:ascii="Times New Roman" w:hAnsi="Times New Roman" w:cs="Times New Roman"/>
          <w:i/>
          <w:iCs/>
          <w:sz w:val="24"/>
          <w:szCs w:val="24"/>
        </w:rPr>
        <w:t>British Food Journal</w:t>
      </w:r>
      <w:r w:rsidRPr="003031E6">
        <w:rPr>
          <w:rFonts w:ascii="Times New Roman" w:hAnsi="Times New Roman" w:cs="Times New Roman"/>
          <w:sz w:val="24"/>
          <w:szCs w:val="24"/>
        </w:rPr>
        <w:t>, 123(13), pp. 279–297.</w:t>
      </w:r>
    </w:p>
    <w:p w14:paraId="1B991500"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Oceana (2025) </w:t>
      </w:r>
      <w:r w:rsidRPr="003031E6">
        <w:rPr>
          <w:rFonts w:ascii="Times New Roman" w:hAnsi="Times New Roman" w:cs="Times New Roman"/>
          <w:i/>
          <w:iCs/>
          <w:sz w:val="24"/>
          <w:szCs w:val="24"/>
        </w:rPr>
        <w:t>Coca-Cola's world with waste</w:t>
      </w:r>
      <w:r w:rsidRPr="003031E6">
        <w:rPr>
          <w:rFonts w:ascii="Times New Roman" w:hAnsi="Times New Roman" w:cs="Times New Roman"/>
          <w:sz w:val="24"/>
          <w:szCs w:val="24"/>
        </w:rPr>
        <w:t xml:space="preserve">. Available at: </w:t>
      </w:r>
      <w:hyperlink r:id="rId14" w:history="1">
        <w:r w:rsidRPr="003031E6">
          <w:rPr>
            <w:rStyle w:val="Hyperlink"/>
            <w:rFonts w:ascii="Times New Roman" w:hAnsi="Times New Roman" w:cs="Times New Roman"/>
            <w:sz w:val="24"/>
            <w:szCs w:val="24"/>
          </w:rPr>
          <w:t>https://oceana.org/wp-content/uploads/sites/18/2025/03/Coca-Colas-World-With-Waste-Oceana-Report-2025_reduced-size-1.pdf</w:t>
        </w:r>
      </w:hyperlink>
      <w:r w:rsidRPr="003031E6">
        <w:rPr>
          <w:rFonts w:ascii="Times New Roman" w:hAnsi="Times New Roman" w:cs="Times New Roman"/>
          <w:sz w:val="24"/>
          <w:szCs w:val="24"/>
        </w:rPr>
        <w:t xml:space="preserve"> (Accessed: 5 January 2026).</w:t>
      </w:r>
    </w:p>
    <w:p w14:paraId="5AC75256"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Oe, H. and Yamaoka, Y. (2020) 'Consumer perceptions of corporate social responsibility and its relationship to brand equity', </w:t>
      </w:r>
      <w:r w:rsidRPr="003031E6">
        <w:rPr>
          <w:rFonts w:ascii="Times New Roman" w:hAnsi="Times New Roman" w:cs="Times New Roman"/>
          <w:i/>
          <w:iCs/>
          <w:sz w:val="24"/>
          <w:szCs w:val="24"/>
        </w:rPr>
        <w:t>International Journal of Business and Management</w:t>
      </w:r>
      <w:r w:rsidRPr="003031E6">
        <w:rPr>
          <w:rFonts w:ascii="Times New Roman" w:hAnsi="Times New Roman" w:cs="Times New Roman"/>
          <w:sz w:val="24"/>
          <w:szCs w:val="24"/>
        </w:rPr>
        <w:t>, 15(2), pp. 159–170.</w:t>
      </w:r>
    </w:p>
    <w:p w14:paraId="2BAE83AC"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Oliveira, M.O.R. and Luce, F.B. (2020) 'Is marketing department important for companies?', </w:t>
      </w:r>
      <w:proofErr w:type="spellStart"/>
      <w:r w:rsidRPr="003031E6">
        <w:rPr>
          <w:rFonts w:ascii="Times New Roman" w:hAnsi="Times New Roman" w:cs="Times New Roman"/>
          <w:i/>
          <w:iCs/>
          <w:sz w:val="24"/>
          <w:szCs w:val="24"/>
        </w:rPr>
        <w:t>Revista</w:t>
      </w:r>
      <w:proofErr w:type="spellEnd"/>
      <w:r w:rsidRPr="003031E6">
        <w:rPr>
          <w:rFonts w:ascii="Times New Roman" w:hAnsi="Times New Roman" w:cs="Times New Roman"/>
          <w:i/>
          <w:iCs/>
          <w:sz w:val="24"/>
          <w:szCs w:val="24"/>
        </w:rPr>
        <w:t xml:space="preserve"> </w:t>
      </w:r>
      <w:proofErr w:type="spellStart"/>
      <w:r w:rsidRPr="003031E6">
        <w:rPr>
          <w:rFonts w:ascii="Times New Roman" w:hAnsi="Times New Roman" w:cs="Times New Roman"/>
          <w:i/>
          <w:iCs/>
          <w:sz w:val="24"/>
          <w:szCs w:val="24"/>
        </w:rPr>
        <w:t>Pensamento</w:t>
      </w:r>
      <w:proofErr w:type="spellEnd"/>
      <w:r w:rsidRPr="003031E6">
        <w:rPr>
          <w:rFonts w:ascii="Times New Roman" w:hAnsi="Times New Roman" w:cs="Times New Roman"/>
          <w:i/>
          <w:iCs/>
          <w:sz w:val="24"/>
          <w:szCs w:val="24"/>
        </w:rPr>
        <w:t xml:space="preserve"> </w:t>
      </w:r>
      <w:proofErr w:type="spellStart"/>
      <w:r w:rsidRPr="003031E6">
        <w:rPr>
          <w:rFonts w:ascii="Times New Roman" w:hAnsi="Times New Roman" w:cs="Times New Roman"/>
          <w:i/>
          <w:iCs/>
          <w:sz w:val="24"/>
          <w:szCs w:val="24"/>
        </w:rPr>
        <w:t>Contemporâneo</w:t>
      </w:r>
      <w:proofErr w:type="spellEnd"/>
      <w:r w:rsidRPr="003031E6">
        <w:rPr>
          <w:rFonts w:ascii="Times New Roman" w:hAnsi="Times New Roman" w:cs="Times New Roman"/>
          <w:i/>
          <w:iCs/>
          <w:sz w:val="24"/>
          <w:szCs w:val="24"/>
        </w:rPr>
        <w:t xml:space="preserve"> </w:t>
      </w:r>
      <w:proofErr w:type="spellStart"/>
      <w:r w:rsidRPr="003031E6">
        <w:rPr>
          <w:rFonts w:ascii="Times New Roman" w:hAnsi="Times New Roman" w:cs="Times New Roman"/>
          <w:i/>
          <w:iCs/>
          <w:sz w:val="24"/>
          <w:szCs w:val="24"/>
        </w:rPr>
        <w:t>em</w:t>
      </w:r>
      <w:proofErr w:type="spellEnd"/>
      <w:r w:rsidRPr="003031E6">
        <w:rPr>
          <w:rFonts w:ascii="Times New Roman" w:hAnsi="Times New Roman" w:cs="Times New Roman"/>
          <w:i/>
          <w:iCs/>
          <w:sz w:val="24"/>
          <w:szCs w:val="24"/>
        </w:rPr>
        <w:t xml:space="preserve"> </w:t>
      </w:r>
      <w:proofErr w:type="spellStart"/>
      <w:r w:rsidRPr="003031E6">
        <w:rPr>
          <w:rFonts w:ascii="Times New Roman" w:hAnsi="Times New Roman" w:cs="Times New Roman"/>
          <w:i/>
          <w:iCs/>
          <w:sz w:val="24"/>
          <w:szCs w:val="24"/>
        </w:rPr>
        <w:t>Administração</w:t>
      </w:r>
      <w:proofErr w:type="spellEnd"/>
      <w:r w:rsidRPr="003031E6">
        <w:rPr>
          <w:rFonts w:ascii="Times New Roman" w:hAnsi="Times New Roman" w:cs="Times New Roman"/>
          <w:sz w:val="24"/>
          <w:szCs w:val="24"/>
        </w:rPr>
        <w:t>, 14(3), pp. 120–131.</w:t>
      </w:r>
    </w:p>
    <w:p w14:paraId="60FE3825" w14:textId="77777777" w:rsidR="00BA36C0" w:rsidRPr="003031E6" w:rsidRDefault="00BA36C0" w:rsidP="003031E6">
      <w:pPr>
        <w:spacing w:after="0" w:line="480" w:lineRule="auto"/>
        <w:ind w:left="720" w:hanging="720"/>
        <w:rPr>
          <w:rFonts w:ascii="Times New Roman" w:hAnsi="Times New Roman" w:cs="Times New Roman"/>
          <w:sz w:val="24"/>
          <w:szCs w:val="24"/>
        </w:rPr>
      </w:pPr>
      <w:proofErr w:type="spellStart"/>
      <w:r w:rsidRPr="003031E6">
        <w:rPr>
          <w:rFonts w:ascii="Times New Roman" w:hAnsi="Times New Roman" w:cs="Times New Roman"/>
          <w:sz w:val="24"/>
          <w:szCs w:val="24"/>
        </w:rPr>
        <w:t>Packnode</w:t>
      </w:r>
      <w:proofErr w:type="spellEnd"/>
      <w:r w:rsidRPr="003031E6">
        <w:rPr>
          <w:rFonts w:ascii="Times New Roman" w:hAnsi="Times New Roman" w:cs="Times New Roman"/>
          <w:sz w:val="24"/>
          <w:szCs w:val="24"/>
        </w:rPr>
        <w:t xml:space="preserve"> (2023) </w:t>
      </w:r>
      <w:r w:rsidRPr="003031E6">
        <w:rPr>
          <w:rFonts w:ascii="Times New Roman" w:hAnsi="Times New Roman" w:cs="Times New Roman"/>
          <w:i/>
          <w:iCs/>
          <w:sz w:val="24"/>
          <w:szCs w:val="24"/>
        </w:rPr>
        <w:t>McKinsey: Willingness to pay for sustainable packaging varies sharply by region</w:t>
      </w:r>
      <w:r w:rsidRPr="003031E6">
        <w:rPr>
          <w:rFonts w:ascii="Times New Roman" w:hAnsi="Times New Roman" w:cs="Times New Roman"/>
          <w:sz w:val="24"/>
          <w:szCs w:val="24"/>
        </w:rPr>
        <w:t>, 7 November.</w:t>
      </w:r>
    </w:p>
    <w:p w14:paraId="13BCDB68"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Pauwels, K. (2015) 'Truly accountable marketing: The right metrics for the right results', </w:t>
      </w:r>
      <w:r w:rsidRPr="003031E6">
        <w:rPr>
          <w:rFonts w:ascii="Times New Roman" w:hAnsi="Times New Roman" w:cs="Times New Roman"/>
          <w:i/>
          <w:iCs/>
          <w:sz w:val="24"/>
          <w:szCs w:val="24"/>
        </w:rPr>
        <w:t>GfK Marketing Intelligence Review</w:t>
      </w:r>
      <w:r w:rsidRPr="003031E6">
        <w:rPr>
          <w:rFonts w:ascii="Times New Roman" w:hAnsi="Times New Roman" w:cs="Times New Roman"/>
          <w:sz w:val="24"/>
          <w:szCs w:val="24"/>
        </w:rPr>
        <w:t>, 7(2), pp. 8–13.</w:t>
      </w:r>
    </w:p>
    <w:p w14:paraId="4F39D0D7"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Pavón Losada, M.Á., García Sánchez, M.R. and Rodríguez Domínguez, L. (2025) 'Food packaging and its sustainability: A systematic literature review', </w:t>
      </w:r>
      <w:r w:rsidRPr="003031E6">
        <w:rPr>
          <w:rFonts w:ascii="Times New Roman" w:hAnsi="Times New Roman" w:cs="Times New Roman"/>
          <w:i/>
          <w:iCs/>
          <w:sz w:val="24"/>
          <w:szCs w:val="24"/>
        </w:rPr>
        <w:t>British Food Journal</w:t>
      </w:r>
      <w:r w:rsidRPr="003031E6">
        <w:rPr>
          <w:rFonts w:ascii="Times New Roman" w:hAnsi="Times New Roman" w:cs="Times New Roman"/>
          <w:sz w:val="24"/>
          <w:szCs w:val="24"/>
        </w:rPr>
        <w:t>, 127(1), pp. 1–24.</w:t>
      </w:r>
    </w:p>
    <w:p w14:paraId="780D9A73"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lastRenderedPageBreak/>
        <w:t xml:space="preserve">Pereira, D. (2024) </w:t>
      </w:r>
      <w:r w:rsidRPr="003031E6">
        <w:rPr>
          <w:rFonts w:ascii="Times New Roman" w:hAnsi="Times New Roman" w:cs="Times New Roman"/>
          <w:i/>
          <w:iCs/>
          <w:sz w:val="24"/>
          <w:szCs w:val="24"/>
        </w:rPr>
        <w:t>Coca-Cola target market analysis</w:t>
      </w:r>
      <w:r w:rsidRPr="003031E6">
        <w:rPr>
          <w:rFonts w:ascii="Times New Roman" w:hAnsi="Times New Roman" w:cs="Times New Roman"/>
          <w:sz w:val="24"/>
          <w:szCs w:val="24"/>
        </w:rPr>
        <w:t>, Business Model Analyst, 14 November.</w:t>
      </w:r>
    </w:p>
    <w:p w14:paraId="3CEB1F85"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Pereira, D. (2025) </w:t>
      </w:r>
      <w:r w:rsidRPr="003031E6">
        <w:rPr>
          <w:rFonts w:ascii="Times New Roman" w:hAnsi="Times New Roman" w:cs="Times New Roman"/>
          <w:i/>
          <w:iCs/>
          <w:sz w:val="24"/>
          <w:szCs w:val="24"/>
        </w:rPr>
        <w:t>Coca-Cola marketing strategy</w:t>
      </w:r>
      <w:r w:rsidRPr="003031E6">
        <w:rPr>
          <w:rFonts w:ascii="Times New Roman" w:hAnsi="Times New Roman" w:cs="Times New Roman"/>
          <w:sz w:val="24"/>
          <w:szCs w:val="24"/>
        </w:rPr>
        <w:t>, Business Model Analyst, 15 April.</w:t>
      </w:r>
    </w:p>
    <w:p w14:paraId="232500F8"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Peters, G. and Peters, R. (2024) 'Greenwashing lawsuits: Corporate liability and reputational risk', </w:t>
      </w:r>
      <w:r w:rsidRPr="003031E6">
        <w:rPr>
          <w:rFonts w:ascii="Times New Roman" w:hAnsi="Times New Roman" w:cs="Times New Roman"/>
          <w:i/>
          <w:iCs/>
          <w:sz w:val="24"/>
          <w:szCs w:val="24"/>
        </w:rPr>
        <w:t>Corporate Governance Review</w:t>
      </w:r>
      <w:r w:rsidRPr="003031E6">
        <w:rPr>
          <w:rFonts w:ascii="Times New Roman" w:hAnsi="Times New Roman" w:cs="Times New Roman"/>
          <w:sz w:val="24"/>
          <w:szCs w:val="24"/>
        </w:rPr>
        <w:t>, 18(2), pp. 45–62.</w:t>
      </w:r>
    </w:p>
    <w:p w14:paraId="5DA2E0CA"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Plastic Pollution Coalition (2024) </w:t>
      </w:r>
      <w:r w:rsidRPr="003031E6">
        <w:rPr>
          <w:rFonts w:ascii="Times New Roman" w:hAnsi="Times New Roman" w:cs="Times New Roman"/>
          <w:i/>
          <w:iCs/>
          <w:sz w:val="24"/>
          <w:szCs w:val="24"/>
        </w:rPr>
        <w:t>Coca-Cola must face greenwashing lawsuit in D.C.</w:t>
      </w:r>
      <w:r w:rsidRPr="003031E6">
        <w:rPr>
          <w:rFonts w:ascii="Times New Roman" w:hAnsi="Times New Roman" w:cs="Times New Roman"/>
          <w:sz w:val="24"/>
          <w:szCs w:val="24"/>
        </w:rPr>
        <w:t xml:space="preserve">, 4 September. Available at: </w:t>
      </w:r>
      <w:hyperlink r:id="rId15" w:history="1">
        <w:r w:rsidRPr="003031E6">
          <w:rPr>
            <w:rStyle w:val="Hyperlink"/>
            <w:rFonts w:ascii="Times New Roman" w:hAnsi="Times New Roman" w:cs="Times New Roman"/>
            <w:sz w:val="24"/>
            <w:szCs w:val="24"/>
          </w:rPr>
          <w:t>https://www.plasticpollutioncoalition.org/blog/2024/9/4/coca-cola-greenwashing-lawsuit</w:t>
        </w:r>
      </w:hyperlink>
      <w:r w:rsidRPr="003031E6">
        <w:rPr>
          <w:rFonts w:ascii="Times New Roman" w:hAnsi="Times New Roman" w:cs="Times New Roman"/>
          <w:sz w:val="24"/>
          <w:szCs w:val="24"/>
        </w:rPr>
        <w:t xml:space="preserve"> (Accessed: 5 January 2026).</w:t>
      </w:r>
    </w:p>
    <w:p w14:paraId="4C969626"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Rajesh, M. (2024) 'Coca-Cola revenue tops estimates', </w:t>
      </w:r>
      <w:r w:rsidRPr="003031E6">
        <w:rPr>
          <w:rFonts w:ascii="Times New Roman" w:hAnsi="Times New Roman" w:cs="Times New Roman"/>
          <w:i/>
          <w:iCs/>
          <w:sz w:val="24"/>
          <w:szCs w:val="24"/>
        </w:rPr>
        <w:t>Reuters</w:t>
      </w:r>
      <w:r w:rsidRPr="003031E6">
        <w:rPr>
          <w:rFonts w:ascii="Times New Roman" w:hAnsi="Times New Roman" w:cs="Times New Roman"/>
          <w:sz w:val="24"/>
          <w:szCs w:val="24"/>
        </w:rPr>
        <w:t>, 23 October.</w:t>
      </w:r>
    </w:p>
    <w:p w14:paraId="480B17CE" w14:textId="6F8B8560" w:rsidR="00BA36C0" w:rsidRPr="003031E6" w:rsidRDefault="00BA36C0" w:rsidP="003031E6">
      <w:pPr>
        <w:spacing w:after="0" w:line="480" w:lineRule="auto"/>
        <w:ind w:left="720" w:hanging="720"/>
        <w:rPr>
          <w:rFonts w:ascii="Times New Roman" w:hAnsi="Times New Roman" w:cs="Times New Roman"/>
          <w:sz w:val="24"/>
          <w:szCs w:val="24"/>
        </w:rPr>
      </w:pPr>
      <w:proofErr w:type="spellStart"/>
      <w:r w:rsidRPr="003031E6">
        <w:rPr>
          <w:rFonts w:ascii="Times New Roman" w:hAnsi="Times New Roman" w:cs="Times New Roman"/>
          <w:sz w:val="24"/>
          <w:szCs w:val="24"/>
        </w:rPr>
        <w:t>RankRed</w:t>
      </w:r>
      <w:proofErr w:type="spellEnd"/>
      <w:r w:rsidRPr="003031E6">
        <w:rPr>
          <w:rFonts w:ascii="Times New Roman" w:hAnsi="Times New Roman" w:cs="Times New Roman"/>
          <w:sz w:val="24"/>
          <w:szCs w:val="24"/>
        </w:rPr>
        <w:t xml:space="preserve"> (2025) 'Coca-Cola marketing strategy: 17 proven ideas in 2025', 20 July. Available at: </w:t>
      </w:r>
      <w:hyperlink r:id="rId16" w:history="1">
        <w:r w:rsidRPr="003031E6">
          <w:rPr>
            <w:rStyle w:val="Hyperlink"/>
            <w:rFonts w:ascii="Times New Roman" w:hAnsi="Times New Roman" w:cs="Times New Roman"/>
            <w:sz w:val="24"/>
            <w:szCs w:val="24"/>
          </w:rPr>
          <w:t>https://www.rankred.com/coca-cola-marketing-strategy</w:t>
        </w:r>
      </w:hyperlink>
      <w:r w:rsidRPr="003031E6">
        <w:rPr>
          <w:rFonts w:ascii="Times New Roman" w:hAnsi="Times New Roman" w:cs="Times New Roman"/>
          <w:sz w:val="24"/>
          <w:szCs w:val="24"/>
        </w:rPr>
        <w:t xml:space="preserve"> (Accessed: 5 January 2026).</w:t>
      </w:r>
    </w:p>
    <w:p w14:paraId="6C9D182B"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Sharma, A. and </w:t>
      </w:r>
      <w:proofErr w:type="spellStart"/>
      <w:r w:rsidRPr="003031E6">
        <w:rPr>
          <w:rFonts w:ascii="Times New Roman" w:hAnsi="Times New Roman" w:cs="Times New Roman"/>
          <w:sz w:val="24"/>
          <w:szCs w:val="24"/>
        </w:rPr>
        <w:t>Wazal</w:t>
      </w:r>
      <w:proofErr w:type="spellEnd"/>
      <w:r w:rsidRPr="003031E6">
        <w:rPr>
          <w:rFonts w:ascii="Times New Roman" w:hAnsi="Times New Roman" w:cs="Times New Roman"/>
          <w:sz w:val="24"/>
          <w:szCs w:val="24"/>
        </w:rPr>
        <w:t xml:space="preserve">, M.S. (2025) 'ESG marketing: Trends and current practices', </w:t>
      </w:r>
      <w:r w:rsidRPr="003031E6">
        <w:rPr>
          <w:rFonts w:ascii="Times New Roman" w:hAnsi="Times New Roman" w:cs="Times New Roman"/>
          <w:i/>
          <w:iCs/>
          <w:sz w:val="24"/>
          <w:szCs w:val="24"/>
        </w:rPr>
        <w:t>Journal of Media &amp; Management</w:t>
      </w:r>
      <w:r w:rsidRPr="003031E6">
        <w:rPr>
          <w:rFonts w:ascii="Times New Roman" w:hAnsi="Times New Roman" w:cs="Times New Roman"/>
          <w:sz w:val="24"/>
          <w:szCs w:val="24"/>
        </w:rPr>
        <w:t>, 7(1), pp. 1–3.</w:t>
      </w:r>
    </w:p>
    <w:p w14:paraId="61B51DC2"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Sheth, J.N. and </w:t>
      </w:r>
      <w:proofErr w:type="spellStart"/>
      <w:r w:rsidRPr="003031E6">
        <w:rPr>
          <w:rFonts w:ascii="Times New Roman" w:hAnsi="Times New Roman" w:cs="Times New Roman"/>
          <w:sz w:val="24"/>
          <w:szCs w:val="24"/>
        </w:rPr>
        <w:t>Parvatiyar</w:t>
      </w:r>
      <w:proofErr w:type="spellEnd"/>
      <w:r w:rsidRPr="003031E6">
        <w:rPr>
          <w:rFonts w:ascii="Times New Roman" w:hAnsi="Times New Roman" w:cs="Times New Roman"/>
          <w:sz w:val="24"/>
          <w:szCs w:val="24"/>
        </w:rPr>
        <w:t xml:space="preserve">, A. (2021) 'Sustainable marketing: Market-driving, not market-driven', </w:t>
      </w:r>
      <w:r w:rsidRPr="003031E6">
        <w:rPr>
          <w:rFonts w:ascii="Times New Roman" w:hAnsi="Times New Roman" w:cs="Times New Roman"/>
          <w:i/>
          <w:iCs/>
          <w:sz w:val="24"/>
          <w:szCs w:val="24"/>
        </w:rPr>
        <w:t xml:space="preserve">Journal of </w:t>
      </w:r>
      <w:proofErr w:type="spellStart"/>
      <w:r w:rsidRPr="003031E6">
        <w:rPr>
          <w:rFonts w:ascii="Times New Roman" w:hAnsi="Times New Roman" w:cs="Times New Roman"/>
          <w:i/>
          <w:iCs/>
          <w:sz w:val="24"/>
          <w:szCs w:val="24"/>
        </w:rPr>
        <w:t>Macromarketing</w:t>
      </w:r>
      <w:proofErr w:type="spellEnd"/>
      <w:r w:rsidRPr="003031E6">
        <w:rPr>
          <w:rFonts w:ascii="Times New Roman" w:hAnsi="Times New Roman" w:cs="Times New Roman"/>
          <w:sz w:val="24"/>
          <w:szCs w:val="24"/>
        </w:rPr>
        <w:t>, 41(1), pp. 150–165.</w:t>
      </w:r>
    </w:p>
    <w:p w14:paraId="7C438A4B"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Shi, W. (2023) 'Virtual human influencer and its impact on consumer purchase intention', in </w:t>
      </w:r>
      <w:r w:rsidRPr="003031E6">
        <w:rPr>
          <w:rFonts w:ascii="Times New Roman" w:hAnsi="Times New Roman" w:cs="Times New Roman"/>
          <w:i/>
          <w:iCs/>
          <w:sz w:val="24"/>
          <w:szCs w:val="24"/>
        </w:rPr>
        <w:t>Proceedings of the 2nd International Conference on Financial Technology and Business Analysis</w:t>
      </w:r>
      <w:r w:rsidRPr="003031E6">
        <w:rPr>
          <w:rFonts w:ascii="Times New Roman" w:hAnsi="Times New Roman" w:cs="Times New Roman"/>
          <w:sz w:val="24"/>
          <w:szCs w:val="24"/>
        </w:rPr>
        <w:t>, pp. 80–87.</w:t>
      </w:r>
    </w:p>
    <w:p w14:paraId="461D51E3"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Stewart, D.W. (2006) 'The role of marketing accountability in the measurement of marketing productivity', </w:t>
      </w:r>
      <w:r w:rsidRPr="003031E6">
        <w:rPr>
          <w:rFonts w:ascii="Times New Roman" w:hAnsi="Times New Roman" w:cs="Times New Roman"/>
          <w:i/>
          <w:iCs/>
          <w:sz w:val="24"/>
          <w:szCs w:val="24"/>
        </w:rPr>
        <w:t>Journal of Marketing Theory and Practice</w:t>
      </w:r>
      <w:r w:rsidRPr="003031E6">
        <w:rPr>
          <w:rFonts w:ascii="Times New Roman" w:hAnsi="Times New Roman" w:cs="Times New Roman"/>
          <w:sz w:val="24"/>
          <w:szCs w:val="24"/>
        </w:rPr>
        <w:t>, 14(1), pp. 1–10.</w:t>
      </w:r>
    </w:p>
    <w:p w14:paraId="6DDB4801"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The Coca-Cola Company (2024) </w:t>
      </w:r>
      <w:r w:rsidRPr="003031E6">
        <w:rPr>
          <w:rFonts w:ascii="Times New Roman" w:hAnsi="Times New Roman" w:cs="Times New Roman"/>
          <w:i/>
          <w:iCs/>
          <w:sz w:val="24"/>
          <w:szCs w:val="24"/>
        </w:rPr>
        <w:t>World Without Waste: 2024 progress report</w:t>
      </w:r>
      <w:r w:rsidRPr="003031E6">
        <w:rPr>
          <w:rFonts w:ascii="Times New Roman" w:hAnsi="Times New Roman" w:cs="Times New Roman"/>
          <w:sz w:val="24"/>
          <w:szCs w:val="24"/>
        </w:rPr>
        <w:t xml:space="preserve">. Available at: </w:t>
      </w:r>
      <w:hyperlink r:id="rId17" w:history="1">
        <w:r w:rsidRPr="003031E6">
          <w:rPr>
            <w:rStyle w:val="Hyperlink"/>
            <w:rFonts w:ascii="Times New Roman" w:hAnsi="Times New Roman" w:cs="Times New Roman"/>
            <w:sz w:val="24"/>
            <w:szCs w:val="24"/>
          </w:rPr>
          <w:t>https://www.coca-colacompany.com/sustainability/world-without-waste</w:t>
        </w:r>
      </w:hyperlink>
      <w:r w:rsidRPr="003031E6">
        <w:rPr>
          <w:rFonts w:ascii="Times New Roman" w:hAnsi="Times New Roman" w:cs="Times New Roman"/>
          <w:sz w:val="24"/>
          <w:szCs w:val="24"/>
        </w:rPr>
        <w:t xml:space="preserve"> (Accessed: 5 January 2026).</w:t>
      </w:r>
    </w:p>
    <w:p w14:paraId="106646B4"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lastRenderedPageBreak/>
        <w:t xml:space="preserve">Tran, G.A. and Wang, Y. (2021) 'The future of digital and social media marketing research', in Dwivedi, Y.K. et al. (eds.) </w:t>
      </w:r>
      <w:r w:rsidRPr="003031E6">
        <w:rPr>
          <w:rFonts w:ascii="Times New Roman" w:hAnsi="Times New Roman" w:cs="Times New Roman"/>
          <w:i/>
          <w:iCs/>
          <w:sz w:val="24"/>
          <w:szCs w:val="24"/>
        </w:rPr>
        <w:t>Digital Marketing Research</w:t>
      </w:r>
      <w:r w:rsidRPr="003031E6">
        <w:rPr>
          <w:rFonts w:ascii="Times New Roman" w:hAnsi="Times New Roman" w:cs="Times New Roman"/>
          <w:sz w:val="24"/>
          <w:szCs w:val="24"/>
        </w:rPr>
        <w:t>. Bingley: Emerald Publishing, pp. 1–18.</w:t>
      </w:r>
    </w:p>
    <w:p w14:paraId="3EB31014"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Verhoef, P.C. and </w:t>
      </w:r>
      <w:proofErr w:type="spellStart"/>
      <w:r w:rsidRPr="003031E6">
        <w:rPr>
          <w:rFonts w:ascii="Times New Roman" w:hAnsi="Times New Roman" w:cs="Times New Roman"/>
          <w:sz w:val="24"/>
          <w:szCs w:val="24"/>
        </w:rPr>
        <w:t>Bijmolt</w:t>
      </w:r>
      <w:proofErr w:type="spellEnd"/>
      <w:r w:rsidRPr="003031E6">
        <w:rPr>
          <w:rFonts w:ascii="Times New Roman" w:hAnsi="Times New Roman" w:cs="Times New Roman"/>
          <w:sz w:val="24"/>
          <w:szCs w:val="24"/>
        </w:rPr>
        <w:t xml:space="preserve">, T.H.A. (2019) 'Marketing perspectives on digital business models: A framework and overview of the special issue', </w:t>
      </w:r>
      <w:r w:rsidRPr="003031E6">
        <w:rPr>
          <w:rFonts w:ascii="Times New Roman" w:hAnsi="Times New Roman" w:cs="Times New Roman"/>
          <w:i/>
          <w:iCs/>
          <w:sz w:val="24"/>
          <w:szCs w:val="24"/>
        </w:rPr>
        <w:t>International Journal of Research in Marketing</w:t>
      </w:r>
      <w:r w:rsidRPr="003031E6">
        <w:rPr>
          <w:rFonts w:ascii="Times New Roman" w:hAnsi="Times New Roman" w:cs="Times New Roman"/>
          <w:sz w:val="24"/>
          <w:szCs w:val="24"/>
        </w:rPr>
        <w:t>, 36(3), pp. 341–349.</w:t>
      </w:r>
    </w:p>
    <w:p w14:paraId="767C9AF1"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Verhoef, P.C., Broekhuizen, T., Bart, Y., Bhattacharya, A., Dong, J.Q., Fabian, N. and Haenlein, M. (2021) 'Digital transformation: A multidisciplinary reflection and research agenda', </w:t>
      </w:r>
      <w:r w:rsidRPr="003031E6">
        <w:rPr>
          <w:rFonts w:ascii="Times New Roman" w:hAnsi="Times New Roman" w:cs="Times New Roman"/>
          <w:i/>
          <w:iCs/>
          <w:sz w:val="24"/>
          <w:szCs w:val="24"/>
        </w:rPr>
        <w:t>Journal of Business Research</w:t>
      </w:r>
      <w:r w:rsidRPr="003031E6">
        <w:rPr>
          <w:rFonts w:ascii="Times New Roman" w:hAnsi="Times New Roman" w:cs="Times New Roman"/>
          <w:sz w:val="24"/>
          <w:szCs w:val="24"/>
        </w:rPr>
        <w:t>, 122, pp. 889–901.</w:t>
      </w:r>
    </w:p>
    <w:p w14:paraId="2550FAED"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von der </w:t>
      </w:r>
      <w:proofErr w:type="spellStart"/>
      <w:r w:rsidRPr="003031E6">
        <w:rPr>
          <w:rFonts w:ascii="Times New Roman" w:hAnsi="Times New Roman" w:cs="Times New Roman"/>
          <w:sz w:val="24"/>
          <w:szCs w:val="24"/>
        </w:rPr>
        <w:t>Gathen</w:t>
      </w:r>
      <w:proofErr w:type="spellEnd"/>
      <w:r w:rsidRPr="003031E6">
        <w:rPr>
          <w:rFonts w:ascii="Times New Roman" w:hAnsi="Times New Roman" w:cs="Times New Roman"/>
          <w:sz w:val="24"/>
          <w:szCs w:val="24"/>
        </w:rPr>
        <w:t xml:space="preserve">, A., Eckert, N.B. and Kastbjerg, C. (2024) 'The myth of the sustainable consumer', </w:t>
      </w:r>
      <w:r w:rsidRPr="003031E6">
        <w:rPr>
          <w:rFonts w:ascii="Times New Roman" w:hAnsi="Times New Roman" w:cs="Times New Roman"/>
          <w:i/>
          <w:iCs/>
          <w:sz w:val="24"/>
          <w:szCs w:val="24"/>
        </w:rPr>
        <w:t>MIT Sloan Management Review</w:t>
      </w:r>
      <w:r w:rsidRPr="003031E6">
        <w:rPr>
          <w:rFonts w:ascii="Times New Roman" w:hAnsi="Times New Roman" w:cs="Times New Roman"/>
          <w:sz w:val="24"/>
          <w:szCs w:val="24"/>
        </w:rPr>
        <w:t>, Winter 2025 Issue, 14 November.</w:t>
      </w:r>
    </w:p>
    <w:p w14:paraId="2EB714D0"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Wallach, J. (2025) </w:t>
      </w:r>
      <w:r w:rsidRPr="003031E6">
        <w:rPr>
          <w:rFonts w:ascii="Times New Roman" w:hAnsi="Times New Roman" w:cs="Times New Roman"/>
          <w:i/>
          <w:iCs/>
          <w:sz w:val="24"/>
          <w:szCs w:val="24"/>
        </w:rPr>
        <w:t>Growing the circular economy in chemicals</w:t>
      </w:r>
      <w:r w:rsidRPr="003031E6">
        <w:rPr>
          <w:rFonts w:ascii="Times New Roman" w:hAnsi="Times New Roman" w:cs="Times New Roman"/>
          <w:sz w:val="24"/>
          <w:szCs w:val="24"/>
        </w:rPr>
        <w:t>, McKinsey &amp; Company, 3 November.</w:t>
      </w:r>
    </w:p>
    <w:p w14:paraId="40A64AAD"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White, K., </w:t>
      </w:r>
      <w:proofErr w:type="spellStart"/>
      <w:r w:rsidRPr="003031E6">
        <w:rPr>
          <w:rFonts w:ascii="Times New Roman" w:hAnsi="Times New Roman" w:cs="Times New Roman"/>
          <w:sz w:val="24"/>
          <w:szCs w:val="24"/>
        </w:rPr>
        <w:t>Cakanlar</w:t>
      </w:r>
      <w:proofErr w:type="spellEnd"/>
      <w:r w:rsidRPr="003031E6">
        <w:rPr>
          <w:rFonts w:ascii="Times New Roman" w:hAnsi="Times New Roman" w:cs="Times New Roman"/>
          <w:sz w:val="24"/>
          <w:szCs w:val="24"/>
        </w:rPr>
        <w:t xml:space="preserve">, A., Sethi, S. and Trudel, R. (2025) 'The past, present, and future of sustainability marketing: How did we get here and where might we go?', </w:t>
      </w:r>
      <w:r w:rsidRPr="003031E6">
        <w:rPr>
          <w:rFonts w:ascii="Times New Roman" w:hAnsi="Times New Roman" w:cs="Times New Roman"/>
          <w:i/>
          <w:iCs/>
          <w:sz w:val="24"/>
          <w:szCs w:val="24"/>
        </w:rPr>
        <w:t>Journal of Business Research</w:t>
      </w:r>
      <w:r w:rsidRPr="003031E6">
        <w:rPr>
          <w:rFonts w:ascii="Times New Roman" w:hAnsi="Times New Roman" w:cs="Times New Roman"/>
          <w:sz w:val="24"/>
          <w:szCs w:val="24"/>
        </w:rPr>
        <w:t>, 187, 115056.</w:t>
      </w:r>
    </w:p>
    <w:p w14:paraId="468BA3E4"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Wirtz, J., </w:t>
      </w:r>
      <w:proofErr w:type="spellStart"/>
      <w:r w:rsidRPr="003031E6">
        <w:rPr>
          <w:rFonts w:ascii="Times New Roman" w:hAnsi="Times New Roman" w:cs="Times New Roman"/>
          <w:sz w:val="24"/>
          <w:szCs w:val="24"/>
        </w:rPr>
        <w:t>Tuzovic</w:t>
      </w:r>
      <w:proofErr w:type="spellEnd"/>
      <w:r w:rsidRPr="003031E6">
        <w:rPr>
          <w:rFonts w:ascii="Times New Roman" w:hAnsi="Times New Roman" w:cs="Times New Roman"/>
          <w:sz w:val="24"/>
          <w:szCs w:val="24"/>
        </w:rPr>
        <w:t xml:space="preserve">, S. and </w:t>
      </w:r>
      <w:proofErr w:type="spellStart"/>
      <w:r w:rsidRPr="003031E6">
        <w:rPr>
          <w:rFonts w:ascii="Times New Roman" w:hAnsi="Times New Roman" w:cs="Times New Roman"/>
          <w:sz w:val="24"/>
          <w:szCs w:val="24"/>
        </w:rPr>
        <w:t>Kuppelwieser</w:t>
      </w:r>
      <w:proofErr w:type="spellEnd"/>
      <w:r w:rsidRPr="003031E6">
        <w:rPr>
          <w:rFonts w:ascii="Times New Roman" w:hAnsi="Times New Roman" w:cs="Times New Roman"/>
          <w:sz w:val="24"/>
          <w:szCs w:val="24"/>
        </w:rPr>
        <w:t xml:space="preserve">, V.G. (2014) 'The role of marketing in today's enterprises', </w:t>
      </w:r>
      <w:r w:rsidRPr="003031E6">
        <w:rPr>
          <w:rFonts w:ascii="Times New Roman" w:hAnsi="Times New Roman" w:cs="Times New Roman"/>
          <w:i/>
          <w:iCs/>
          <w:sz w:val="24"/>
          <w:szCs w:val="24"/>
        </w:rPr>
        <w:t>Journal of Service Management</w:t>
      </w:r>
      <w:r w:rsidRPr="003031E6">
        <w:rPr>
          <w:rFonts w:ascii="Times New Roman" w:hAnsi="Times New Roman" w:cs="Times New Roman"/>
          <w:sz w:val="24"/>
          <w:szCs w:val="24"/>
        </w:rPr>
        <w:t>, 25(2), pp. 171–194.</w:t>
      </w:r>
    </w:p>
    <w:p w14:paraId="761B41E2" w14:textId="77777777" w:rsidR="00BA36C0" w:rsidRPr="003031E6" w:rsidRDefault="00BA36C0" w:rsidP="003031E6">
      <w:pPr>
        <w:spacing w:after="0" w:line="480" w:lineRule="auto"/>
        <w:ind w:left="720" w:hanging="720"/>
        <w:rPr>
          <w:rFonts w:ascii="Times New Roman" w:hAnsi="Times New Roman" w:cs="Times New Roman"/>
          <w:sz w:val="24"/>
          <w:szCs w:val="24"/>
        </w:rPr>
      </w:pPr>
      <w:r w:rsidRPr="003031E6">
        <w:rPr>
          <w:rFonts w:ascii="Times New Roman" w:hAnsi="Times New Roman" w:cs="Times New Roman"/>
          <w:sz w:val="24"/>
          <w:szCs w:val="24"/>
        </w:rPr>
        <w:t xml:space="preserve">Woolley, E., Nahar, S., Simeone, A., Lee, K. and Wilson, G.T. (2024) 'A circular economy for reusable plastic packaging: Digital assessment for cleaning assurance', </w:t>
      </w:r>
      <w:r w:rsidRPr="003031E6">
        <w:rPr>
          <w:rFonts w:ascii="Times New Roman" w:hAnsi="Times New Roman" w:cs="Times New Roman"/>
          <w:i/>
          <w:iCs/>
          <w:sz w:val="24"/>
          <w:szCs w:val="24"/>
        </w:rPr>
        <w:t>Procedia CIRP</w:t>
      </w:r>
      <w:r w:rsidRPr="003031E6">
        <w:rPr>
          <w:rFonts w:ascii="Times New Roman" w:hAnsi="Times New Roman" w:cs="Times New Roman"/>
          <w:sz w:val="24"/>
          <w:szCs w:val="24"/>
        </w:rPr>
        <w:t>, 122, pp. 348–353.</w:t>
      </w:r>
    </w:p>
    <w:p w14:paraId="0EBB7610" w14:textId="77777777" w:rsidR="00BA36C0" w:rsidRPr="003031E6" w:rsidRDefault="00BA36C0" w:rsidP="003031E6">
      <w:pPr>
        <w:spacing w:after="0" w:line="480" w:lineRule="auto"/>
        <w:ind w:left="720" w:hanging="720"/>
        <w:rPr>
          <w:rFonts w:ascii="Times New Roman" w:hAnsi="Times New Roman" w:cs="Times New Roman"/>
          <w:sz w:val="24"/>
          <w:szCs w:val="24"/>
        </w:rPr>
      </w:pPr>
      <w:proofErr w:type="spellStart"/>
      <w:r w:rsidRPr="003031E6">
        <w:rPr>
          <w:rFonts w:ascii="Times New Roman" w:hAnsi="Times New Roman" w:cs="Times New Roman"/>
          <w:sz w:val="24"/>
          <w:szCs w:val="24"/>
        </w:rPr>
        <w:t>Zervoudi</w:t>
      </w:r>
      <w:proofErr w:type="spellEnd"/>
      <w:r w:rsidRPr="003031E6">
        <w:rPr>
          <w:rFonts w:ascii="Times New Roman" w:hAnsi="Times New Roman" w:cs="Times New Roman"/>
          <w:sz w:val="24"/>
          <w:szCs w:val="24"/>
        </w:rPr>
        <w:t xml:space="preserve">, E.K., </w:t>
      </w:r>
      <w:proofErr w:type="spellStart"/>
      <w:r w:rsidRPr="003031E6">
        <w:rPr>
          <w:rFonts w:ascii="Times New Roman" w:hAnsi="Times New Roman" w:cs="Times New Roman"/>
          <w:sz w:val="24"/>
          <w:szCs w:val="24"/>
        </w:rPr>
        <w:t>Karavasileiadou</w:t>
      </w:r>
      <w:proofErr w:type="spellEnd"/>
      <w:r w:rsidRPr="003031E6">
        <w:rPr>
          <w:rFonts w:ascii="Times New Roman" w:hAnsi="Times New Roman" w:cs="Times New Roman"/>
          <w:sz w:val="24"/>
          <w:szCs w:val="24"/>
        </w:rPr>
        <w:t xml:space="preserve">, S. and Sakas, D.P. (2025) 'Sustainability marketing and its effect on consumer </w:t>
      </w:r>
      <w:proofErr w:type="spellStart"/>
      <w:r w:rsidRPr="003031E6">
        <w:rPr>
          <w:rFonts w:ascii="Times New Roman" w:hAnsi="Times New Roman" w:cs="Times New Roman"/>
          <w:sz w:val="24"/>
          <w:szCs w:val="24"/>
        </w:rPr>
        <w:t>behavior</w:t>
      </w:r>
      <w:proofErr w:type="spellEnd"/>
      <w:r w:rsidRPr="003031E6">
        <w:rPr>
          <w:rFonts w:ascii="Times New Roman" w:hAnsi="Times New Roman" w:cs="Times New Roman"/>
          <w:sz w:val="24"/>
          <w:szCs w:val="24"/>
        </w:rPr>
        <w:t xml:space="preserve">', </w:t>
      </w:r>
      <w:r w:rsidRPr="003031E6">
        <w:rPr>
          <w:rFonts w:ascii="Times New Roman" w:hAnsi="Times New Roman" w:cs="Times New Roman"/>
          <w:i/>
          <w:iCs/>
          <w:sz w:val="24"/>
          <w:szCs w:val="24"/>
        </w:rPr>
        <w:t>Sustainability</w:t>
      </w:r>
      <w:r w:rsidRPr="003031E6">
        <w:rPr>
          <w:rFonts w:ascii="Times New Roman" w:hAnsi="Times New Roman" w:cs="Times New Roman"/>
          <w:sz w:val="24"/>
          <w:szCs w:val="24"/>
        </w:rPr>
        <w:t>, 17(1), 123.</w:t>
      </w:r>
    </w:p>
    <w:p w14:paraId="61A65535" w14:textId="77777777" w:rsidR="005433A3" w:rsidRPr="003031E6" w:rsidRDefault="005433A3" w:rsidP="003031E6">
      <w:pPr>
        <w:spacing w:after="0" w:line="480" w:lineRule="auto"/>
        <w:rPr>
          <w:rFonts w:ascii="Times New Roman" w:hAnsi="Times New Roman" w:cs="Times New Roman"/>
          <w:sz w:val="24"/>
          <w:szCs w:val="24"/>
        </w:rPr>
      </w:pPr>
    </w:p>
    <w:sectPr w:rsidR="005433A3" w:rsidRPr="003031E6" w:rsidSect="00636BE4">
      <w:head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962D1" w14:textId="77777777" w:rsidR="00A33B98" w:rsidRDefault="00A33B98" w:rsidP="00BA36C0">
      <w:pPr>
        <w:spacing w:after="0" w:line="240" w:lineRule="auto"/>
      </w:pPr>
      <w:r>
        <w:separator/>
      </w:r>
    </w:p>
  </w:endnote>
  <w:endnote w:type="continuationSeparator" w:id="0">
    <w:p w14:paraId="69C8720A" w14:textId="77777777" w:rsidR="00A33B98" w:rsidRDefault="00A33B98" w:rsidP="00BA3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979E" w14:textId="77777777" w:rsidR="00A33B98" w:rsidRDefault="00A33B98" w:rsidP="00BA36C0">
      <w:pPr>
        <w:spacing w:after="0" w:line="240" w:lineRule="auto"/>
      </w:pPr>
      <w:r>
        <w:separator/>
      </w:r>
    </w:p>
  </w:footnote>
  <w:footnote w:type="continuationSeparator" w:id="0">
    <w:p w14:paraId="78E3FCE5" w14:textId="77777777" w:rsidR="00A33B98" w:rsidRDefault="00A33B98" w:rsidP="00BA36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764762216"/>
      <w:docPartObj>
        <w:docPartGallery w:val="Page Numbers (Top of Page)"/>
        <w:docPartUnique/>
      </w:docPartObj>
    </w:sdtPr>
    <w:sdtEndPr>
      <w:rPr>
        <w:noProof/>
      </w:rPr>
    </w:sdtEndPr>
    <w:sdtContent>
      <w:p w14:paraId="14E7A53F" w14:textId="4732EBA7" w:rsidR="00BA36C0" w:rsidRPr="00BA36C0" w:rsidRDefault="00BA36C0">
        <w:pPr>
          <w:pStyle w:val="Header"/>
          <w:jc w:val="right"/>
          <w:rPr>
            <w:rFonts w:ascii="Times New Roman" w:hAnsi="Times New Roman" w:cs="Times New Roman"/>
            <w:sz w:val="24"/>
            <w:szCs w:val="24"/>
          </w:rPr>
        </w:pPr>
        <w:r w:rsidRPr="00BA36C0">
          <w:rPr>
            <w:rFonts w:ascii="Times New Roman" w:hAnsi="Times New Roman" w:cs="Times New Roman"/>
            <w:sz w:val="24"/>
            <w:szCs w:val="24"/>
          </w:rPr>
          <w:fldChar w:fldCharType="begin"/>
        </w:r>
        <w:r w:rsidRPr="00BA36C0">
          <w:rPr>
            <w:rFonts w:ascii="Times New Roman" w:hAnsi="Times New Roman" w:cs="Times New Roman"/>
            <w:sz w:val="24"/>
            <w:szCs w:val="24"/>
          </w:rPr>
          <w:instrText xml:space="preserve"> PAGE   \* MERGEFORMAT </w:instrText>
        </w:r>
        <w:r w:rsidRPr="00BA36C0">
          <w:rPr>
            <w:rFonts w:ascii="Times New Roman" w:hAnsi="Times New Roman" w:cs="Times New Roman"/>
            <w:sz w:val="24"/>
            <w:szCs w:val="24"/>
          </w:rPr>
          <w:fldChar w:fldCharType="separate"/>
        </w:r>
        <w:r w:rsidRPr="00BA36C0">
          <w:rPr>
            <w:rFonts w:ascii="Times New Roman" w:hAnsi="Times New Roman" w:cs="Times New Roman"/>
            <w:noProof/>
            <w:sz w:val="24"/>
            <w:szCs w:val="24"/>
          </w:rPr>
          <w:t>2</w:t>
        </w:r>
        <w:r w:rsidRPr="00BA36C0">
          <w:rPr>
            <w:rFonts w:ascii="Times New Roman" w:hAnsi="Times New Roman" w:cs="Times New Roman"/>
            <w:noProof/>
            <w:sz w:val="24"/>
            <w:szCs w:val="24"/>
          </w:rPr>
          <w:fldChar w:fldCharType="end"/>
        </w:r>
      </w:p>
    </w:sdtContent>
  </w:sdt>
  <w:p w14:paraId="7AAD1DF9" w14:textId="77777777" w:rsidR="00BA36C0" w:rsidRPr="00BA36C0" w:rsidRDefault="00BA36C0">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A5F2E"/>
    <w:multiLevelType w:val="hybridMultilevel"/>
    <w:tmpl w:val="88884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3650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180"/>
    <w:rsid w:val="002350C0"/>
    <w:rsid w:val="003031E6"/>
    <w:rsid w:val="00427227"/>
    <w:rsid w:val="005433A3"/>
    <w:rsid w:val="00587E90"/>
    <w:rsid w:val="006163E9"/>
    <w:rsid w:val="00636BE4"/>
    <w:rsid w:val="006879DF"/>
    <w:rsid w:val="007A0EFE"/>
    <w:rsid w:val="008A7180"/>
    <w:rsid w:val="009D0250"/>
    <w:rsid w:val="00A33B98"/>
    <w:rsid w:val="00BA36C0"/>
    <w:rsid w:val="00BB652B"/>
    <w:rsid w:val="00C41CA4"/>
    <w:rsid w:val="00C84D8F"/>
    <w:rsid w:val="00CF38A4"/>
    <w:rsid w:val="00D624AD"/>
    <w:rsid w:val="00E06244"/>
    <w:rsid w:val="00FB55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9C808"/>
  <w15:chartTrackingRefBased/>
  <w15:docId w15:val="{59B84D75-207B-4AEC-AFB4-4810DC411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6C0"/>
    <w:pPr>
      <w:keepNext/>
      <w:keepLines/>
      <w:spacing w:before="360" w:after="80"/>
      <w:jc w:val="center"/>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autoRedefine/>
    <w:uiPriority w:val="9"/>
    <w:unhideWhenUsed/>
    <w:qFormat/>
    <w:rsid w:val="00BA36C0"/>
    <w:pPr>
      <w:keepNext/>
      <w:keepLines/>
      <w:spacing w:after="0" w:line="480" w:lineRule="auto"/>
      <w:outlineLvl w:val="1"/>
    </w:pPr>
    <w:rPr>
      <w:rFonts w:ascii="Times New Roman" w:eastAsiaTheme="majorEastAsia" w:hAnsi="Times New Roman" w:cs="Times New Roman"/>
      <w:b/>
      <w:color w:val="000000" w:themeColor="text1"/>
      <w:sz w:val="28"/>
      <w:szCs w:val="28"/>
    </w:rPr>
  </w:style>
  <w:style w:type="paragraph" w:styleId="Heading3">
    <w:name w:val="heading 3"/>
    <w:basedOn w:val="Normal"/>
    <w:next w:val="Normal"/>
    <w:link w:val="Heading3Char"/>
    <w:uiPriority w:val="9"/>
    <w:semiHidden/>
    <w:unhideWhenUsed/>
    <w:qFormat/>
    <w:rsid w:val="008A71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71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71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71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1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1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1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6C0"/>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BA36C0"/>
    <w:rPr>
      <w:rFonts w:ascii="Times New Roman" w:eastAsiaTheme="majorEastAsia" w:hAnsi="Times New Roman" w:cs="Times New Roman"/>
      <w:b/>
      <w:color w:val="000000" w:themeColor="text1"/>
      <w:sz w:val="28"/>
      <w:szCs w:val="28"/>
    </w:rPr>
  </w:style>
  <w:style w:type="character" w:customStyle="1" w:styleId="Heading3Char">
    <w:name w:val="Heading 3 Char"/>
    <w:basedOn w:val="DefaultParagraphFont"/>
    <w:link w:val="Heading3"/>
    <w:uiPriority w:val="9"/>
    <w:semiHidden/>
    <w:rsid w:val="008A71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71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71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71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1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1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180"/>
    <w:rPr>
      <w:rFonts w:eastAsiaTheme="majorEastAsia" w:cstheme="majorBidi"/>
      <w:color w:val="272727" w:themeColor="text1" w:themeTint="D8"/>
    </w:rPr>
  </w:style>
  <w:style w:type="paragraph" w:styleId="Title">
    <w:name w:val="Title"/>
    <w:basedOn w:val="Normal"/>
    <w:next w:val="Normal"/>
    <w:link w:val="TitleChar"/>
    <w:uiPriority w:val="10"/>
    <w:qFormat/>
    <w:rsid w:val="008A7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1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180"/>
    <w:pPr>
      <w:spacing w:before="160"/>
      <w:jc w:val="center"/>
    </w:pPr>
    <w:rPr>
      <w:i/>
      <w:iCs/>
      <w:color w:val="404040" w:themeColor="text1" w:themeTint="BF"/>
    </w:rPr>
  </w:style>
  <w:style w:type="character" w:customStyle="1" w:styleId="QuoteChar">
    <w:name w:val="Quote Char"/>
    <w:basedOn w:val="DefaultParagraphFont"/>
    <w:link w:val="Quote"/>
    <w:uiPriority w:val="29"/>
    <w:rsid w:val="008A7180"/>
    <w:rPr>
      <w:i/>
      <w:iCs/>
      <w:color w:val="404040" w:themeColor="text1" w:themeTint="BF"/>
    </w:rPr>
  </w:style>
  <w:style w:type="paragraph" w:styleId="ListParagraph">
    <w:name w:val="List Paragraph"/>
    <w:basedOn w:val="Normal"/>
    <w:uiPriority w:val="34"/>
    <w:qFormat/>
    <w:rsid w:val="008A7180"/>
    <w:pPr>
      <w:ind w:left="720"/>
      <w:contextualSpacing/>
    </w:pPr>
  </w:style>
  <w:style w:type="character" w:styleId="IntenseEmphasis">
    <w:name w:val="Intense Emphasis"/>
    <w:basedOn w:val="DefaultParagraphFont"/>
    <w:uiPriority w:val="21"/>
    <w:qFormat/>
    <w:rsid w:val="008A7180"/>
    <w:rPr>
      <w:i/>
      <w:iCs/>
      <w:color w:val="2F5496" w:themeColor="accent1" w:themeShade="BF"/>
    </w:rPr>
  </w:style>
  <w:style w:type="paragraph" w:styleId="IntenseQuote">
    <w:name w:val="Intense Quote"/>
    <w:basedOn w:val="Normal"/>
    <w:next w:val="Normal"/>
    <w:link w:val="IntenseQuoteChar"/>
    <w:uiPriority w:val="30"/>
    <w:qFormat/>
    <w:rsid w:val="008A71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7180"/>
    <w:rPr>
      <w:i/>
      <w:iCs/>
      <w:color w:val="2F5496" w:themeColor="accent1" w:themeShade="BF"/>
    </w:rPr>
  </w:style>
  <w:style w:type="character" w:styleId="IntenseReference">
    <w:name w:val="Intense Reference"/>
    <w:basedOn w:val="DefaultParagraphFont"/>
    <w:uiPriority w:val="32"/>
    <w:qFormat/>
    <w:rsid w:val="008A7180"/>
    <w:rPr>
      <w:b/>
      <w:bCs/>
      <w:smallCaps/>
      <w:color w:val="2F5496" w:themeColor="accent1" w:themeShade="BF"/>
      <w:spacing w:val="5"/>
    </w:rPr>
  </w:style>
  <w:style w:type="character" w:styleId="Hyperlink">
    <w:name w:val="Hyperlink"/>
    <w:basedOn w:val="DefaultParagraphFont"/>
    <w:uiPriority w:val="99"/>
    <w:unhideWhenUsed/>
    <w:rsid w:val="008A7180"/>
    <w:rPr>
      <w:color w:val="0563C1" w:themeColor="hyperlink"/>
      <w:u w:val="single"/>
    </w:rPr>
  </w:style>
  <w:style w:type="character" w:styleId="UnresolvedMention">
    <w:name w:val="Unresolved Mention"/>
    <w:basedOn w:val="DefaultParagraphFont"/>
    <w:uiPriority w:val="99"/>
    <w:semiHidden/>
    <w:unhideWhenUsed/>
    <w:rsid w:val="008A7180"/>
    <w:rPr>
      <w:color w:val="605E5C"/>
      <w:shd w:val="clear" w:color="auto" w:fill="E1DFDD"/>
    </w:rPr>
  </w:style>
  <w:style w:type="table" w:styleId="TableGrid">
    <w:name w:val="Table Grid"/>
    <w:basedOn w:val="TableNormal"/>
    <w:uiPriority w:val="39"/>
    <w:rsid w:val="007A0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36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6C0"/>
  </w:style>
  <w:style w:type="paragraph" w:styleId="Footer">
    <w:name w:val="footer"/>
    <w:basedOn w:val="Normal"/>
    <w:link w:val="FooterChar"/>
    <w:uiPriority w:val="99"/>
    <w:unhideWhenUsed/>
    <w:rsid w:val="00BA36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6C0"/>
  </w:style>
  <w:style w:type="paragraph" w:styleId="TOCHeading">
    <w:name w:val="TOC Heading"/>
    <w:basedOn w:val="Heading1"/>
    <w:next w:val="Normal"/>
    <w:uiPriority w:val="39"/>
    <w:unhideWhenUsed/>
    <w:qFormat/>
    <w:rsid w:val="003031E6"/>
    <w:pPr>
      <w:spacing w:before="240" w:after="0"/>
      <w:jc w:val="left"/>
      <w:outlineLvl w:val="9"/>
    </w:pPr>
    <w:rPr>
      <w:rFonts w:asciiTheme="majorHAnsi" w:hAnsiTheme="majorHAnsi"/>
      <w:b w:val="0"/>
      <w:color w:val="2F5496" w:themeColor="accent1" w:themeShade="BF"/>
      <w:szCs w:val="32"/>
      <w:lang w:val="en-US"/>
      <w14:ligatures w14:val="none"/>
    </w:rPr>
  </w:style>
  <w:style w:type="paragraph" w:styleId="TOC1">
    <w:name w:val="toc 1"/>
    <w:basedOn w:val="Normal"/>
    <w:next w:val="Normal"/>
    <w:autoRedefine/>
    <w:uiPriority w:val="39"/>
    <w:unhideWhenUsed/>
    <w:rsid w:val="003031E6"/>
    <w:pPr>
      <w:spacing w:after="100"/>
    </w:pPr>
  </w:style>
  <w:style w:type="paragraph" w:styleId="TOC2">
    <w:name w:val="toc 2"/>
    <w:basedOn w:val="Normal"/>
    <w:next w:val="Normal"/>
    <w:autoRedefine/>
    <w:uiPriority w:val="39"/>
    <w:unhideWhenUsed/>
    <w:rsid w:val="003031E6"/>
    <w:pPr>
      <w:spacing w:after="100"/>
      <w:ind w:left="220"/>
    </w:pPr>
  </w:style>
  <w:style w:type="paragraph" w:styleId="NoSpacing">
    <w:name w:val="No Spacing"/>
    <w:link w:val="NoSpacingChar"/>
    <w:uiPriority w:val="1"/>
    <w:qFormat/>
    <w:rsid w:val="00636BE4"/>
    <w:pPr>
      <w:spacing w:after="0" w:line="240" w:lineRule="auto"/>
    </w:pPr>
    <w:rPr>
      <w:rFonts w:eastAsiaTheme="minorEastAsia"/>
      <w:lang w:val="en-US" w:eastAsia="zh-CN"/>
      <w14:ligatures w14:val="none"/>
    </w:rPr>
  </w:style>
  <w:style w:type="character" w:customStyle="1" w:styleId="NoSpacingChar">
    <w:name w:val="No Spacing Char"/>
    <w:basedOn w:val="DefaultParagraphFont"/>
    <w:link w:val="NoSpacing"/>
    <w:uiPriority w:val="1"/>
    <w:rsid w:val="00636BE4"/>
    <w:rPr>
      <w:rFonts w:eastAsiaTheme="minorEastAsia"/>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industries/consumer-packaged-goods/our-insights/consumers-care-about-sustainability-and-back-it-up-with-their-wallets" TargetMode="External"/><Relationship Id="rId13" Type="http://schemas.openxmlformats.org/officeDocument/2006/relationships/hyperlink" Target="https://www.lexology.com/library/detail.aspx?g=environmental-claim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stainabilityinstitute.org/best-practices" TargetMode="External"/><Relationship Id="rId17" Type="http://schemas.openxmlformats.org/officeDocument/2006/relationships/hyperlink" Target="https://www.coca-colacompany.com/sustainability/world-without-waste" TargetMode="External"/><Relationship Id="rId2" Type="http://schemas.openxmlformats.org/officeDocument/2006/relationships/numbering" Target="numbering.xml"/><Relationship Id="rId16" Type="http://schemas.openxmlformats.org/officeDocument/2006/relationships/hyperlink" Target="https://www.rankred.com/coca-cola-marketing-strateg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gdive.com/news/coca-cola-greenwashing-lawsuit-plastic-pollution/725931/" TargetMode="External"/><Relationship Id="rId5" Type="http://schemas.openxmlformats.org/officeDocument/2006/relationships/webSettings" Target="webSettings.xml"/><Relationship Id="rId15" Type="http://schemas.openxmlformats.org/officeDocument/2006/relationships/hyperlink" Target="https://www.plasticpollutioncoalition.org/blog/2024/9/4/coca-cola-greenwashing-lawsuit" TargetMode="External"/><Relationship Id="rId10" Type="http://schemas.openxmlformats.org/officeDocument/2006/relationships/hyperlink" Target="https://www.earthisland.org/advocates/suit/coca-cola-plasti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s.bloomberglaw.com/environment-and-energy/coca-cola-facing-greenwashing-suit-over-plastic-pollution" TargetMode="External"/><Relationship Id="rId14" Type="http://schemas.openxmlformats.org/officeDocument/2006/relationships/hyperlink" Target="https://oceana.org/wp-content/uploads/sites/18/2025/03/Coca-Colas-World-With-Waste-Oceana-Report-2025_reduced-size-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C11EE-8AE7-4924-9488-E4ABC0058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27</Pages>
  <Words>6376</Words>
  <Characters>36347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Davood Abbasi:1707099</Company>
  <LinksUpToDate>false</LinksUpToDate>
  <CharactersWithSpaces>42638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Marketing Change</dc:title>
  <dc:subject>Coca-Cola Marketing Strategy Evaluation- A Critical Analysis of Performance, Failures, and Future Directions</dc:subject>
  <dc:creator>User</dc:creator>
  <cp:keywords/>
  <dc:description/>
  <cp:lastModifiedBy>Saghar Abed (1707252)</cp:lastModifiedBy>
  <cp:revision>4</cp:revision>
  <dcterms:created xsi:type="dcterms:W3CDTF">2026-01-06T13:53:00Z</dcterms:created>
  <dcterms:modified xsi:type="dcterms:W3CDTF">2026-01-06T17:25:00Z</dcterms:modified>
  <cp:category>BMMB7026_SWAN</cp:category>
</cp:coreProperties>
</file>