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D70246" w14:textId="71B86D22" w:rsidR="0033659C" w:rsidRDefault="007730E9" w:rsidP="007730E9">
      <w:pPr>
        <w:jc w:val="center"/>
        <w:rPr>
          <w:b/>
          <w:i/>
          <w:sz w:val="28"/>
          <w:szCs w:val="28"/>
          <w:u w:val="single"/>
        </w:rPr>
      </w:pPr>
      <w:r w:rsidRPr="007730E9">
        <w:rPr>
          <w:b/>
          <w:i/>
          <w:sz w:val="28"/>
          <w:szCs w:val="28"/>
          <w:u w:val="single"/>
        </w:rPr>
        <w:t>Discuss the impact of the 1867 Reform Act on the nature of politics in Britain. Has its significance been overstated by historians?</w:t>
      </w:r>
      <w:bookmarkStart w:id="0" w:name="_GoBack"/>
      <w:bookmarkEnd w:id="0"/>
    </w:p>
    <w:p w14:paraId="4B3FAD82" w14:textId="7D3D0480" w:rsidR="007730E9" w:rsidRDefault="007730E9" w:rsidP="007730E9">
      <w:pPr>
        <w:jc w:val="center"/>
        <w:rPr>
          <w:b/>
          <w:i/>
          <w:sz w:val="28"/>
          <w:szCs w:val="28"/>
          <w:u w:val="single"/>
        </w:rPr>
      </w:pPr>
    </w:p>
    <w:p w14:paraId="43E0E727" w14:textId="12D4CCF7" w:rsidR="007730E9" w:rsidRDefault="007730E9" w:rsidP="007730E9">
      <w:pPr>
        <w:rPr>
          <w:sz w:val="24"/>
          <w:szCs w:val="24"/>
        </w:rPr>
      </w:pPr>
      <w:r>
        <w:rPr>
          <w:sz w:val="24"/>
          <w:szCs w:val="24"/>
        </w:rPr>
        <w:t xml:space="preserve">In this essay I intend </w:t>
      </w:r>
      <w:r w:rsidR="004E4E59">
        <w:rPr>
          <w:sz w:val="24"/>
          <w:szCs w:val="24"/>
        </w:rPr>
        <w:t>on discussing</w:t>
      </w:r>
      <w:r>
        <w:rPr>
          <w:sz w:val="24"/>
          <w:szCs w:val="24"/>
        </w:rPr>
        <w:t xml:space="preserve"> the 1867 Reform Act, </w:t>
      </w:r>
      <w:r w:rsidR="00A50493">
        <w:rPr>
          <w:sz w:val="24"/>
          <w:szCs w:val="24"/>
        </w:rPr>
        <w:t xml:space="preserve">examining </w:t>
      </w:r>
      <w:r>
        <w:rPr>
          <w:sz w:val="24"/>
          <w:szCs w:val="24"/>
        </w:rPr>
        <w:t>what it was and what impact it had on the nature of politics in Britain</w:t>
      </w:r>
      <w:r w:rsidR="00A50493">
        <w:rPr>
          <w:sz w:val="24"/>
          <w:szCs w:val="24"/>
        </w:rPr>
        <w:t xml:space="preserve">. I will discover </w:t>
      </w:r>
      <w:r w:rsidR="000E7363">
        <w:rPr>
          <w:sz w:val="24"/>
          <w:szCs w:val="24"/>
        </w:rPr>
        <w:t xml:space="preserve">what these impacts were, who they </w:t>
      </w:r>
      <w:r w:rsidR="00A50493">
        <w:rPr>
          <w:sz w:val="24"/>
          <w:szCs w:val="24"/>
        </w:rPr>
        <w:t>a</w:t>
      </w:r>
      <w:r w:rsidR="000E7363">
        <w:rPr>
          <w:sz w:val="24"/>
          <w:szCs w:val="24"/>
        </w:rPr>
        <w:t>ffected and if they influenced future decisions</w:t>
      </w:r>
      <w:r>
        <w:rPr>
          <w:sz w:val="24"/>
          <w:szCs w:val="24"/>
        </w:rPr>
        <w:t xml:space="preserve">. I also intend on combining my research and my analysis of the </w:t>
      </w:r>
      <w:r w:rsidR="00A50493">
        <w:rPr>
          <w:sz w:val="24"/>
          <w:szCs w:val="24"/>
        </w:rPr>
        <w:t>topic</w:t>
      </w:r>
      <w:r>
        <w:rPr>
          <w:sz w:val="24"/>
          <w:szCs w:val="24"/>
        </w:rPr>
        <w:t xml:space="preserve"> to conclude on whether the significance of the act has been overstated by historians or whether it really was highly significant.</w:t>
      </w:r>
    </w:p>
    <w:p w14:paraId="28E2A866" w14:textId="3B33644C" w:rsidR="007730E9" w:rsidRDefault="007730E9" w:rsidP="007730E9">
      <w:pPr>
        <w:rPr>
          <w:sz w:val="24"/>
          <w:szCs w:val="24"/>
        </w:rPr>
      </w:pPr>
      <w:r>
        <w:rPr>
          <w:sz w:val="24"/>
          <w:szCs w:val="24"/>
        </w:rPr>
        <w:t xml:space="preserve"> </w:t>
      </w:r>
      <w:r w:rsidR="00A92C16">
        <w:rPr>
          <w:sz w:val="24"/>
          <w:szCs w:val="24"/>
        </w:rPr>
        <w:t>When considering any kind of reform, whether in matters of large or small scale in importance the one thing that one must remember is that it mean</w:t>
      </w:r>
      <w:r w:rsidR="004E4E59">
        <w:rPr>
          <w:sz w:val="24"/>
          <w:szCs w:val="24"/>
        </w:rPr>
        <w:t>s</w:t>
      </w:r>
      <w:r w:rsidR="00A92C16">
        <w:rPr>
          <w:sz w:val="24"/>
          <w:szCs w:val="24"/>
        </w:rPr>
        <w:t xml:space="preserve"> there will be some sort of change. When one considers a reform within politics, it will surely workout for better or for worse and have either </w:t>
      </w:r>
      <w:r w:rsidR="004E4E59">
        <w:rPr>
          <w:sz w:val="24"/>
          <w:szCs w:val="24"/>
        </w:rPr>
        <w:t xml:space="preserve">a </w:t>
      </w:r>
      <w:r w:rsidR="00A92C16">
        <w:rPr>
          <w:sz w:val="24"/>
          <w:szCs w:val="24"/>
        </w:rPr>
        <w:t>very big or</w:t>
      </w:r>
      <w:r w:rsidR="004E4E59">
        <w:rPr>
          <w:sz w:val="24"/>
          <w:szCs w:val="24"/>
        </w:rPr>
        <w:t xml:space="preserve"> a</w:t>
      </w:r>
      <w:r w:rsidR="00A92C16">
        <w:rPr>
          <w:sz w:val="24"/>
          <w:szCs w:val="24"/>
        </w:rPr>
        <w:t xml:space="preserve"> very little effect</w:t>
      </w:r>
      <w:r w:rsidR="0054280F">
        <w:rPr>
          <w:sz w:val="24"/>
          <w:szCs w:val="24"/>
        </w:rPr>
        <w:t>.</w:t>
      </w:r>
      <w:r w:rsidR="00726894">
        <w:rPr>
          <w:sz w:val="24"/>
          <w:szCs w:val="24"/>
        </w:rPr>
        <w:t xml:space="preserve">  John K. Walton says in his book </w:t>
      </w:r>
      <w:r w:rsidR="00726894" w:rsidRPr="00726894">
        <w:rPr>
          <w:i/>
          <w:sz w:val="24"/>
          <w:szCs w:val="24"/>
        </w:rPr>
        <w:t>The Second Reform Act</w:t>
      </w:r>
      <w:r w:rsidR="00726894">
        <w:rPr>
          <w:i/>
          <w:sz w:val="24"/>
          <w:szCs w:val="24"/>
        </w:rPr>
        <w:t xml:space="preserve"> </w:t>
      </w:r>
      <w:r w:rsidR="00726894">
        <w:rPr>
          <w:sz w:val="24"/>
          <w:szCs w:val="24"/>
        </w:rPr>
        <w:t>that the 1867 Reform Act was a controversial matter</w:t>
      </w:r>
      <w:r w:rsidR="00DE63B5">
        <w:rPr>
          <w:sz w:val="24"/>
          <w:szCs w:val="24"/>
        </w:rPr>
        <w:t xml:space="preserve"> at the time and in his opinion, it has remained a controversial subject ever since. Whether or not this is true I intend on finding out. </w:t>
      </w:r>
      <w:r w:rsidR="00B41588">
        <w:rPr>
          <w:sz w:val="24"/>
          <w:szCs w:val="24"/>
        </w:rPr>
        <w:t xml:space="preserve">C. N. Truman in an article on the </w:t>
      </w:r>
      <w:r w:rsidR="00B41588" w:rsidRPr="00DF4FBA">
        <w:rPr>
          <w:i/>
          <w:sz w:val="24"/>
          <w:szCs w:val="24"/>
        </w:rPr>
        <w:t>history learning</w:t>
      </w:r>
      <w:r w:rsidR="00B41588">
        <w:rPr>
          <w:sz w:val="24"/>
          <w:szCs w:val="24"/>
        </w:rPr>
        <w:t xml:space="preserve"> website suggests that the whole thing came about because of a conflict between Benjamin Disraeli and William Gladstone. That aside, o</w:t>
      </w:r>
      <w:r w:rsidR="00DE63B5">
        <w:rPr>
          <w:sz w:val="24"/>
          <w:szCs w:val="24"/>
        </w:rPr>
        <w:t xml:space="preserve">ne thing that it does seem to have brought is change to the </w:t>
      </w:r>
      <w:r w:rsidR="00DF4FBA">
        <w:rPr>
          <w:sz w:val="24"/>
          <w:szCs w:val="24"/>
        </w:rPr>
        <w:t>country, although</w:t>
      </w:r>
      <w:r w:rsidR="00DE63B5">
        <w:rPr>
          <w:sz w:val="24"/>
          <w:szCs w:val="24"/>
        </w:rPr>
        <w:t xml:space="preserve"> it was not the first reform act that took place in Britain, the first one took </w:t>
      </w:r>
      <w:r w:rsidR="00DF4FBA">
        <w:rPr>
          <w:sz w:val="24"/>
          <w:szCs w:val="24"/>
        </w:rPr>
        <w:t>place in the year 1832 as C.N. Truman</w:t>
      </w:r>
      <w:r w:rsidR="00B41588">
        <w:rPr>
          <w:sz w:val="24"/>
          <w:szCs w:val="24"/>
        </w:rPr>
        <w:t xml:space="preserve"> also tells us</w:t>
      </w:r>
      <w:r w:rsidR="00DF4FBA">
        <w:rPr>
          <w:sz w:val="24"/>
          <w:szCs w:val="24"/>
        </w:rPr>
        <w:t xml:space="preserve">. </w:t>
      </w:r>
      <w:r w:rsidR="004D56C8">
        <w:rPr>
          <w:sz w:val="24"/>
          <w:szCs w:val="24"/>
        </w:rPr>
        <w:t>The outcome of th</w:t>
      </w:r>
      <w:r w:rsidR="00B41588">
        <w:rPr>
          <w:sz w:val="24"/>
          <w:szCs w:val="24"/>
        </w:rPr>
        <w:t>e 1867 reform act was much more effective</w:t>
      </w:r>
      <w:r w:rsidR="004D56C8">
        <w:rPr>
          <w:sz w:val="24"/>
          <w:szCs w:val="24"/>
        </w:rPr>
        <w:t xml:space="preserve"> according to Truman an</w:t>
      </w:r>
      <w:r w:rsidR="00B41588">
        <w:rPr>
          <w:sz w:val="24"/>
          <w:szCs w:val="24"/>
        </w:rPr>
        <w:t>d resulted in the</w:t>
      </w:r>
      <w:r w:rsidR="004D56C8">
        <w:rPr>
          <w:sz w:val="24"/>
          <w:szCs w:val="24"/>
        </w:rPr>
        <w:t xml:space="preserve"> increase </w:t>
      </w:r>
      <w:r w:rsidR="00B41588">
        <w:rPr>
          <w:sz w:val="24"/>
          <w:szCs w:val="24"/>
        </w:rPr>
        <w:t>of</w:t>
      </w:r>
      <w:r w:rsidR="004D56C8">
        <w:rPr>
          <w:sz w:val="24"/>
          <w:szCs w:val="24"/>
        </w:rPr>
        <w:t xml:space="preserve"> electorates, meaning the number of people that would be able to vote during an election. </w:t>
      </w:r>
      <w:r w:rsidR="00EE17FB">
        <w:rPr>
          <w:sz w:val="24"/>
          <w:szCs w:val="24"/>
        </w:rPr>
        <w:t xml:space="preserve">The vote was now extended to the working class as John D. Turner and </w:t>
      </w:r>
      <w:proofErr w:type="spellStart"/>
      <w:r w:rsidR="00EE17FB">
        <w:rPr>
          <w:sz w:val="24"/>
          <w:szCs w:val="24"/>
        </w:rPr>
        <w:t>Wenwen</w:t>
      </w:r>
      <w:proofErr w:type="spellEnd"/>
      <w:r w:rsidR="00EE17FB">
        <w:rPr>
          <w:sz w:val="24"/>
          <w:szCs w:val="24"/>
        </w:rPr>
        <w:t xml:space="preserve"> Zhan tell us in a journal article that I read online it </w:t>
      </w:r>
      <w:r w:rsidR="00EE17FB" w:rsidRPr="00EE17FB">
        <w:rPr>
          <w:b/>
          <w:sz w:val="24"/>
          <w:szCs w:val="24"/>
        </w:rPr>
        <w:t>“extended the franchise in Britain to the urban and skilled working class”</w:t>
      </w:r>
      <w:r w:rsidR="00EE17FB">
        <w:rPr>
          <w:rStyle w:val="FootnoteReference"/>
          <w:b/>
          <w:sz w:val="24"/>
          <w:szCs w:val="24"/>
        </w:rPr>
        <w:footnoteReference w:id="1"/>
      </w:r>
      <w:r w:rsidR="00EE17FB">
        <w:rPr>
          <w:sz w:val="24"/>
          <w:szCs w:val="24"/>
        </w:rPr>
        <w:t>.</w:t>
      </w:r>
      <w:r w:rsidR="004D56C8">
        <w:rPr>
          <w:sz w:val="24"/>
          <w:szCs w:val="24"/>
        </w:rPr>
        <w:t>This would have had a huge impact on the countr</w:t>
      </w:r>
      <w:r w:rsidR="004E4E59">
        <w:rPr>
          <w:sz w:val="24"/>
          <w:szCs w:val="24"/>
        </w:rPr>
        <w:t>y’s</w:t>
      </w:r>
      <w:r w:rsidR="004D56C8">
        <w:rPr>
          <w:sz w:val="24"/>
          <w:szCs w:val="24"/>
        </w:rPr>
        <w:t xml:space="preserve"> politics and particularly the politicians</w:t>
      </w:r>
      <w:r w:rsidR="004E4E59">
        <w:rPr>
          <w:sz w:val="24"/>
          <w:szCs w:val="24"/>
        </w:rPr>
        <w:t>, what it would also</w:t>
      </w:r>
      <w:r w:rsidR="00E54E48">
        <w:rPr>
          <w:sz w:val="24"/>
          <w:szCs w:val="24"/>
        </w:rPr>
        <w:t xml:space="preserve"> mean</w:t>
      </w:r>
      <w:r w:rsidR="004E4E59">
        <w:rPr>
          <w:sz w:val="24"/>
          <w:szCs w:val="24"/>
        </w:rPr>
        <w:t xml:space="preserve"> is</w:t>
      </w:r>
      <w:r w:rsidR="00E54E48">
        <w:rPr>
          <w:sz w:val="24"/>
          <w:szCs w:val="24"/>
        </w:rPr>
        <w:t xml:space="preserve"> a better representation for the people</w:t>
      </w:r>
      <w:r w:rsidR="004D56C8">
        <w:rPr>
          <w:sz w:val="24"/>
          <w:szCs w:val="24"/>
        </w:rPr>
        <w:t>. Firstly</w:t>
      </w:r>
      <w:r w:rsidR="00C86772">
        <w:rPr>
          <w:sz w:val="24"/>
          <w:szCs w:val="24"/>
        </w:rPr>
        <w:t>,</w:t>
      </w:r>
      <w:r w:rsidR="004D56C8">
        <w:rPr>
          <w:sz w:val="24"/>
          <w:szCs w:val="24"/>
        </w:rPr>
        <w:t xml:space="preserve"> the increase in </w:t>
      </w:r>
      <w:r w:rsidR="00C86772">
        <w:rPr>
          <w:sz w:val="24"/>
          <w:szCs w:val="24"/>
        </w:rPr>
        <w:t xml:space="preserve">electorates would mean that there </w:t>
      </w:r>
      <w:r w:rsidR="00BE6360">
        <w:rPr>
          <w:sz w:val="24"/>
          <w:szCs w:val="24"/>
        </w:rPr>
        <w:t xml:space="preserve">was a greater </w:t>
      </w:r>
      <w:r w:rsidR="004E4E59">
        <w:rPr>
          <w:sz w:val="24"/>
          <w:szCs w:val="24"/>
        </w:rPr>
        <w:t>number</w:t>
      </w:r>
      <w:r w:rsidR="00BE6360">
        <w:rPr>
          <w:sz w:val="24"/>
          <w:szCs w:val="24"/>
        </w:rPr>
        <w:t xml:space="preserve"> of</w:t>
      </w:r>
      <w:r w:rsidR="00C86772">
        <w:rPr>
          <w:sz w:val="24"/>
          <w:szCs w:val="24"/>
        </w:rPr>
        <w:t xml:space="preserve"> voters to consider, they needed to be much more in touch with the countr</w:t>
      </w:r>
      <w:r w:rsidR="004E4E59">
        <w:rPr>
          <w:sz w:val="24"/>
          <w:szCs w:val="24"/>
        </w:rPr>
        <w:t>y’s</w:t>
      </w:r>
      <w:r w:rsidR="00C86772">
        <w:rPr>
          <w:sz w:val="24"/>
          <w:szCs w:val="24"/>
        </w:rPr>
        <w:t xml:space="preserve"> people and what the people wanted. </w:t>
      </w:r>
      <w:r w:rsidR="00B5657F">
        <w:rPr>
          <w:sz w:val="24"/>
          <w:szCs w:val="24"/>
        </w:rPr>
        <w:t>A</w:t>
      </w:r>
      <w:r w:rsidR="004E4E59">
        <w:rPr>
          <w:sz w:val="24"/>
          <w:szCs w:val="24"/>
        </w:rPr>
        <w:t>nd t</w:t>
      </w:r>
      <w:r w:rsidR="00B5657F">
        <w:rPr>
          <w:sz w:val="24"/>
          <w:szCs w:val="24"/>
        </w:rPr>
        <w:t xml:space="preserve">here is evidence to support this in the book </w:t>
      </w:r>
      <w:r w:rsidR="00B5657F" w:rsidRPr="00B5657F">
        <w:rPr>
          <w:i/>
          <w:sz w:val="24"/>
          <w:szCs w:val="24"/>
        </w:rPr>
        <w:t>Democracy and the Vote in British Politics, 1848-1867</w:t>
      </w:r>
      <w:r w:rsidR="00B5657F">
        <w:rPr>
          <w:sz w:val="24"/>
          <w:szCs w:val="24"/>
        </w:rPr>
        <w:t xml:space="preserve"> by Robert Saunders, he believes that there was a change between government and people relations and a change in </w:t>
      </w:r>
      <w:r w:rsidR="00D04167">
        <w:rPr>
          <w:sz w:val="24"/>
          <w:szCs w:val="24"/>
        </w:rPr>
        <w:t>“</w:t>
      </w:r>
      <w:r w:rsidR="00B5657F" w:rsidRPr="00D04167">
        <w:rPr>
          <w:b/>
          <w:sz w:val="24"/>
          <w:szCs w:val="24"/>
        </w:rPr>
        <w:t>democratic poli</w:t>
      </w:r>
      <w:r w:rsidR="00D04167" w:rsidRPr="00D04167">
        <w:rPr>
          <w:b/>
          <w:sz w:val="24"/>
          <w:szCs w:val="24"/>
        </w:rPr>
        <w:t>ti</w:t>
      </w:r>
      <w:r w:rsidR="00B5657F" w:rsidRPr="00D04167">
        <w:rPr>
          <w:b/>
          <w:sz w:val="24"/>
          <w:szCs w:val="24"/>
        </w:rPr>
        <w:t>cs</w:t>
      </w:r>
      <w:r w:rsidR="00D04167">
        <w:rPr>
          <w:b/>
          <w:sz w:val="24"/>
          <w:szCs w:val="24"/>
        </w:rPr>
        <w:t>”</w:t>
      </w:r>
      <w:r w:rsidR="00D04167">
        <w:rPr>
          <w:rStyle w:val="FootnoteReference"/>
          <w:b/>
          <w:sz w:val="24"/>
          <w:szCs w:val="24"/>
        </w:rPr>
        <w:footnoteReference w:id="2"/>
      </w:r>
      <w:r w:rsidR="00B5657F">
        <w:rPr>
          <w:sz w:val="24"/>
          <w:szCs w:val="24"/>
        </w:rPr>
        <w:t>.</w:t>
      </w:r>
      <w:r w:rsidR="00D04167">
        <w:rPr>
          <w:sz w:val="24"/>
          <w:szCs w:val="24"/>
        </w:rPr>
        <w:t xml:space="preserve"> The way he puts it in his book is, </w:t>
      </w:r>
      <w:r w:rsidR="00D04167" w:rsidRPr="00D04167">
        <w:rPr>
          <w:b/>
          <w:sz w:val="24"/>
          <w:szCs w:val="24"/>
        </w:rPr>
        <w:t>“For the first time in British history it created a mass, working class electorate, recasting the relationship between Parliament and the people and calling into life the institutions and practices of democratic politics”</w:t>
      </w:r>
      <w:r w:rsidR="00D04167">
        <w:rPr>
          <w:rStyle w:val="FootnoteReference"/>
          <w:b/>
          <w:sz w:val="24"/>
          <w:szCs w:val="24"/>
        </w:rPr>
        <w:footnoteReference w:id="3"/>
      </w:r>
      <w:r w:rsidR="00D04167">
        <w:rPr>
          <w:sz w:val="24"/>
          <w:szCs w:val="24"/>
        </w:rPr>
        <w:t xml:space="preserve">. </w:t>
      </w:r>
      <w:r w:rsidR="00C86772">
        <w:rPr>
          <w:sz w:val="24"/>
          <w:szCs w:val="24"/>
        </w:rPr>
        <w:t>I mean if the people were not happy there would be a possibility of conflict and uprisings against the government, one thing is for sure after reading into this area there were plenty of radical movements around in th</w:t>
      </w:r>
      <w:r w:rsidR="004E4E59">
        <w:rPr>
          <w:sz w:val="24"/>
          <w:szCs w:val="24"/>
        </w:rPr>
        <w:t>o</w:t>
      </w:r>
      <w:r w:rsidR="00C86772">
        <w:rPr>
          <w:sz w:val="24"/>
          <w:szCs w:val="24"/>
        </w:rPr>
        <w:t>se days that would cause rebellions against the government if they were not happy</w:t>
      </w:r>
      <w:r w:rsidR="004E4E59">
        <w:rPr>
          <w:sz w:val="24"/>
          <w:szCs w:val="24"/>
        </w:rPr>
        <w:t>,</w:t>
      </w:r>
      <w:r w:rsidR="00846ABC">
        <w:rPr>
          <w:sz w:val="24"/>
          <w:szCs w:val="24"/>
        </w:rPr>
        <w:t xml:space="preserve"> </w:t>
      </w:r>
      <w:r w:rsidR="00846ABC">
        <w:rPr>
          <w:sz w:val="24"/>
          <w:szCs w:val="24"/>
        </w:rPr>
        <w:lastRenderedPageBreak/>
        <w:t xml:space="preserve">they could influence the working class </w:t>
      </w:r>
      <w:r w:rsidR="004E4E59">
        <w:rPr>
          <w:sz w:val="24"/>
          <w:szCs w:val="24"/>
        </w:rPr>
        <w:t>quite</w:t>
      </w:r>
      <w:r w:rsidR="00846ABC">
        <w:rPr>
          <w:sz w:val="24"/>
          <w:szCs w:val="24"/>
        </w:rPr>
        <w:t xml:space="preserve"> easily. The second point I would like to make is the significance of increasing the number of people that had the vote in the country. I mean this was a huge change at the time and it has had knock-on effects and influenced how the country is being run today giving everyone the right to vote once they reach the age of eighteen.</w:t>
      </w:r>
      <w:r w:rsidR="004D56C8">
        <w:rPr>
          <w:sz w:val="24"/>
          <w:szCs w:val="24"/>
        </w:rPr>
        <w:t xml:space="preserve"> </w:t>
      </w:r>
    </w:p>
    <w:p w14:paraId="4D80C385" w14:textId="4EDD901D" w:rsidR="000245A9" w:rsidRDefault="00404CF7" w:rsidP="007730E9">
      <w:pPr>
        <w:rPr>
          <w:sz w:val="24"/>
          <w:szCs w:val="24"/>
        </w:rPr>
      </w:pPr>
      <w:r>
        <w:rPr>
          <w:sz w:val="24"/>
          <w:szCs w:val="24"/>
        </w:rPr>
        <w:t xml:space="preserve">Another important aspect of the 1867 reform act is the reorganization and redistribution of seats to politicians which Walton writes about in his book. As he puts it the reason for doing this is to </w:t>
      </w:r>
      <w:r w:rsidRPr="00404CF7">
        <w:rPr>
          <w:b/>
          <w:sz w:val="24"/>
          <w:szCs w:val="24"/>
        </w:rPr>
        <w:t>“build bridges to the new voters and devise ways of satisfying and accommodating them”</w:t>
      </w:r>
      <w:r w:rsidRPr="00404CF7">
        <w:rPr>
          <w:rStyle w:val="FootnoteReference"/>
          <w:b/>
          <w:sz w:val="24"/>
          <w:szCs w:val="24"/>
        </w:rPr>
        <w:footnoteReference w:id="4"/>
      </w:r>
      <w:r>
        <w:rPr>
          <w:b/>
          <w:sz w:val="24"/>
          <w:szCs w:val="24"/>
        </w:rPr>
        <w:t xml:space="preserve">, </w:t>
      </w:r>
      <w:r>
        <w:rPr>
          <w:sz w:val="24"/>
          <w:szCs w:val="24"/>
        </w:rPr>
        <w:t>this would also be significant at the time and is something that’s importance was stressed at the time, it meant that there were towns, villages, communities had a fair representation politically, no more over representation in certain places</w:t>
      </w:r>
      <w:r w:rsidR="00A871DA">
        <w:rPr>
          <w:sz w:val="24"/>
          <w:szCs w:val="24"/>
        </w:rPr>
        <w:t>.</w:t>
      </w:r>
      <w:r w:rsidR="00BF3797">
        <w:rPr>
          <w:sz w:val="24"/>
          <w:szCs w:val="24"/>
        </w:rPr>
        <w:t xml:space="preserve"> When considering the significance of </w:t>
      </w:r>
      <w:r w:rsidR="0045424D">
        <w:rPr>
          <w:sz w:val="24"/>
          <w:szCs w:val="24"/>
        </w:rPr>
        <w:t xml:space="preserve">the second reform act and the impact that it had on politics, I came across an explanation in Walton’s book which sums these up in my opinion, it is written as follows, </w:t>
      </w:r>
      <w:r w:rsidR="0045424D" w:rsidRPr="0045424D">
        <w:rPr>
          <w:b/>
          <w:sz w:val="24"/>
          <w:szCs w:val="24"/>
        </w:rPr>
        <w:t>“After 1867 significant changes took place in constitutional practice, in the working of party system, in the content of legislative programmes and above all in the nature of the relationship between politicians and the expanded electorate”</w:t>
      </w:r>
      <w:r w:rsidR="0045424D">
        <w:rPr>
          <w:rStyle w:val="FootnoteReference"/>
          <w:b/>
          <w:sz w:val="24"/>
          <w:szCs w:val="24"/>
        </w:rPr>
        <w:footnoteReference w:id="5"/>
      </w:r>
      <w:r w:rsidR="0045424D">
        <w:rPr>
          <w:sz w:val="24"/>
          <w:szCs w:val="24"/>
        </w:rPr>
        <w:t xml:space="preserve">.  Here, as I pointed out earlier the big changes </w:t>
      </w:r>
      <w:r w:rsidR="00006EC0">
        <w:rPr>
          <w:sz w:val="24"/>
          <w:szCs w:val="24"/>
        </w:rPr>
        <w:t>between the politicians and the people and the political system and the constitution, one can only imagine the impact that had on folk at that time. This impact that it brought is said to have major effects according to C.N. Truman if one were to compare the elections before the act was passed with the elections afterwards</w:t>
      </w:r>
      <w:r w:rsidR="001538F9">
        <w:rPr>
          <w:sz w:val="24"/>
          <w:szCs w:val="24"/>
        </w:rPr>
        <w:t>, the statistics that I will now include show the significant increase in the number of vote</w:t>
      </w:r>
      <w:r w:rsidR="007A0E7B">
        <w:rPr>
          <w:sz w:val="24"/>
          <w:szCs w:val="24"/>
        </w:rPr>
        <w:t>s</w:t>
      </w:r>
      <w:r w:rsidR="001538F9">
        <w:rPr>
          <w:sz w:val="24"/>
          <w:szCs w:val="24"/>
        </w:rPr>
        <w:t xml:space="preserve"> </w:t>
      </w:r>
      <w:r w:rsidR="007A0E7B">
        <w:rPr>
          <w:sz w:val="24"/>
          <w:szCs w:val="24"/>
        </w:rPr>
        <w:t xml:space="preserve">after the second reform act was passed. </w:t>
      </w:r>
      <w:r w:rsidR="007A0E7B" w:rsidRPr="005A6757">
        <w:rPr>
          <w:b/>
          <w:sz w:val="24"/>
          <w:szCs w:val="24"/>
        </w:rPr>
        <w:t>England</w:t>
      </w:r>
      <w:r w:rsidR="005B681D" w:rsidRPr="005A6757">
        <w:rPr>
          <w:b/>
          <w:sz w:val="24"/>
          <w:szCs w:val="24"/>
        </w:rPr>
        <w:t>; 1865</w:t>
      </w:r>
      <w:r w:rsidR="007A0E7B" w:rsidRPr="005A6757">
        <w:rPr>
          <w:b/>
          <w:sz w:val="24"/>
          <w:szCs w:val="24"/>
        </w:rPr>
        <w:t xml:space="preserve"> = 697,932</w:t>
      </w:r>
      <w:r w:rsidR="005B681D" w:rsidRPr="005A6757">
        <w:rPr>
          <w:b/>
          <w:sz w:val="24"/>
          <w:szCs w:val="24"/>
        </w:rPr>
        <w:t>/ 1868 = 1,996, 704, Wales; 1865</w:t>
      </w:r>
      <w:r w:rsidR="001F7790" w:rsidRPr="005A6757">
        <w:rPr>
          <w:b/>
          <w:sz w:val="24"/>
          <w:szCs w:val="24"/>
        </w:rPr>
        <w:t xml:space="preserve"> = 6,165/ 1868 = 82,122, Scotland; 1865 = 47,785/ 1868 = 149,341, Ireland; 1865 = 93,029/ 1868 =</w:t>
      </w:r>
      <w:r w:rsidR="005A6757" w:rsidRPr="005A6757">
        <w:rPr>
          <w:b/>
          <w:sz w:val="24"/>
          <w:szCs w:val="24"/>
        </w:rPr>
        <w:t xml:space="preserve"> 93,416</w:t>
      </w:r>
      <w:r w:rsidR="005A6757">
        <w:rPr>
          <w:rStyle w:val="FootnoteReference"/>
          <w:b/>
          <w:sz w:val="24"/>
          <w:szCs w:val="24"/>
        </w:rPr>
        <w:footnoteReference w:id="6"/>
      </w:r>
      <w:r w:rsidR="005A6757" w:rsidRPr="005A6757">
        <w:rPr>
          <w:b/>
          <w:sz w:val="24"/>
          <w:szCs w:val="24"/>
        </w:rPr>
        <w:t xml:space="preserve"> </w:t>
      </w:r>
      <w:r w:rsidR="005A6757">
        <w:rPr>
          <w:sz w:val="24"/>
          <w:szCs w:val="24"/>
        </w:rPr>
        <w:t>as one can see Ireland had the smallest increase in votes.</w:t>
      </w:r>
      <w:r w:rsidR="007E52F4">
        <w:rPr>
          <w:sz w:val="24"/>
          <w:szCs w:val="24"/>
        </w:rPr>
        <w:t xml:space="preserve"> This information in the article by C.N. Turner shows the increase in votes in the different countries and also tells us that votes also included university voters, which is something I had not considered before, the increase in votes however really seemed </w:t>
      </w:r>
      <w:r w:rsidR="00AE523E">
        <w:rPr>
          <w:sz w:val="24"/>
          <w:szCs w:val="24"/>
        </w:rPr>
        <w:t xml:space="preserve">to have an overall healthy growth as time would go on not only the first election after the second reform act was passed. The article by Truman states that the total number of votes that were submitted in the year 1868 was </w:t>
      </w:r>
      <w:r w:rsidR="00AE523E" w:rsidRPr="00AE523E">
        <w:rPr>
          <w:b/>
          <w:sz w:val="24"/>
          <w:szCs w:val="24"/>
        </w:rPr>
        <w:t>2,333,251</w:t>
      </w:r>
      <w:r w:rsidR="00AE523E">
        <w:rPr>
          <w:rStyle w:val="FootnoteReference"/>
          <w:b/>
          <w:sz w:val="24"/>
          <w:szCs w:val="24"/>
        </w:rPr>
        <w:footnoteReference w:id="7"/>
      </w:r>
      <w:r w:rsidR="00AE523E">
        <w:rPr>
          <w:sz w:val="24"/>
          <w:szCs w:val="24"/>
        </w:rPr>
        <w:t xml:space="preserve">, which was </w:t>
      </w:r>
      <w:r w:rsidR="005D029C">
        <w:rPr>
          <w:sz w:val="24"/>
          <w:szCs w:val="24"/>
        </w:rPr>
        <w:t xml:space="preserve">a strong increase from 1865 which totalled with </w:t>
      </w:r>
      <w:r w:rsidR="005D029C" w:rsidRPr="005D029C">
        <w:rPr>
          <w:b/>
          <w:sz w:val="24"/>
          <w:szCs w:val="24"/>
        </w:rPr>
        <w:t>854,572</w:t>
      </w:r>
      <w:r w:rsidR="005D029C">
        <w:rPr>
          <w:rStyle w:val="FootnoteReference"/>
          <w:b/>
          <w:sz w:val="24"/>
          <w:szCs w:val="24"/>
        </w:rPr>
        <w:footnoteReference w:id="8"/>
      </w:r>
      <w:r w:rsidR="005D029C">
        <w:rPr>
          <w:b/>
          <w:sz w:val="24"/>
          <w:szCs w:val="24"/>
        </w:rPr>
        <w:t xml:space="preserve"> </w:t>
      </w:r>
      <w:r w:rsidR="005D029C">
        <w:rPr>
          <w:sz w:val="24"/>
          <w:szCs w:val="24"/>
        </w:rPr>
        <w:t>voters</w:t>
      </w:r>
      <w:r w:rsidR="006F5929">
        <w:rPr>
          <w:sz w:val="24"/>
          <w:szCs w:val="24"/>
        </w:rPr>
        <w:t>,</w:t>
      </w:r>
      <w:r w:rsidR="005D029C">
        <w:rPr>
          <w:sz w:val="24"/>
          <w:szCs w:val="24"/>
        </w:rPr>
        <w:t xml:space="preserve"> however, the 1874 elections would result in an even bigger sum of </w:t>
      </w:r>
      <w:r w:rsidR="005D029C" w:rsidRPr="005D029C">
        <w:rPr>
          <w:b/>
          <w:sz w:val="24"/>
          <w:szCs w:val="24"/>
        </w:rPr>
        <w:t>2,466, 122</w:t>
      </w:r>
      <w:r w:rsidR="005D029C">
        <w:rPr>
          <w:rStyle w:val="FootnoteReference"/>
          <w:b/>
          <w:sz w:val="24"/>
          <w:szCs w:val="24"/>
        </w:rPr>
        <w:footnoteReference w:id="9"/>
      </w:r>
      <w:r w:rsidR="005D029C">
        <w:rPr>
          <w:sz w:val="24"/>
          <w:szCs w:val="24"/>
        </w:rPr>
        <w:t xml:space="preserve"> voters. When considering the statistic’s that Truman has g</w:t>
      </w:r>
      <w:r w:rsidR="003B0DCA">
        <w:rPr>
          <w:sz w:val="24"/>
          <w:szCs w:val="24"/>
        </w:rPr>
        <w:t xml:space="preserve">iven that I have included I think it is safe to agree with Truman’s opinion of the effect the second reform act had on the electoral system, that it had </w:t>
      </w:r>
      <w:r w:rsidR="003B0DCA" w:rsidRPr="003B0DCA">
        <w:rPr>
          <w:b/>
          <w:sz w:val="24"/>
          <w:szCs w:val="24"/>
        </w:rPr>
        <w:t>“a very great impact”</w:t>
      </w:r>
      <w:r w:rsidR="003B0DCA">
        <w:rPr>
          <w:rStyle w:val="FootnoteReference"/>
          <w:b/>
          <w:sz w:val="24"/>
          <w:szCs w:val="24"/>
        </w:rPr>
        <w:footnoteReference w:id="10"/>
      </w:r>
      <w:r w:rsidR="003B0DCA">
        <w:rPr>
          <w:sz w:val="24"/>
          <w:szCs w:val="24"/>
        </w:rPr>
        <w:t>.</w:t>
      </w:r>
      <w:r w:rsidR="001C2009">
        <w:rPr>
          <w:sz w:val="24"/>
          <w:szCs w:val="24"/>
        </w:rPr>
        <w:t xml:space="preserve"> </w:t>
      </w:r>
      <w:r w:rsidR="00077CD9">
        <w:rPr>
          <w:sz w:val="24"/>
          <w:szCs w:val="24"/>
        </w:rPr>
        <w:t xml:space="preserve"> In my opinion </w:t>
      </w:r>
      <w:r w:rsidR="00077CD9">
        <w:rPr>
          <w:sz w:val="24"/>
          <w:szCs w:val="24"/>
        </w:rPr>
        <w:lastRenderedPageBreak/>
        <w:t xml:space="preserve">the reform act of 1867 was of great significance and was extremely important, and if one was to ask me the question I would be prepared to argue my opinion and support this opinion until I was proven wrong. However, as the question itself suggests there are arguments or opinions rather that would suggest that historians have overstated </w:t>
      </w:r>
      <w:r w:rsidR="005A6A23">
        <w:rPr>
          <w:sz w:val="24"/>
          <w:szCs w:val="24"/>
        </w:rPr>
        <w:t>the act’s significance. In a journal article that I have read, Ann</w:t>
      </w:r>
      <w:r w:rsidR="007859FE">
        <w:rPr>
          <w:sz w:val="24"/>
          <w:szCs w:val="24"/>
        </w:rPr>
        <w:t>a</w:t>
      </w:r>
      <w:r w:rsidR="005A6A23">
        <w:rPr>
          <w:sz w:val="24"/>
          <w:szCs w:val="24"/>
        </w:rPr>
        <w:t xml:space="preserve"> Clark reviews </w:t>
      </w:r>
      <w:bookmarkStart w:id="5" w:name="_Hlk509484125"/>
      <w:r w:rsidR="005A6A23" w:rsidRPr="005A6A23">
        <w:rPr>
          <w:i/>
          <w:sz w:val="24"/>
          <w:szCs w:val="24"/>
        </w:rPr>
        <w:t>Changing Concepts of Citizenship: Gender, Empire and Clas</w:t>
      </w:r>
      <w:bookmarkEnd w:id="5"/>
      <w:r w:rsidR="005A6A23" w:rsidRPr="005A6A23">
        <w:rPr>
          <w:i/>
          <w:sz w:val="24"/>
          <w:szCs w:val="24"/>
        </w:rPr>
        <w:t>s</w:t>
      </w:r>
      <w:r w:rsidR="005A6A23">
        <w:rPr>
          <w:i/>
          <w:sz w:val="24"/>
          <w:szCs w:val="24"/>
        </w:rPr>
        <w:t xml:space="preserve"> </w:t>
      </w:r>
      <w:r w:rsidR="005A6A23">
        <w:rPr>
          <w:sz w:val="24"/>
          <w:szCs w:val="24"/>
        </w:rPr>
        <w:t>and she does not believe that its significance is of much importance.</w:t>
      </w:r>
      <w:r w:rsidR="004B2123">
        <w:rPr>
          <w:sz w:val="24"/>
          <w:szCs w:val="24"/>
        </w:rPr>
        <w:t xml:space="preserve"> She has revised the situation much </w:t>
      </w:r>
      <w:r w:rsidR="000245A9">
        <w:rPr>
          <w:sz w:val="24"/>
          <w:szCs w:val="24"/>
        </w:rPr>
        <w:t>later</w:t>
      </w:r>
      <w:r w:rsidR="004B2123">
        <w:rPr>
          <w:sz w:val="24"/>
          <w:szCs w:val="24"/>
        </w:rPr>
        <w:t xml:space="preserve"> and what she suggests is,</w:t>
      </w:r>
    </w:p>
    <w:p w14:paraId="7390A480" w14:textId="1ABA730C" w:rsidR="00404CF7" w:rsidRPr="00414B3A" w:rsidRDefault="004B2123" w:rsidP="007730E9">
      <w:pPr>
        <w:rPr>
          <w:sz w:val="24"/>
          <w:szCs w:val="24"/>
        </w:rPr>
      </w:pPr>
      <w:r>
        <w:rPr>
          <w:sz w:val="24"/>
          <w:szCs w:val="24"/>
        </w:rPr>
        <w:t xml:space="preserve"> </w:t>
      </w:r>
      <w:r w:rsidRPr="000245A9">
        <w:rPr>
          <w:b/>
          <w:sz w:val="24"/>
          <w:szCs w:val="24"/>
        </w:rPr>
        <w:t xml:space="preserve">“The history of franchise reform has long </w:t>
      </w:r>
      <w:proofErr w:type="gramStart"/>
      <w:r w:rsidRPr="000245A9">
        <w:rPr>
          <w:b/>
          <w:sz w:val="24"/>
          <w:szCs w:val="24"/>
        </w:rPr>
        <w:t xml:space="preserve">been seen </w:t>
      </w:r>
      <w:r w:rsidR="000245A9" w:rsidRPr="000245A9">
        <w:rPr>
          <w:b/>
          <w:sz w:val="24"/>
          <w:szCs w:val="24"/>
        </w:rPr>
        <w:t>as</w:t>
      </w:r>
      <w:proofErr w:type="gramEnd"/>
      <w:r w:rsidR="000245A9" w:rsidRPr="000245A9">
        <w:rPr>
          <w:b/>
          <w:sz w:val="24"/>
          <w:szCs w:val="24"/>
        </w:rPr>
        <w:t xml:space="preserve"> somewhat old-fashioned. Historians belonging to the Whig tradition of the late nine-</w:t>
      </w:r>
      <w:proofErr w:type="spellStart"/>
      <w:r w:rsidR="000245A9" w:rsidRPr="000245A9">
        <w:rPr>
          <w:b/>
          <w:sz w:val="24"/>
          <w:szCs w:val="24"/>
        </w:rPr>
        <w:t>teenth</w:t>
      </w:r>
      <w:proofErr w:type="spellEnd"/>
      <w:r w:rsidR="000245A9" w:rsidRPr="000245A9">
        <w:rPr>
          <w:b/>
          <w:sz w:val="24"/>
          <w:szCs w:val="24"/>
        </w:rPr>
        <w:t xml:space="preserve"> and early twentieth century traced the advance of women and working men to the vote through the machinations of parliament, pressure groups, and party politics, but their narratives lacked analysis”</w:t>
      </w:r>
      <w:r w:rsidR="000245A9">
        <w:rPr>
          <w:rStyle w:val="FootnoteReference"/>
          <w:b/>
          <w:sz w:val="24"/>
          <w:szCs w:val="24"/>
        </w:rPr>
        <w:footnoteReference w:id="11"/>
      </w:r>
      <w:r w:rsidR="000245A9" w:rsidRPr="000245A9">
        <w:rPr>
          <w:b/>
          <w:sz w:val="24"/>
          <w:szCs w:val="24"/>
        </w:rPr>
        <w:t>.</w:t>
      </w:r>
      <w:r w:rsidR="00D2447D">
        <w:rPr>
          <w:b/>
          <w:sz w:val="24"/>
          <w:szCs w:val="24"/>
        </w:rPr>
        <w:t xml:space="preserve"> </w:t>
      </w:r>
      <w:r w:rsidR="00CB4425">
        <w:rPr>
          <w:b/>
          <w:sz w:val="24"/>
          <w:szCs w:val="24"/>
        </w:rPr>
        <w:t xml:space="preserve"> </w:t>
      </w:r>
      <w:r w:rsidR="00CB4425">
        <w:rPr>
          <w:sz w:val="24"/>
          <w:szCs w:val="24"/>
        </w:rPr>
        <w:t xml:space="preserve">What Clark goes on to talk about political historians that were analysing this period during the sixties. What they </w:t>
      </w:r>
      <w:r w:rsidR="00414B3A">
        <w:rPr>
          <w:sz w:val="24"/>
          <w:szCs w:val="24"/>
        </w:rPr>
        <w:t xml:space="preserve">discuss is the effects </w:t>
      </w:r>
      <w:r w:rsidR="00414B3A" w:rsidRPr="00414B3A">
        <w:rPr>
          <w:b/>
          <w:sz w:val="24"/>
          <w:szCs w:val="24"/>
        </w:rPr>
        <w:t>of “pressure from below”</w:t>
      </w:r>
      <w:r w:rsidR="00414B3A">
        <w:rPr>
          <w:rStyle w:val="FootnoteReference"/>
          <w:b/>
          <w:sz w:val="24"/>
          <w:szCs w:val="24"/>
        </w:rPr>
        <w:footnoteReference w:id="12"/>
      </w:r>
      <w:r w:rsidR="00414B3A">
        <w:rPr>
          <w:b/>
          <w:sz w:val="24"/>
          <w:szCs w:val="24"/>
        </w:rPr>
        <w:t xml:space="preserve"> </w:t>
      </w:r>
      <w:r w:rsidR="00414B3A">
        <w:rPr>
          <w:sz w:val="24"/>
          <w:szCs w:val="24"/>
        </w:rPr>
        <w:t>and that by the time they were reflecting over the history</w:t>
      </w:r>
      <w:r w:rsidR="006C44EE">
        <w:rPr>
          <w:sz w:val="24"/>
          <w:szCs w:val="24"/>
        </w:rPr>
        <w:t xml:space="preserve"> there was no significance or any relevance to this pressure. However, having said this, I would most definitely be inclined to disagree with that statement and it goes back to something I have already spoken about. My understanding of the term pressure from below is that the countr</w:t>
      </w:r>
      <w:r w:rsidR="00766F6E">
        <w:rPr>
          <w:sz w:val="24"/>
          <w:szCs w:val="24"/>
        </w:rPr>
        <w:t>y’s</w:t>
      </w:r>
      <w:r w:rsidR="006C44EE">
        <w:rPr>
          <w:sz w:val="24"/>
          <w:szCs w:val="24"/>
        </w:rPr>
        <w:t xml:space="preserve"> people would pressurise the government at the time demanding certain </w:t>
      </w:r>
      <w:r w:rsidR="00812C03">
        <w:rPr>
          <w:sz w:val="24"/>
          <w:szCs w:val="24"/>
        </w:rPr>
        <w:t>things. Going back to what I have previously spoken about previously t</w:t>
      </w:r>
      <w:r w:rsidR="00E81AC0">
        <w:rPr>
          <w:sz w:val="24"/>
          <w:szCs w:val="24"/>
        </w:rPr>
        <w:t xml:space="preserve">he government in my opinion would have felt this pressure, or at least would have acknowledged it. The country would have been up in arms had the government ignored the possibilities of the second reform act, there </w:t>
      </w:r>
      <w:r w:rsidR="00DB549C">
        <w:rPr>
          <w:sz w:val="24"/>
          <w:szCs w:val="24"/>
        </w:rPr>
        <w:t>were radical movements in the country that would stir this, therefore, I believe there was a relevance and significance to the pressure from below.</w:t>
      </w:r>
    </w:p>
    <w:p w14:paraId="2DECCC4D" w14:textId="31FF504D" w:rsidR="003B0DCA" w:rsidRDefault="003B0DCA" w:rsidP="007730E9">
      <w:pPr>
        <w:rPr>
          <w:sz w:val="24"/>
          <w:szCs w:val="24"/>
        </w:rPr>
      </w:pPr>
      <w:r>
        <w:rPr>
          <w:sz w:val="24"/>
          <w:szCs w:val="24"/>
        </w:rPr>
        <w:t xml:space="preserve">In my opinion the passing of this act as well as having a huge impact on </w:t>
      </w:r>
      <w:r w:rsidR="005F2173">
        <w:rPr>
          <w:sz w:val="24"/>
          <w:szCs w:val="24"/>
        </w:rPr>
        <w:t>the countr</w:t>
      </w:r>
      <w:r w:rsidR="00766F6E">
        <w:rPr>
          <w:sz w:val="24"/>
          <w:szCs w:val="24"/>
        </w:rPr>
        <w:t>y’s</w:t>
      </w:r>
      <w:r w:rsidR="005F2173">
        <w:rPr>
          <w:sz w:val="24"/>
          <w:szCs w:val="24"/>
        </w:rPr>
        <w:t xml:space="preserve"> voting system was also highly significant when one considers later bills and acts that followed in later years which may not have occurred had the 1867 reform act been unsuccessful. </w:t>
      </w:r>
      <w:r w:rsidR="00BE6360">
        <w:rPr>
          <w:sz w:val="24"/>
          <w:szCs w:val="24"/>
        </w:rPr>
        <w:t>A</w:t>
      </w:r>
      <w:r w:rsidR="005F2173">
        <w:rPr>
          <w:sz w:val="24"/>
          <w:szCs w:val="24"/>
        </w:rPr>
        <w:t xml:space="preserve"> good example of this is the </w:t>
      </w:r>
      <w:r w:rsidR="005F2173" w:rsidRPr="005F2173">
        <w:rPr>
          <w:b/>
          <w:sz w:val="24"/>
          <w:szCs w:val="24"/>
        </w:rPr>
        <w:t>1872 Ballot Act</w:t>
      </w:r>
      <w:r w:rsidR="005F2173">
        <w:rPr>
          <w:rStyle w:val="FootnoteReference"/>
          <w:b/>
          <w:sz w:val="24"/>
          <w:szCs w:val="24"/>
        </w:rPr>
        <w:footnoteReference w:id="13"/>
      </w:r>
      <w:r w:rsidR="005F2173">
        <w:rPr>
          <w:sz w:val="24"/>
          <w:szCs w:val="24"/>
        </w:rPr>
        <w:t xml:space="preserve">, one must consider </w:t>
      </w:r>
      <w:r w:rsidR="00A647CD">
        <w:rPr>
          <w:sz w:val="24"/>
          <w:szCs w:val="24"/>
        </w:rPr>
        <w:t>whether</w:t>
      </w:r>
      <w:r w:rsidR="00281650">
        <w:rPr>
          <w:sz w:val="24"/>
          <w:szCs w:val="24"/>
        </w:rPr>
        <w:t xml:space="preserve"> this act would have been passed had the second reform act not been successful</w:t>
      </w:r>
      <w:r w:rsidR="00A647CD">
        <w:rPr>
          <w:sz w:val="24"/>
          <w:szCs w:val="24"/>
        </w:rPr>
        <w:t xml:space="preserve">. Truman’s opinion is that it is the second reform act and the ballot act that </w:t>
      </w:r>
      <w:r w:rsidR="00A647CD" w:rsidRPr="00A647CD">
        <w:rPr>
          <w:b/>
          <w:sz w:val="24"/>
          <w:szCs w:val="24"/>
        </w:rPr>
        <w:t>“helped transform elections in Britain”</w:t>
      </w:r>
      <w:r w:rsidR="00A647CD">
        <w:rPr>
          <w:rStyle w:val="FootnoteReference"/>
          <w:b/>
          <w:sz w:val="24"/>
          <w:szCs w:val="24"/>
        </w:rPr>
        <w:footnoteReference w:id="14"/>
      </w:r>
      <w:r w:rsidR="00A647CD">
        <w:rPr>
          <w:sz w:val="24"/>
          <w:szCs w:val="24"/>
        </w:rPr>
        <w:t>.</w:t>
      </w:r>
      <w:r w:rsidR="00FD50D6">
        <w:rPr>
          <w:sz w:val="24"/>
          <w:szCs w:val="24"/>
        </w:rPr>
        <w:t xml:space="preserve"> </w:t>
      </w:r>
      <w:r w:rsidR="00716B62">
        <w:rPr>
          <w:sz w:val="24"/>
          <w:szCs w:val="24"/>
        </w:rPr>
        <w:t xml:space="preserve">In a different article written by Truman he explains how this act was a big turning point in Britain’s history, in the respect that it was the first-time voting became privatized. This would prove to have </w:t>
      </w:r>
      <w:r w:rsidR="00110AB4">
        <w:rPr>
          <w:sz w:val="24"/>
          <w:szCs w:val="24"/>
        </w:rPr>
        <w:t xml:space="preserve">a great impact on the voting system in Britain as it still exists today. </w:t>
      </w:r>
      <w:r w:rsidR="00FD50D6">
        <w:rPr>
          <w:sz w:val="24"/>
          <w:szCs w:val="24"/>
        </w:rPr>
        <w:t xml:space="preserve">Another bill that was passed that could be considered a result of the second reform act’s </w:t>
      </w:r>
      <w:r w:rsidR="00FD50D6">
        <w:rPr>
          <w:sz w:val="24"/>
          <w:szCs w:val="24"/>
        </w:rPr>
        <w:lastRenderedPageBreak/>
        <w:t xml:space="preserve">success is the </w:t>
      </w:r>
      <w:r w:rsidR="00FD50D6" w:rsidRPr="00FD50D6">
        <w:rPr>
          <w:b/>
          <w:sz w:val="24"/>
          <w:szCs w:val="24"/>
        </w:rPr>
        <w:t>1884 Reform Act</w:t>
      </w:r>
      <w:r w:rsidR="00FD50D6">
        <w:rPr>
          <w:rStyle w:val="FootnoteReference"/>
          <w:b/>
          <w:sz w:val="24"/>
          <w:szCs w:val="24"/>
        </w:rPr>
        <w:footnoteReference w:id="15"/>
      </w:r>
      <w:r w:rsidR="00FD50D6">
        <w:rPr>
          <w:sz w:val="24"/>
          <w:szCs w:val="24"/>
        </w:rPr>
        <w:t xml:space="preserve"> which was a further step in the </w:t>
      </w:r>
      <w:r w:rsidR="004C59D7">
        <w:rPr>
          <w:sz w:val="24"/>
          <w:szCs w:val="24"/>
        </w:rPr>
        <w:t>countries electoral system</w:t>
      </w:r>
      <w:r w:rsidR="003F3AD5">
        <w:rPr>
          <w:sz w:val="24"/>
          <w:szCs w:val="24"/>
        </w:rPr>
        <w:t xml:space="preserve"> which was the third time a reform occurred in Britain which is evident as I have mentioned the first one in 1832 and discussed the second in depth</w:t>
      </w:r>
      <w:r w:rsidR="004C59D7">
        <w:rPr>
          <w:sz w:val="24"/>
          <w:szCs w:val="24"/>
        </w:rPr>
        <w:t>.</w:t>
      </w:r>
      <w:r w:rsidR="00826751">
        <w:rPr>
          <w:sz w:val="24"/>
          <w:szCs w:val="24"/>
        </w:rPr>
        <w:t xml:space="preserve"> The reason I suggest that this reform act was another big step in the history of British politics and electoral system is because it gave the vote to the people that were overlooked in the 1867 reform act or as Truman puts it the people who were </w:t>
      </w:r>
      <w:r w:rsidR="00826751" w:rsidRPr="00826751">
        <w:rPr>
          <w:b/>
          <w:sz w:val="24"/>
          <w:szCs w:val="24"/>
        </w:rPr>
        <w:t>“bypassed”</w:t>
      </w:r>
      <w:r w:rsidR="00826751">
        <w:rPr>
          <w:rStyle w:val="FootnoteReference"/>
          <w:b/>
          <w:sz w:val="24"/>
          <w:szCs w:val="24"/>
        </w:rPr>
        <w:footnoteReference w:id="16"/>
      </w:r>
      <w:r w:rsidR="00826751" w:rsidRPr="00826751">
        <w:rPr>
          <w:b/>
          <w:sz w:val="24"/>
          <w:szCs w:val="24"/>
        </w:rPr>
        <w:t>.</w:t>
      </w:r>
      <w:r w:rsidR="007B622E">
        <w:rPr>
          <w:sz w:val="24"/>
          <w:szCs w:val="24"/>
        </w:rPr>
        <w:t xml:space="preserve"> It is even possible that the </w:t>
      </w:r>
      <w:r w:rsidR="007B622E" w:rsidRPr="00C341E4">
        <w:rPr>
          <w:b/>
          <w:sz w:val="24"/>
          <w:szCs w:val="24"/>
        </w:rPr>
        <w:t>“1918 Representation of the People Act”</w:t>
      </w:r>
      <w:r w:rsidR="00C341E4">
        <w:rPr>
          <w:rStyle w:val="FootnoteReference"/>
          <w:b/>
          <w:sz w:val="24"/>
          <w:szCs w:val="24"/>
        </w:rPr>
        <w:footnoteReference w:id="17"/>
      </w:r>
      <w:r w:rsidR="007B622E">
        <w:rPr>
          <w:sz w:val="24"/>
          <w:szCs w:val="24"/>
        </w:rPr>
        <w:t xml:space="preserve"> would not have occurred had the ball not started rolling with the second reform act in 1867.</w:t>
      </w:r>
      <w:r w:rsidR="00C341E4">
        <w:rPr>
          <w:sz w:val="24"/>
          <w:szCs w:val="24"/>
        </w:rPr>
        <w:t xml:space="preserve">This act in particular would be a major turn around </w:t>
      </w:r>
      <w:r w:rsidR="005D00EF">
        <w:rPr>
          <w:sz w:val="24"/>
          <w:szCs w:val="24"/>
        </w:rPr>
        <w:t xml:space="preserve">giving women the vote for the first time, however as Truman tells us there were strings attached to this act, only </w:t>
      </w:r>
      <w:r w:rsidR="005D00EF" w:rsidRPr="005D00EF">
        <w:rPr>
          <w:b/>
          <w:sz w:val="24"/>
          <w:szCs w:val="24"/>
        </w:rPr>
        <w:t>“women of property over the age of 30”</w:t>
      </w:r>
      <w:r w:rsidR="005D00EF">
        <w:rPr>
          <w:rStyle w:val="FootnoteReference"/>
          <w:b/>
          <w:sz w:val="24"/>
          <w:szCs w:val="24"/>
        </w:rPr>
        <w:footnoteReference w:id="18"/>
      </w:r>
      <w:r w:rsidR="005D00EF">
        <w:rPr>
          <w:b/>
          <w:sz w:val="24"/>
          <w:szCs w:val="24"/>
        </w:rPr>
        <w:t xml:space="preserve"> </w:t>
      </w:r>
      <w:r w:rsidR="005D00EF">
        <w:rPr>
          <w:sz w:val="24"/>
          <w:szCs w:val="24"/>
        </w:rPr>
        <w:t>had the right to vote</w:t>
      </w:r>
      <w:r w:rsidR="00417A03">
        <w:rPr>
          <w:sz w:val="24"/>
          <w:szCs w:val="24"/>
        </w:rPr>
        <w:t xml:space="preserve"> and that it was seen as a reward to the women due to the hard work and different role’s they took during the first world war</w:t>
      </w:r>
      <w:r w:rsidR="00C562BA">
        <w:rPr>
          <w:sz w:val="24"/>
          <w:szCs w:val="24"/>
        </w:rPr>
        <w:t>, b</w:t>
      </w:r>
      <w:r w:rsidR="00417A03">
        <w:rPr>
          <w:sz w:val="24"/>
          <w:szCs w:val="24"/>
        </w:rPr>
        <w:t xml:space="preserve">ut was it actually a reward with these terms and conditions? </w:t>
      </w:r>
      <w:r w:rsidR="005D00EF">
        <w:rPr>
          <w:sz w:val="24"/>
          <w:szCs w:val="24"/>
        </w:rPr>
        <w:t>Looking at it these days i</w:t>
      </w:r>
      <w:r w:rsidR="004D028D">
        <w:rPr>
          <w:sz w:val="24"/>
          <w:szCs w:val="24"/>
        </w:rPr>
        <w:t>t is completely unacceptable and unfair as was the conditions on many acts and bills of the period, however, the fact that conditions are unfair is what makes people ready to call for further changes and therefore this would be the beginning to a huge turn around when women would finally get the vote in the years to follow.</w:t>
      </w:r>
      <w:r w:rsidR="00C341E4">
        <w:rPr>
          <w:sz w:val="24"/>
          <w:szCs w:val="24"/>
        </w:rPr>
        <w:t xml:space="preserve"> </w:t>
      </w:r>
      <w:r w:rsidR="004C59D7">
        <w:rPr>
          <w:sz w:val="24"/>
          <w:szCs w:val="24"/>
        </w:rPr>
        <w:t xml:space="preserve">All </w:t>
      </w:r>
      <w:r w:rsidR="00C341E4">
        <w:rPr>
          <w:sz w:val="24"/>
          <w:szCs w:val="24"/>
        </w:rPr>
        <w:t>four</w:t>
      </w:r>
      <w:r w:rsidR="004C59D7">
        <w:rPr>
          <w:sz w:val="24"/>
          <w:szCs w:val="24"/>
        </w:rPr>
        <w:t xml:space="preserve"> of these acts impacted in a significant way on the country and each one of them played a significant part in the </w:t>
      </w:r>
      <w:r w:rsidR="009E7B57">
        <w:rPr>
          <w:sz w:val="24"/>
          <w:szCs w:val="24"/>
        </w:rPr>
        <w:t>country’s</w:t>
      </w:r>
      <w:r w:rsidR="004C59D7">
        <w:rPr>
          <w:sz w:val="24"/>
          <w:szCs w:val="24"/>
        </w:rPr>
        <w:t xml:space="preserve"> history.</w:t>
      </w:r>
      <w:r w:rsidR="009E7B57">
        <w:rPr>
          <w:sz w:val="24"/>
          <w:szCs w:val="24"/>
        </w:rPr>
        <w:t xml:space="preserve"> Another </w:t>
      </w:r>
      <w:r w:rsidR="003A1624">
        <w:rPr>
          <w:sz w:val="24"/>
          <w:szCs w:val="24"/>
        </w:rPr>
        <w:t>area</w:t>
      </w:r>
      <w:r w:rsidR="009E7B57">
        <w:rPr>
          <w:sz w:val="24"/>
          <w:szCs w:val="24"/>
        </w:rPr>
        <w:t xml:space="preserve"> I would like to turn my attention towards </w:t>
      </w:r>
      <w:r w:rsidR="003A1624">
        <w:rPr>
          <w:sz w:val="24"/>
          <w:szCs w:val="24"/>
        </w:rPr>
        <w:t xml:space="preserve">at this point is the different political parties. This was a turning point in party </w:t>
      </w:r>
      <w:r w:rsidR="000B5F4F">
        <w:rPr>
          <w:sz w:val="24"/>
          <w:szCs w:val="24"/>
        </w:rPr>
        <w:t xml:space="preserve">politics, as Walton tells us in his book the Conservative party at this time was in the minority  </w:t>
      </w:r>
      <w:r w:rsidR="007D78C0">
        <w:rPr>
          <w:sz w:val="24"/>
          <w:szCs w:val="24"/>
        </w:rPr>
        <w:t>in</w:t>
      </w:r>
      <w:r w:rsidR="000B5F4F">
        <w:rPr>
          <w:sz w:val="24"/>
          <w:szCs w:val="24"/>
        </w:rPr>
        <w:t xml:space="preserve"> a country of Liberal government ruling, however this did not seem to matter when it came to passing the second reform act, Disraeli and the conservative party managed to maintain the idea of another reform act and also </w:t>
      </w:r>
      <w:r w:rsidR="00013285">
        <w:rPr>
          <w:sz w:val="24"/>
          <w:szCs w:val="24"/>
        </w:rPr>
        <w:t xml:space="preserve">pass it even with the minority. This is a huge step in party politics and shows how the determination of a party or a strong leader can do, and according </w:t>
      </w:r>
      <w:r w:rsidR="007D78C0">
        <w:rPr>
          <w:sz w:val="24"/>
          <w:szCs w:val="24"/>
        </w:rPr>
        <w:t xml:space="preserve">to </w:t>
      </w:r>
      <w:r w:rsidR="00013285">
        <w:rPr>
          <w:sz w:val="24"/>
          <w:szCs w:val="24"/>
        </w:rPr>
        <w:t>Walton it was an achievement</w:t>
      </w:r>
      <w:r w:rsidR="006D0C1C">
        <w:rPr>
          <w:sz w:val="24"/>
          <w:szCs w:val="24"/>
        </w:rPr>
        <w:t xml:space="preserve"> due to Disraeli’s talents. H</w:t>
      </w:r>
      <w:r w:rsidR="00175E2F">
        <w:rPr>
          <w:sz w:val="24"/>
          <w:szCs w:val="24"/>
        </w:rPr>
        <w:t xml:space="preserve">owever, he does question the fact whether he knew this reform act would work, or whether it was just a gamble on his part wanting to </w:t>
      </w:r>
      <w:r w:rsidR="00E91572">
        <w:rPr>
          <w:sz w:val="24"/>
          <w:szCs w:val="24"/>
        </w:rPr>
        <w:t xml:space="preserve">gain himself some victory. Having read up on some of Disraeli’s </w:t>
      </w:r>
      <w:r w:rsidR="00960BAC">
        <w:rPr>
          <w:sz w:val="24"/>
          <w:szCs w:val="24"/>
        </w:rPr>
        <w:t xml:space="preserve">history it would seem this is an interpretation that many historians have about Disraeli, several of them think that </w:t>
      </w:r>
      <w:r w:rsidR="007D78C0">
        <w:rPr>
          <w:sz w:val="24"/>
          <w:szCs w:val="24"/>
        </w:rPr>
        <w:t xml:space="preserve">his </w:t>
      </w:r>
      <w:r w:rsidR="00960BAC">
        <w:rPr>
          <w:sz w:val="24"/>
          <w:szCs w:val="24"/>
        </w:rPr>
        <w:t>achievements a</w:t>
      </w:r>
      <w:r w:rsidR="007D78C0">
        <w:rPr>
          <w:sz w:val="24"/>
          <w:szCs w:val="24"/>
        </w:rPr>
        <w:t>re</w:t>
      </w:r>
      <w:r w:rsidR="00960BAC">
        <w:rPr>
          <w:sz w:val="24"/>
          <w:szCs w:val="24"/>
        </w:rPr>
        <w:t xml:space="preserve"> merely because he </w:t>
      </w:r>
      <w:r w:rsidR="007D78C0">
        <w:rPr>
          <w:sz w:val="24"/>
          <w:szCs w:val="24"/>
        </w:rPr>
        <w:t xml:space="preserve">was </w:t>
      </w:r>
      <w:r w:rsidR="00960BAC">
        <w:rPr>
          <w:sz w:val="24"/>
          <w:szCs w:val="24"/>
        </w:rPr>
        <w:t xml:space="preserve">an opportunist, having read this and researched in this area I would </w:t>
      </w:r>
      <w:r w:rsidR="000E22AB">
        <w:rPr>
          <w:sz w:val="24"/>
          <w:szCs w:val="24"/>
        </w:rPr>
        <w:t>most definitely be inclined to agree.</w:t>
      </w:r>
      <w:r w:rsidR="00DB549C">
        <w:rPr>
          <w:sz w:val="24"/>
          <w:szCs w:val="24"/>
        </w:rPr>
        <w:t xml:space="preserve"> Whether he was thinking of himself or whether he </w:t>
      </w:r>
      <w:r w:rsidR="00417A03">
        <w:rPr>
          <w:sz w:val="24"/>
          <w:szCs w:val="24"/>
        </w:rPr>
        <w:t>had</w:t>
      </w:r>
      <w:r w:rsidR="00DB549C">
        <w:rPr>
          <w:sz w:val="24"/>
          <w:szCs w:val="24"/>
        </w:rPr>
        <w:t xml:space="preserve"> the ability to foresee that the second reform act would be successful I suppose we will never know for certain, however, he did manage to pass it and that is extremely important. </w:t>
      </w:r>
    </w:p>
    <w:p w14:paraId="12A33CE2" w14:textId="13F4FD2B" w:rsidR="00417A03" w:rsidRPr="00404CF7" w:rsidRDefault="00417A03" w:rsidP="007730E9">
      <w:pPr>
        <w:rPr>
          <w:sz w:val="24"/>
          <w:szCs w:val="24"/>
        </w:rPr>
      </w:pPr>
      <w:r>
        <w:rPr>
          <w:sz w:val="24"/>
          <w:szCs w:val="24"/>
        </w:rPr>
        <w:lastRenderedPageBreak/>
        <w:t>To conclude I would like to reflect on the impact and significance of the second reform act.  Firstly</w:t>
      </w:r>
      <w:r w:rsidR="00B830E1">
        <w:rPr>
          <w:sz w:val="24"/>
          <w:szCs w:val="24"/>
        </w:rPr>
        <w:t>,</w:t>
      </w:r>
      <w:r>
        <w:rPr>
          <w:sz w:val="24"/>
          <w:szCs w:val="24"/>
        </w:rPr>
        <w:t xml:space="preserve"> I would like to draw my attention to the impact, and the fact that in my opinion the impact’s that the passing of this bill was extremely vital to the passing of bills that came in the later year</w:t>
      </w:r>
      <w:r w:rsidR="00B830E1">
        <w:rPr>
          <w:sz w:val="24"/>
          <w:szCs w:val="24"/>
        </w:rPr>
        <w:t xml:space="preserve">s, such as the ones I have discussed in this essay. Secondly, I would like to point out that the 1832 reform act was equally as important and that was were it all began, however I do believe that the second reform act was really opened the eyes of the British public as that was the first time they realised that by showing they were unhappy </w:t>
      </w:r>
      <w:r w:rsidR="00F47D39">
        <w:rPr>
          <w:sz w:val="24"/>
          <w:szCs w:val="24"/>
        </w:rPr>
        <w:t xml:space="preserve">and by kicking up a fuss the government would have to consider a reform or passing new bills. Thirdly, I would like to turn my attention towards is the significance of the act, to begin </w:t>
      </w:r>
      <w:r w:rsidR="007D78C0">
        <w:rPr>
          <w:sz w:val="24"/>
          <w:szCs w:val="24"/>
        </w:rPr>
        <w:t>with, I</w:t>
      </w:r>
      <w:r w:rsidR="00F47D39">
        <w:rPr>
          <w:sz w:val="24"/>
          <w:szCs w:val="24"/>
        </w:rPr>
        <w:t xml:space="preserve"> would like to establish is the fact that each act and bill I have mentioned in the body of this essay is significant in my opinion. The significance of the 1867 has not been overstated in my opinion</w:t>
      </w:r>
      <w:r w:rsidR="000A457C">
        <w:rPr>
          <w:sz w:val="24"/>
          <w:szCs w:val="24"/>
        </w:rPr>
        <w:t>, a</w:t>
      </w:r>
      <w:r w:rsidR="00015EF8">
        <w:rPr>
          <w:sz w:val="24"/>
          <w:szCs w:val="24"/>
        </w:rPr>
        <w:t xml:space="preserve">s I have attempted </w:t>
      </w:r>
      <w:r w:rsidR="000A457C">
        <w:rPr>
          <w:sz w:val="24"/>
          <w:szCs w:val="24"/>
        </w:rPr>
        <w:t xml:space="preserve">to </w:t>
      </w:r>
      <w:r w:rsidR="00015EF8">
        <w:rPr>
          <w:sz w:val="24"/>
          <w:szCs w:val="24"/>
        </w:rPr>
        <w:t>portray in this essay</w:t>
      </w:r>
      <w:r w:rsidR="000A457C">
        <w:rPr>
          <w:sz w:val="24"/>
          <w:szCs w:val="24"/>
        </w:rPr>
        <w:t xml:space="preserve">. Robert Saunders in the book </w:t>
      </w:r>
      <w:r w:rsidR="000A457C" w:rsidRPr="000A457C">
        <w:rPr>
          <w:i/>
          <w:sz w:val="24"/>
          <w:szCs w:val="24"/>
        </w:rPr>
        <w:t>Democracy and the Vote in British Politics, 1848-1867</w:t>
      </w:r>
      <w:r w:rsidR="000A457C">
        <w:rPr>
          <w:i/>
          <w:sz w:val="24"/>
          <w:szCs w:val="24"/>
        </w:rPr>
        <w:t xml:space="preserve"> </w:t>
      </w:r>
      <w:r w:rsidR="000A457C" w:rsidRPr="000A457C">
        <w:rPr>
          <w:sz w:val="24"/>
          <w:szCs w:val="24"/>
        </w:rPr>
        <w:t>sums the</w:t>
      </w:r>
      <w:r w:rsidR="000A457C">
        <w:rPr>
          <w:i/>
          <w:sz w:val="24"/>
          <w:szCs w:val="24"/>
        </w:rPr>
        <w:t xml:space="preserve"> </w:t>
      </w:r>
      <w:r w:rsidR="000A457C" w:rsidRPr="000A457C">
        <w:rPr>
          <w:sz w:val="24"/>
          <w:szCs w:val="24"/>
        </w:rPr>
        <w:t>second</w:t>
      </w:r>
      <w:r w:rsidR="000A457C">
        <w:rPr>
          <w:sz w:val="24"/>
          <w:szCs w:val="24"/>
        </w:rPr>
        <w:t xml:space="preserve"> reform act up when he describes it as </w:t>
      </w:r>
      <w:r w:rsidR="000A457C" w:rsidRPr="000A457C">
        <w:rPr>
          <w:b/>
          <w:sz w:val="24"/>
          <w:szCs w:val="24"/>
        </w:rPr>
        <w:t>“The Reform Act marked the climax of a remarkable period of constitutional debate”</w:t>
      </w:r>
      <w:r w:rsidR="000A457C">
        <w:rPr>
          <w:rStyle w:val="FootnoteReference"/>
          <w:b/>
          <w:sz w:val="24"/>
          <w:szCs w:val="24"/>
        </w:rPr>
        <w:footnoteReference w:id="19"/>
      </w:r>
      <w:r w:rsidR="000A457C">
        <w:rPr>
          <w:sz w:val="24"/>
          <w:szCs w:val="24"/>
        </w:rPr>
        <w:t xml:space="preserve">. </w:t>
      </w:r>
      <w:r w:rsidR="000A457C">
        <w:rPr>
          <w:i/>
          <w:sz w:val="24"/>
          <w:szCs w:val="24"/>
        </w:rPr>
        <w:t xml:space="preserve"> </w:t>
      </w:r>
    </w:p>
    <w:p w14:paraId="1E6268EB" w14:textId="77777777" w:rsidR="0091055B" w:rsidRDefault="0091055B" w:rsidP="007730E9">
      <w:pPr>
        <w:jc w:val="center"/>
        <w:rPr>
          <w:b/>
          <w:i/>
          <w:sz w:val="28"/>
          <w:szCs w:val="28"/>
          <w:u w:val="single"/>
        </w:rPr>
      </w:pPr>
    </w:p>
    <w:p w14:paraId="370BAA93" w14:textId="77777777" w:rsidR="0091055B" w:rsidRDefault="0091055B" w:rsidP="007730E9">
      <w:pPr>
        <w:jc w:val="center"/>
        <w:rPr>
          <w:b/>
          <w:i/>
          <w:sz w:val="28"/>
          <w:szCs w:val="28"/>
          <w:u w:val="single"/>
        </w:rPr>
      </w:pPr>
    </w:p>
    <w:p w14:paraId="4FEEE664" w14:textId="77777777" w:rsidR="0091055B" w:rsidRDefault="0091055B" w:rsidP="007730E9">
      <w:pPr>
        <w:jc w:val="center"/>
        <w:rPr>
          <w:b/>
          <w:i/>
          <w:sz w:val="28"/>
          <w:szCs w:val="28"/>
          <w:u w:val="single"/>
        </w:rPr>
      </w:pPr>
    </w:p>
    <w:p w14:paraId="545CDFE2" w14:textId="77777777" w:rsidR="0091055B" w:rsidRDefault="0091055B" w:rsidP="007730E9">
      <w:pPr>
        <w:jc w:val="center"/>
        <w:rPr>
          <w:b/>
          <w:i/>
          <w:sz w:val="28"/>
          <w:szCs w:val="28"/>
          <w:u w:val="single"/>
        </w:rPr>
      </w:pPr>
    </w:p>
    <w:p w14:paraId="1C037D25" w14:textId="77777777" w:rsidR="0091055B" w:rsidRDefault="0091055B" w:rsidP="007730E9">
      <w:pPr>
        <w:jc w:val="center"/>
        <w:rPr>
          <w:b/>
          <w:i/>
          <w:sz w:val="28"/>
          <w:szCs w:val="28"/>
          <w:u w:val="single"/>
        </w:rPr>
      </w:pPr>
    </w:p>
    <w:p w14:paraId="7B2492E0" w14:textId="77777777" w:rsidR="0091055B" w:rsidRDefault="0091055B" w:rsidP="007730E9">
      <w:pPr>
        <w:jc w:val="center"/>
        <w:rPr>
          <w:b/>
          <w:i/>
          <w:sz w:val="28"/>
          <w:szCs w:val="28"/>
          <w:u w:val="single"/>
        </w:rPr>
      </w:pPr>
    </w:p>
    <w:p w14:paraId="0233ED2B" w14:textId="77777777" w:rsidR="0091055B" w:rsidRDefault="0091055B" w:rsidP="007730E9">
      <w:pPr>
        <w:jc w:val="center"/>
        <w:rPr>
          <w:b/>
          <w:i/>
          <w:sz w:val="28"/>
          <w:szCs w:val="28"/>
          <w:u w:val="single"/>
        </w:rPr>
      </w:pPr>
    </w:p>
    <w:p w14:paraId="2D3B2B82" w14:textId="77777777" w:rsidR="0091055B" w:rsidRDefault="0091055B" w:rsidP="007730E9">
      <w:pPr>
        <w:jc w:val="center"/>
        <w:rPr>
          <w:b/>
          <w:i/>
          <w:sz w:val="28"/>
          <w:szCs w:val="28"/>
          <w:u w:val="single"/>
        </w:rPr>
      </w:pPr>
    </w:p>
    <w:p w14:paraId="0544B408" w14:textId="77777777" w:rsidR="0091055B" w:rsidRDefault="0091055B" w:rsidP="007730E9">
      <w:pPr>
        <w:jc w:val="center"/>
        <w:rPr>
          <w:b/>
          <w:i/>
          <w:sz w:val="28"/>
          <w:szCs w:val="28"/>
          <w:u w:val="single"/>
        </w:rPr>
      </w:pPr>
    </w:p>
    <w:p w14:paraId="2538B943" w14:textId="77777777" w:rsidR="0091055B" w:rsidRDefault="0091055B" w:rsidP="007730E9">
      <w:pPr>
        <w:jc w:val="center"/>
        <w:rPr>
          <w:b/>
          <w:i/>
          <w:sz w:val="28"/>
          <w:szCs w:val="28"/>
          <w:u w:val="single"/>
        </w:rPr>
      </w:pPr>
    </w:p>
    <w:p w14:paraId="750AFD0A" w14:textId="77777777" w:rsidR="0091055B" w:rsidRDefault="0091055B" w:rsidP="007730E9">
      <w:pPr>
        <w:jc w:val="center"/>
        <w:rPr>
          <w:b/>
          <w:i/>
          <w:sz w:val="28"/>
          <w:szCs w:val="28"/>
          <w:u w:val="single"/>
        </w:rPr>
      </w:pPr>
    </w:p>
    <w:p w14:paraId="5D135BB6" w14:textId="77777777" w:rsidR="0091055B" w:rsidRDefault="0091055B" w:rsidP="007730E9">
      <w:pPr>
        <w:jc w:val="center"/>
        <w:rPr>
          <w:b/>
          <w:i/>
          <w:sz w:val="28"/>
          <w:szCs w:val="28"/>
          <w:u w:val="single"/>
        </w:rPr>
      </w:pPr>
    </w:p>
    <w:p w14:paraId="311F1A69" w14:textId="77777777" w:rsidR="0091055B" w:rsidRDefault="0091055B" w:rsidP="007730E9">
      <w:pPr>
        <w:jc w:val="center"/>
        <w:rPr>
          <w:b/>
          <w:i/>
          <w:sz w:val="28"/>
          <w:szCs w:val="28"/>
          <w:u w:val="single"/>
        </w:rPr>
      </w:pPr>
    </w:p>
    <w:p w14:paraId="1D1CE514" w14:textId="77777777" w:rsidR="0091055B" w:rsidRDefault="0091055B" w:rsidP="007730E9">
      <w:pPr>
        <w:jc w:val="center"/>
        <w:rPr>
          <w:b/>
          <w:i/>
          <w:sz w:val="28"/>
          <w:szCs w:val="28"/>
          <w:u w:val="single"/>
        </w:rPr>
      </w:pPr>
    </w:p>
    <w:p w14:paraId="5381F9BC" w14:textId="77777777" w:rsidR="0091055B" w:rsidRDefault="0091055B" w:rsidP="007730E9">
      <w:pPr>
        <w:jc w:val="center"/>
        <w:rPr>
          <w:b/>
          <w:i/>
          <w:sz w:val="28"/>
          <w:szCs w:val="28"/>
          <w:u w:val="single"/>
        </w:rPr>
      </w:pPr>
    </w:p>
    <w:p w14:paraId="5B93CCD6" w14:textId="77777777" w:rsidR="0091055B" w:rsidRDefault="0091055B" w:rsidP="007730E9">
      <w:pPr>
        <w:jc w:val="center"/>
        <w:rPr>
          <w:b/>
          <w:i/>
          <w:sz w:val="28"/>
          <w:szCs w:val="28"/>
          <w:u w:val="single"/>
        </w:rPr>
      </w:pPr>
    </w:p>
    <w:p w14:paraId="5EE96632" w14:textId="77777777" w:rsidR="0091055B" w:rsidRDefault="0091055B" w:rsidP="007730E9">
      <w:pPr>
        <w:jc w:val="center"/>
        <w:rPr>
          <w:b/>
          <w:i/>
          <w:sz w:val="28"/>
          <w:szCs w:val="28"/>
          <w:u w:val="single"/>
        </w:rPr>
      </w:pPr>
    </w:p>
    <w:p w14:paraId="6D075523" w14:textId="50260DBA" w:rsidR="007730E9" w:rsidRDefault="007730E9" w:rsidP="007730E9">
      <w:pPr>
        <w:jc w:val="center"/>
        <w:rPr>
          <w:b/>
          <w:i/>
          <w:sz w:val="28"/>
          <w:szCs w:val="28"/>
          <w:u w:val="single"/>
        </w:rPr>
      </w:pPr>
      <w:r>
        <w:rPr>
          <w:b/>
          <w:i/>
          <w:sz w:val="28"/>
          <w:szCs w:val="28"/>
          <w:u w:val="single"/>
        </w:rPr>
        <w:t>Bibliography</w:t>
      </w:r>
    </w:p>
    <w:p w14:paraId="4713604A" w14:textId="35AE083F" w:rsidR="00DE63B5" w:rsidRDefault="00DE63B5" w:rsidP="00DE63B5">
      <w:pPr>
        <w:rPr>
          <w:b/>
          <w:i/>
          <w:sz w:val="24"/>
          <w:szCs w:val="24"/>
          <w:u w:val="single"/>
        </w:rPr>
      </w:pPr>
      <w:r w:rsidRPr="00DE63B5">
        <w:rPr>
          <w:b/>
          <w:i/>
          <w:sz w:val="24"/>
          <w:szCs w:val="24"/>
          <w:u w:val="single"/>
        </w:rPr>
        <w:t xml:space="preserve">Secondary Material Books </w:t>
      </w:r>
    </w:p>
    <w:p w14:paraId="707F26F6" w14:textId="2E77FC9C" w:rsidR="00DE63B5" w:rsidRDefault="00DE63B5" w:rsidP="00DE63B5">
      <w:pPr>
        <w:rPr>
          <w:sz w:val="24"/>
          <w:szCs w:val="24"/>
        </w:rPr>
      </w:pPr>
      <w:r>
        <w:rPr>
          <w:sz w:val="24"/>
          <w:szCs w:val="24"/>
        </w:rPr>
        <w:t xml:space="preserve">John K. Walton, </w:t>
      </w:r>
      <w:bookmarkStart w:id="13" w:name="_Hlk509256945"/>
      <w:r w:rsidRPr="00DE63B5">
        <w:rPr>
          <w:i/>
          <w:sz w:val="24"/>
          <w:szCs w:val="24"/>
        </w:rPr>
        <w:t>The Second Reform Act</w:t>
      </w:r>
      <w:r>
        <w:rPr>
          <w:i/>
          <w:sz w:val="24"/>
          <w:szCs w:val="24"/>
        </w:rPr>
        <w:t xml:space="preserve"> </w:t>
      </w:r>
      <w:r>
        <w:rPr>
          <w:sz w:val="24"/>
          <w:szCs w:val="24"/>
        </w:rPr>
        <w:t>(London: Routledge 1996)</w:t>
      </w:r>
      <w:bookmarkEnd w:id="13"/>
      <w:r w:rsidR="0091055B">
        <w:rPr>
          <w:sz w:val="24"/>
          <w:szCs w:val="24"/>
        </w:rPr>
        <w:t>.</w:t>
      </w:r>
    </w:p>
    <w:p w14:paraId="58ED00B0" w14:textId="4C22B92C" w:rsidR="00DF4FBA" w:rsidRDefault="00B5657F" w:rsidP="00DE63B5">
      <w:pPr>
        <w:rPr>
          <w:sz w:val="24"/>
          <w:szCs w:val="24"/>
        </w:rPr>
      </w:pPr>
      <w:r>
        <w:rPr>
          <w:sz w:val="24"/>
          <w:szCs w:val="24"/>
        </w:rPr>
        <w:t xml:space="preserve">Robert Saunders, </w:t>
      </w:r>
      <w:r w:rsidRPr="000A457C">
        <w:rPr>
          <w:i/>
        </w:rPr>
        <w:t>Democracy and the Vote in British Politics, 1848-1867</w:t>
      </w:r>
      <w:r>
        <w:rPr>
          <w:i/>
        </w:rPr>
        <w:t xml:space="preserve"> </w:t>
      </w:r>
      <w:r>
        <w:t>(London: Routledge ,2016)</w:t>
      </w:r>
      <w:r w:rsidR="0091055B">
        <w:t>.</w:t>
      </w:r>
    </w:p>
    <w:p w14:paraId="478BDE5C" w14:textId="77777777" w:rsidR="00B5657F" w:rsidRDefault="00B5657F" w:rsidP="00DE63B5">
      <w:pPr>
        <w:rPr>
          <w:sz w:val="24"/>
          <w:szCs w:val="24"/>
        </w:rPr>
      </w:pPr>
    </w:p>
    <w:p w14:paraId="38668D95" w14:textId="17403AD4" w:rsidR="00DF4FBA" w:rsidRDefault="00DF4FBA" w:rsidP="00DE63B5">
      <w:pPr>
        <w:rPr>
          <w:b/>
          <w:i/>
          <w:sz w:val="24"/>
          <w:szCs w:val="24"/>
          <w:u w:val="single"/>
        </w:rPr>
      </w:pPr>
      <w:r w:rsidRPr="00DF4FBA">
        <w:rPr>
          <w:b/>
          <w:i/>
          <w:sz w:val="24"/>
          <w:szCs w:val="24"/>
          <w:u w:val="single"/>
        </w:rPr>
        <w:t>Websites</w:t>
      </w:r>
    </w:p>
    <w:p w14:paraId="5655990C" w14:textId="6B26B848" w:rsidR="00110AB4" w:rsidRDefault="00110AB4" w:rsidP="00DE63B5">
      <w:pPr>
        <w:rPr>
          <w:sz w:val="24"/>
          <w:szCs w:val="24"/>
        </w:rPr>
      </w:pPr>
      <w:r>
        <w:rPr>
          <w:sz w:val="24"/>
          <w:szCs w:val="24"/>
        </w:rPr>
        <w:t>C.N. Truman ‘The Ballot Act 1872’, March 27</w:t>
      </w:r>
      <w:r w:rsidRPr="00110AB4">
        <w:rPr>
          <w:sz w:val="24"/>
          <w:szCs w:val="24"/>
          <w:vertAlign w:val="superscript"/>
        </w:rPr>
        <w:t>th</w:t>
      </w:r>
      <w:r>
        <w:rPr>
          <w:sz w:val="24"/>
          <w:szCs w:val="24"/>
        </w:rPr>
        <w:t xml:space="preserve"> 2015 Available: (</w:t>
      </w:r>
      <w:hyperlink r:id="rId7" w:history="1">
        <w:r w:rsidRPr="005127BF">
          <w:rPr>
            <w:rStyle w:val="Hyperlink"/>
            <w:sz w:val="24"/>
            <w:szCs w:val="24"/>
          </w:rPr>
          <w:t>https://www.historylearningsite.co.uk/british-electoral-history-since-1832/the-ballot-act-1872/</w:t>
        </w:r>
      </w:hyperlink>
      <w:r>
        <w:rPr>
          <w:sz w:val="24"/>
          <w:szCs w:val="24"/>
        </w:rPr>
        <w:t>) {Accessed 21/03/18}</w:t>
      </w:r>
      <w:r w:rsidR="0091055B">
        <w:rPr>
          <w:sz w:val="24"/>
          <w:szCs w:val="24"/>
        </w:rPr>
        <w:t>.</w:t>
      </w:r>
    </w:p>
    <w:p w14:paraId="161D9728" w14:textId="47788031" w:rsidR="00DF4FBA" w:rsidRDefault="00DF4FBA" w:rsidP="00DE63B5">
      <w:pPr>
        <w:rPr>
          <w:sz w:val="24"/>
          <w:szCs w:val="24"/>
        </w:rPr>
      </w:pPr>
      <w:r>
        <w:rPr>
          <w:sz w:val="24"/>
          <w:szCs w:val="24"/>
        </w:rPr>
        <w:t xml:space="preserve">C.N. Truman, </w:t>
      </w:r>
      <w:bookmarkStart w:id="14" w:name="_Hlk509426271"/>
      <w:bookmarkStart w:id="15" w:name="_Hlk509340335"/>
      <w:r>
        <w:rPr>
          <w:sz w:val="24"/>
          <w:szCs w:val="24"/>
        </w:rPr>
        <w:t>‘The Impact of the 1867 Reform Act’, March 27</w:t>
      </w:r>
      <w:r w:rsidRPr="00DF4FBA">
        <w:rPr>
          <w:sz w:val="24"/>
          <w:szCs w:val="24"/>
          <w:vertAlign w:val="superscript"/>
        </w:rPr>
        <w:t>th</w:t>
      </w:r>
      <w:r>
        <w:rPr>
          <w:sz w:val="24"/>
          <w:szCs w:val="24"/>
        </w:rPr>
        <w:t xml:space="preserve"> 2015</w:t>
      </w:r>
      <w:r w:rsidR="00110AB4">
        <w:rPr>
          <w:sz w:val="24"/>
          <w:szCs w:val="24"/>
        </w:rPr>
        <w:t>,</w:t>
      </w:r>
      <w:r>
        <w:rPr>
          <w:sz w:val="24"/>
          <w:szCs w:val="24"/>
        </w:rPr>
        <w:t xml:space="preserve"> Available : (</w:t>
      </w:r>
      <w:hyperlink r:id="rId8" w:history="1">
        <w:r w:rsidRPr="00D02B51">
          <w:rPr>
            <w:rStyle w:val="Hyperlink"/>
            <w:sz w:val="24"/>
            <w:szCs w:val="24"/>
          </w:rPr>
          <w:t>https://www.historylearningsite.co.uk/british-electoral-history-since-1832/the-impact-of-the-1867-reform-act/</w:t>
        </w:r>
      </w:hyperlink>
      <w:r>
        <w:rPr>
          <w:sz w:val="24"/>
          <w:szCs w:val="24"/>
        </w:rPr>
        <w:t>)</w:t>
      </w:r>
      <w:bookmarkEnd w:id="14"/>
      <w:r w:rsidR="0091055B">
        <w:rPr>
          <w:sz w:val="24"/>
          <w:szCs w:val="24"/>
        </w:rPr>
        <w:t>.</w:t>
      </w:r>
      <w:r>
        <w:rPr>
          <w:sz w:val="24"/>
          <w:szCs w:val="24"/>
        </w:rPr>
        <w:t xml:space="preserve"> </w:t>
      </w:r>
    </w:p>
    <w:p w14:paraId="58D6C2F7" w14:textId="74DAB023" w:rsidR="00826751" w:rsidRDefault="00826751" w:rsidP="00DE63B5">
      <w:pPr>
        <w:rPr>
          <w:sz w:val="24"/>
          <w:szCs w:val="24"/>
        </w:rPr>
      </w:pPr>
      <w:r>
        <w:rPr>
          <w:sz w:val="24"/>
          <w:szCs w:val="24"/>
        </w:rPr>
        <w:t xml:space="preserve">C.N. Truman, </w:t>
      </w:r>
      <w:bookmarkStart w:id="16" w:name="_Hlk509479772"/>
      <w:r>
        <w:rPr>
          <w:sz w:val="24"/>
          <w:szCs w:val="24"/>
        </w:rPr>
        <w:t>‘The 1884 Reform Act’, March 27</w:t>
      </w:r>
      <w:r w:rsidRPr="00826751">
        <w:rPr>
          <w:sz w:val="24"/>
          <w:szCs w:val="24"/>
          <w:vertAlign w:val="superscript"/>
        </w:rPr>
        <w:t>th</w:t>
      </w:r>
      <w:r>
        <w:rPr>
          <w:sz w:val="24"/>
          <w:szCs w:val="24"/>
        </w:rPr>
        <w:t xml:space="preserve"> 2015, Available: (</w:t>
      </w:r>
      <w:hyperlink r:id="rId9" w:history="1">
        <w:r w:rsidRPr="00C40061">
          <w:rPr>
            <w:rStyle w:val="Hyperlink"/>
            <w:sz w:val="24"/>
            <w:szCs w:val="24"/>
          </w:rPr>
          <w:t>https://www.historylearningsite.co.uk/british-electoral-history-since-1832/the-1884-reform-act/</w:t>
        </w:r>
      </w:hyperlink>
      <w:r>
        <w:rPr>
          <w:sz w:val="24"/>
          <w:szCs w:val="24"/>
        </w:rPr>
        <w:t>)</w:t>
      </w:r>
      <w:r w:rsidR="0091055B">
        <w:rPr>
          <w:sz w:val="24"/>
          <w:szCs w:val="24"/>
        </w:rPr>
        <w:t>.</w:t>
      </w:r>
      <w:r>
        <w:rPr>
          <w:sz w:val="24"/>
          <w:szCs w:val="24"/>
        </w:rPr>
        <w:t xml:space="preserve"> </w:t>
      </w:r>
    </w:p>
    <w:bookmarkEnd w:id="16"/>
    <w:p w14:paraId="62B26E33" w14:textId="04A434D7" w:rsidR="00C341E4" w:rsidRDefault="00C341E4" w:rsidP="00DE63B5">
      <w:pPr>
        <w:rPr>
          <w:sz w:val="24"/>
          <w:szCs w:val="24"/>
        </w:rPr>
      </w:pPr>
      <w:r>
        <w:rPr>
          <w:sz w:val="24"/>
          <w:szCs w:val="24"/>
        </w:rPr>
        <w:t xml:space="preserve">C.N. Truman, </w:t>
      </w:r>
      <w:bookmarkStart w:id="17" w:name="_Hlk509427111"/>
      <w:r>
        <w:rPr>
          <w:sz w:val="24"/>
          <w:szCs w:val="24"/>
        </w:rPr>
        <w:t>‘The 1918 Representation of the People Act’, March 17</w:t>
      </w:r>
      <w:r w:rsidRPr="00C341E4">
        <w:rPr>
          <w:sz w:val="24"/>
          <w:szCs w:val="24"/>
          <w:vertAlign w:val="superscript"/>
        </w:rPr>
        <w:t>th</w:t>
      </w:r>
      <w:r>
        <w:rPr>
          <w:sz w:val="24"/>
          <w:szCs w:val="24"/>
        </w:rPr>
        <w:t xml:space="preserve"> 2015, Available: (</w:t>
      </w:r>
      <w:hyperlink r:id="rId10" w:history="1">
        <w:r w:rsidRPr="005127BF">
          <w:rPr>
            <w:rStyle w:val="Hyperlink"/>
            <w:sz w:val="24"/>
            <w:szCs w:val="24"/>
          </w:rPr>
          <w:t>http://www.historylearningsite.co.uk/the-role-of-british-women-in-the-twentieth-century/the-1918-representation-of-the-people-act/</w:t>
        </w:r>
      </w:hyperlink>
      <w:r>
        <w:rPr>
          <w:sz w:val="24"/>
          <w:szCs w:val="24"/>
        </w:rPr>
        <w:t>)</w:t>
      </w:r>
      <w:r w:rsidR="0091055B">
        <w:rPr>
          <w:sz w:val="24"/>
          <w:szCs w:val="24"/>
        </w:rPr>
        <w:t>.</w:t>
      </w:r>
      <w:r>
        <w:rPr>
          <w:sz w:val="24"/>
          <w:szCs w:val="24"/>
        </w:rPr>
        <w:t xml:space="preserve"> </w:t>
      </w:r>
      <w:bookmarkEnd w:id="17"/>
    </w:p>
    <w:p w14:paraId="38740858" w14:textId="77777777" w:rsidR="00077CD9" w:rsidRDefault="00077CD9" w:rsidP="00DE63B5">
      <w:pPr>
        <w:rPr>
          <w:sz w:val="24"/>
          <w:szCs w:val="24"/>
        </w:rPr>
      </w:pPr>
    </w:p>
    <w:bookmarkEnd w:id="15"/>
    <w:p w14:paraId="3FB5313E" w14:textId="510E8F93" w:rsidR="00077CD9" w:rsidRPr="00077CD9" w:rsidRDefault="00077CD9" w:rsidP="00DE63B5">
      <w:pPr>
        <w:rPr>
          <w:b/>
          <w:i/>
          <w:sz w:val="24"/>
          <w:szCs w:val="24"/>
          <w:u w:val="single"/>
        </w:rPr>
      </w:pPr>
      <w:r w:rsidRPr="00077CD9">
        <w:rPr>
          <w:b/>
          <w:i/>
          <w:sz w:val="24"/>
          <w:szCs w:val="24"/>
          <w:u w:val="single"/>
        </w:rPr>
        <w:t>Journal Articles</w:t>
      </w:r>
    </w:p>
    <w:p w14:paraId="4BA8EC2C" w14:textId="2A8BD4FA" w:rsidR="007859FE" w:rsidRDefault="007859FE" w:rsidP="00DE63B5">
      <w:pPr>
        <w:rPr>
          <w:sz w:val="24"/>
          <w:szCs w:val="24"/>
        </w:rPr>
      </w:pPr>
      <w:r>
        <w:rPr>
          <w:sz w:val="24"/>
          <w:szCs w:val="24"/>
        </w:rPr>
        <w:t xml:space="preserve">Anna Clark, </w:t>
      </w:r>
      <w:r>
        <w:t xml:space="preserve">‘Review </w:t>
      </w:r>
      <w:r w:rsidRPr="000245A9">
        <w:rPr>
          <w:sz w:val="20"/>
          <w:szCs w:val="20"/>
        </w:rPr>
        <w:t>Changing Concepts of Citizenship: Gender, Empire and Class</w:t>
      </w:r>
      <w:r>
        <w:t>’, Journal Article, vol.42 (April 2003), pp. 263-270, Available: (</w:t>
      </w:r>
      <w:hyperlink r:id="rId11" w:history="1">
        <w:r w:rsidRPr="00B32610">
          <w:rPr>
            <w:rStyle w:val="Hyperlink"/>
          </w:rPr>
          <w:t>https://www.jstor.org/stable/10.1086/345605?Search=yes&amp;resultItemClick=true&amp;searchText=1867&amp;searchText=rEFORM&amp;searchText=aCT&amp;searchUri=%2Faction%2FdoBasicSearch%3Fgroup%3Dnone%26amp%3BQuery%3D1867%2BrEFORM%2BaCT%26amp%3Bwc%3Don%26amp%3Bacc%3Don%26amp%3Bfc%3Doff&amp;refreqid=search%3A6139c344d85ea356e4ebd20fd2dd907c</w:t>
        </w:r>
      </w:hyperlink>
      <w:r>
        <w:t>)</w:t>
      </w:r>
      <w:r w:rsidR="0091055B">
        <w:t>.</w:t>
      </w:r>
    </w:p>
    <w:p w14:paraId="4FA64ED0" w14:textId="665A401C" w:rsidR="00846ABC" w:rsidRPr="00DF4FBA" w:rsidRDefault="00B00C6B" w:rsidP="00DE63B5">
      <w:pPr>
        <w:rPr>
          <w:sz w:val="24"/>
          <w:szCs w:val="24"/>
        </w:rPr>
      </w:pPr>
      <w:r>
        <w:rPr>
          <w:sz w:val="24"/>
          <w:szCs w:val="24"/>
        </w:rPr>
        <w:t xml:space="preserve">John D. Turner + </w:t>
      </w:r>
      <w:proofErr w:type="spellStart"/>
      <w:r>
        <w:rPr>
          <w:sz w:val="24"/>
          <w:szCs w:val="24"/>
        </w:rPr>
        <w:t>Wenwen</w:t>
      </w:r>
      <w:proofErr w:type="spellEnd"/>
      <w:r>
        <w:rPr>
          <w:sz w:val="24"/>
          <w:szCs w:val="24"/>
        </w:rPr>
        <w:t xml:space="preserve"> Zhan’ </w:t>
      </w:r>
      <w:r>
        <w:t xml:space="preserve">Property rights and competing for the affections of Demos: the impact of the 1867 Reform Act on stock prices’, </w:t>
      </w:r>
      <w:r w:rsidRPr="00B00C6B">
        <w:rPr>
          <w:i/>
        </w:rPr>
        <w:t>Journal Article</w:t>
      </w:r>
      <w:r>
        <w:t>, vol. 150 (March 2012), Introduction. Available: (</w:t>
      </w:r>
      <w:hyperlink r:id="rId12" w:history="1">
        <w:r w:rsidRPr="00D02B51">
          <w:rPr>
            <w:rStyle w:val="Hyperlink"/>
          </w:rPr>
          <w:t>https://www.jstor.org/stable/pdf/41406900.pdf?refreqid=excelsior%3Ab0ae177628b1d23c0db5a85063514c52</w:t>
        </w:r>
      </w:hyperlink>
      <w:r>
        <w:t>)</w:t>
      </w:r>
      <w:r w:rsidR="0091055B">
        <w:t>.</w:t>
      </w:r>
    </w:p>
    <w:sectPr w:rsidR="00846ABC" w:rsidRPr="00DF4F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01BA6E" w14:textId="77777777" w:rsidR="00EE17FB" w:rsidRDefault="00EE17FB" w:rsidP="00EE17FB">
      <w:pPr>
        <w:spacing w:after="0" w:line="240" w:lineRule="auto"/>
      </w:pPr>
      <w:r>
        <w:separator/>
      </w:r>
    </w:p>
  </w:endnote>
  <w:endnote w:type="continuationSeparator" w:id="0">
    <w:p w14:paraId="6F7254C2" w14:textId="77777777" w:rsidR="00EE17FB" w:rsidRDefault="00EE17FB" w:rsidP="00EE17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C574AF" w14:textId="77777777" w:rsidR="00EE17FB" w:rsidRDefault="00EE17FB" w:rsidP="00EE17FB">
      <w:pPr>
        <w:spacing w:after="0" w:line="240" w:lineRule="auto"/>
      </w:pPr>
      <w:r>
        <w:separator/>
      </w:r>
    </w:p>
  </w:footnote>
  <w:footnote w:type="continuationSeparator" w:id="0">
    <w:p w14:paraId="72C3F0B7" w14:textId="77777777" w:rsidR="00EE17FB" w:rsidRDefault="00EE17FB" w:rsidP="00EE17FB">
      <w:pPr>
        <w:spacing w:after="0" w:line="240" w:lineRule="auto"/>
      </w:pPr>
      <w:r>
        <w:continuationSeparator/>
      </w:r>
    </w:p>
  </w:footnote>
  <w:footnote w:id="1">
    <w:p w14:paraId="32E70F31" w14:textId="2F412C8B" w:rsidR="00EE17FB" w:rsidRPr="00B00C6B" w:rsidRDefault="00EE17FB">
      <w:pPr>
        <w:pStyle w:val="FootnoteText"/>
      </w:pPr>
      <w:r>
        <w:rPr>
          <w:rStyle w:val="FootnoteReference"/>
        </w:rPr>
        <w:footnoteRef/>
      </w:r>
      <w:r>
        <w:t xml:space="preserve"> Turner, J.D + Zhan W, ‘</w:t>
      </w:r>
      <w:bookmarkStart w:id="1" w:name="_Hlk509254798"/>
      <w:r>
        <w:t>Property rights and competing for the affections of Demos: the impact of the 1867 Reform Act on stock prices’</w:t>
      </w:r>
      <w:r w:rsidR="00B00C6B">
        <w:t xml:space="preserve">, </w:t>
      </w:r>
      <w:r w:rsidR="00B00C6B" w:rsidRPr="00B00C6B">
        <w:rPr>
          <w:i/>
        </w:rPr>
        <w:t>Journal Article</w:t>
      </w:r>
      <w:r w:rsidR="00B00C6B">
        <w:t>, vol. 150 (March 2012), Introduction. Available: (</w:t>
      </w:r>
      <w:hyperlink r:id="rId1" w:history="1">
        <w:r w:rsidR="00B00C6B" w:rsidRPr="00D02B51">
          <w:rPr>
            <w:rStyle w:val="Hyperlink"/>
          </w:rPr>
          <w:t>https://www.jstor.org/stable/pdf/41406900.pdf?refreqid=excelsior%3Ab0ae177628b1d23c0db5a85063514c52</w:t>
        </w:r>
      </w:hyperlink>
      <w:r w:rsidR="00B00C6B">
        <w:t>)</w:t>
      </w:r>
      <w:bookmarkEnd w:id="1"/>
      <w:r w:rsidR="00B00C6B">
        <w:t xml:space="preserve"> {Accessed 19/03/18}</w:t>
      </w:r>
      <w:r w:rsidR="0091055B">
        <w:t>.</w:t>
      </w:r>
    </w:p>
  </w:footnote>
  <w:footnote w:id="2">
    <w:p w14:paraId="76785DBC" w14:textId="725698E0" w:rsidR="00D04167" w:rsidRDefault="00D04167">
      <w:pPr>
        <w:pStyle w:val="FootnoteText"/>
      </w:pPr>
      <w:r>
        <w:rPr>
          <w:rStyle w:val="FootnoteReference"/>
        </w:rPr>
        <w:footnoteRef/>
      </w:r>
      <w:r>
        <w:t xml:space="preserve"> Saunders, R, </w:t>
      </w:r>
      <w:r w:rsidRPr="000A457C">
        <w:rPr>
          <w:i/>
        </w:rPr>
        <w:t>Democracy and the Vote in British Politics, 1848-1867</w:t>
      </w:r>
      <w:r>
        <w:rPr>
          <w:i/>
        </w:rPr>
        <w:t>,</w:t>
      </w:r>
      <w:r>
        <w:t xml:space="preserve"> (London: Routledge ,2016) </w:t>
      </w:r>
      <w:bookmarkStart w:id="2" w:name="_Hlk509495205"/>
      <w:r>
        <w:t>p. 1</w:t>
      </w:r>
      <w:bookmarkEnd w:id="2"/>
      <w:r w:rsidR="0091055B">
        <w:t>.</w:t>
      </w:r>
    </w:p>
  </w:footnote>
  <w:footnote w:id="3">
    <w:p w14:paraId="409E9BD6" w14:textId="7F33B50B" w:rsidR="00D04167" w:rsidRDefault="00D04167">
      <w:pPr>
        <w:pStyle w:val="FootnoteText"/>
      </w:pPr>
      <w:r>
        <w:rPr>
          <w:rStyle w:val="FootnoteReference"/>
        </w:rPr>
        <w:footnoteRef/>
      </w:r>
      <w:r>
        <w:t xml:space="preserve"> Saunders, R, </w:t>
      </w:r>
      <w:r w:rsidRPr="000A457C">
        <w:rPr>
          <w:i/>
        </w:rPr>
        <w:t>Democracy and the Vote in British Politics, 1848-1867</w:t>
      </w:r>
      <w:r>
        <w:rPr>
          <w:i/>
        </w:rPr>
        <w:t xml:space="preserve">, </w:t>
      </w:r>
      <w:r>
        <w:t>p. 1</w:t>
      </w:r>
      <w:r w:rsidR="0091055B">
        <w:t>.</w:t>
      </w:r>
    </w:p>
  </w:footnote>
  <w:footnote w:id="4">
    <w:p w14:paraId="2C36FEA5" w14:textId="7DB567F2" w:rsidR="00404CF7" w:rsidRDefault="00404CF7">
      <w:pPr>
        <w:pStyle w:val="FootnoteText"/>
      </w:pPr>
      <w:r>
        <w:rPr>
          <w:rStyle w:val="FootnoteReference"/>
        </w:rPr>
        <w:footnoteRef/>
      </w:r>
      <w:r>
        <w:t xml:space="preserve"> Walton, J.D, </w:t>
      </w:r>
      <w:r w:rsidRPr="0045424D">
        <w:rPr>
          <w:i/>
        </w:rPr>
        <w:t xml:space="preserve">The Second Reform Act </w:t>
      </w:r>
      <w:r w:rsidRPr="0045424D">
        <w:t>(London: Routledge 1996) p.1</w:t>
      </w:r>
      <w:r w:rsidR="0091055B">
        <w:t>.</w:t>
      </w:r>
    </w:p>
  </w:footnote>
  <w:footnote w:id="5">
    <w:p w14:paraId="0D409368" w14:textId="33619FFB" w:rsidR="0045424D" w:rsidRDefault="0045424D">
      <w:pPr>
        <w:pStyle w:val="FootnoteText"/>
      </w:pPr>
      <w:r>
        <w:rPr>
          <w:rStyle w:val="FootnoteReference"/>
        </w:rPr>
        <w:footnoteRef/>
      </w:r>
      <w:r>
        <w:t xml:space="preserve"> (Ibid)</w:t>
      </w:r>
      <w:r w:rsidR="0091055B">
        <w:t>.</w:t>
      </w:r>
    </w:p>
  </w:footnote>
  <w:footnote w:id="6">
    <w:p w14:paraId="1D1B9E22" w14:textId="43433DC5" w:rsidR="005A6757" w:rsidRPr="005A6757" w:rsidRDefault="005A6757" w:rsidP="005A6757">
      <w:pPr>
        <w:rPr>
          <w:sz w:val="20"/>
          <w:szCs w:val="20"/>
        </w:rPr>
      </w:pPr>
      <w:r>
        <w:rPr>
          <w:rStyle w:val="FootnoteReference"/>
        </w:rPr>
        <w:footnoteRef/>
      </w:r>
      <w:r>
        <w:t xml:space="preserve"> </w:t>
      </w:r>
      <w:bookmarkStart w:id="3" w:name="_Hlk509341680"/>
      <w:r w:rsidRPr="005A6757">
        <w:rPr>
          <w:sz w:val="20"/>
          <w:szCs w:val="20"/>
        </w:rPr>
        <w:t>Truman, C.N, ‘The Impact of the 1867 Reform Act’</w:t>
      </w:r>
      <w:bookmarkEnd w:id="3"/>
      <w:r w:rsidRPr="005A6757">
        <w:rPr>
          <w:sz w:val="20"/>
          <w:szCs w:val="20"/>
        </w:rPr>
        <w:t>, March 27</w:t>
      </w:r>
      <w:r w:rsidRPr="005A6757">
        <w:rPr>
          <w:sz w:val="20"/>
          <w:szCs w:val="20"/>
          <w:vertAlign w:val="superscript"/>
        </w:rPr>
        <w:t>th</w:t>
      </w:r>
      <w:r w:rsidRPr="005A6757">
        <w:rPr>
          <w:sz w:val="20"/>
          <w:szCs w:val="20"/>
        </w:rPr>
        <w:t xml:space="preserve"> 2015 Available : (</w:t>
      </w:r>
      <w:hyperlink r:id="rId2" w:history="1">
        <w:r w:rsidRPr="005A6757">
          <w:rPr>
            <w:rStyle w:val="Hyperlink"/>
            <w:sz w:val="20"/>
            <w:szCs w:val="20"/>
          </w:rPr>
          <w:t>https://www.historylearningsite.co.uk/british-electoral-history-since-1832/the-impact-of-the-1867-reform-act/</w:t>
        </w:r>
      </w:hyperlink>
      <w:r w:rsidRPr="005A6757">
        <w:rPr>
          <w:sz w:val="20"/>
          <w:szCs w:val="20"/>
        </w:rPr>
        <w:t>) {Accessed 20/03/18}</w:t>
      </w:r>
      <w:r w:rsidR="0091055B">
        <w:rPr>
          <w:sz w:val="20"/>
          <w:szCs w:val="20"/>
        </w:rPr>
        <w:t>.</w:t>
      </w:r>
    </w:p>
    <w:p w14:paraId="66CCB9B4" w14:textId="1C3EE26E" w:rsidR="005A6757" w:rsidRDefault="005A6757">
      <w:pPr>
        <w:pStyle w:val="FootnoteText"/>
      </w:pPr>
    </w:p>
  </w:footnote>
  <w:footnote w:id="7">
    <w:p w14:paraId="7D52FC80" w14:textId="05A58364" w:rsidR="00AE523E" w:rsidRDefault="00AE523E">
      <w:pPr>
        <w:pStyle w:val="FootnoteText"/>
      </w:pPr>
      <w:r>
        <w:rPr>
          <w:rStyle w:val="FootnoteReference"/>
        </w:rPr>
        <w:footnoteRef/>
      </w:r>
      <w:r>
        <w:t xml:space="preserve"> </w:t>
      </w:r>
      <w:bookmarkStart w:id="4" w:name="_Hlk509487244"/>
      <w:r w:rsidRPr="005A6757">
        <w:t>Truman, C.N, ‘The Impact of the 1867 Reform Act’</w:t>
      </w:r>
      <w:r w:rsidR="0091055B">
        <w:t>.</w:t>
      </w:r>
    </w:p>
    <w:bookmarkEnd w:id="4"/>
  </w:footnote>
  <w:footnote w:id="8">
    <w:p w14:paraId="189641A7" w14:textId="39AE381E" w:rsidR="005D029C" w:rsidRDefault="005D029C">
      <w:pPr>
        <w:pStyle w:val="FootnoteText"/>
      </w:pPr>
      <w:r>
        <w:rPr>
          <w:rStyle w:val="FootnoteReference"/>
        </w:rPr>
        <w:footnoteRef/>
      </w:r>
      <w:r>
        <w:t xml:space="preserve"> (Ibid)</w:t>
      </w:r>
      <w:r w:rsidR="0091055B">
        <w:t>.</w:t>
      </w:r>
    </w:p>
  </w:footnote>
  <w:footnote w:id="9">
    <w:p w14:paraId="204163CE" w14:textId="6BABB7DA" w:rsidR="005D029C" w:rsidRDefault="005D029C">
      <w:pPr>
        <w:pStyle w:val="FootnoteText"/>
      </w:pPr>
      <w:r>
        <w:rPr>
          <w:rStyle w:val="FootnoteReference"/>
        </w:rPr>
        <w:footnoteRef/>
      </w:r>
      <w:r>
        <w:t xml:space="preserve"> (Ibid)</w:t>
      </w:r>
      <w:r w:rsidR="0091055B">
        <w:t>.</w:t>
      </w:r>
    </w:p>
  </w:footnote>
  <w:footnote w:id="10">
    <w:p w14:paraId="67674C9E" w14:textId="35B9280C" w:rsidR="003B0DCA" w:rsidRDefault="003B0DCA">
      <w:pPr>
        <w:pStyle w:val="FootnoteText"/>
      </w:pPr>
      <w:r>
        <w:rPr>
          <w:rStyle w:val="FootnoteReference"/>
        </w:rPr>
        <w:footnoteRef/>
      </w:r>
      <w:r>
        <w:t xml:space="preserve"> (Ibid)</w:t>
      </w:r>
      <w:r w:rsidR="0091055B">
        <w:t>.</w:t>
      </w:r>
    </w:p>
  </w:footnote>
  <w:footnote w:id="11">
    <w:p w14:paraId="51E235B2" w14:textId="1B4225F5" w:rsidR="000245A9" w:rsidRDefault="000245A9">
      <w:pPr>
        <w:pStyle w:val="FootnoteText"/>
      </w:pPr>
      <w:r>
        <w:rPr>
          <w:rStyle w:val="FootnoteReference"/>
        </w:rPr>
        <w:footnoteRef/>
      </w:r>
      <w:r>
        <w:t xml:space="preserve"> </w:t>
      </w:r>
      <w:bookmarkStart w:id="6" w:name="_Hlk509487139"/>
      <w:r>
        <w:t xml:space="preserve">Clark, A, </w:t>
      </w:r>
      <w:bookmarkStart w:id="7" w:name="_Hlk509484440"/>
      <w:r>
        <w:t xml:space="preserve">‘Review </w:t>
      </w:r>
      <w:r w:rsidRPr="000245A9">
        <w:t>Changing Concepts of Citizenship: Gender, Empire and Class</w:t>
      </w:r>
      <w:r w:rsidR="007859FE">
        <w:t xml:space="preserve">’, Journal Article, vol.42 </w:t>
      </w:r>
      <w:bookmarkEnd w:id="6"/>
      <w:r w:rsidR="007859FE">
        <w:t xml:space="preserve">(April 2003), </w:t>
      </w:r>
      <w:bookmarkStart w:id="8" w:name="_Hlk509487189"/>
      <w:r w:rsidR="007859FE">
        <w:t>pp. 263-270</w:t>
      </w:r>
      <w:bookmarkEnd w:id="7"/>
      <w:bookmarkEnd w:id="8"/>
      <w:r w:rsidR="007859FE">
        <w:t xml:space="preserve">, </w:t>
      </w:r>
      <w:bookmarkStart w:id="9" w:name="_Hlk509484478"/>
      <w:r w:rsidR="007859FE">
        <w:t>Available: (</w:t>
      </w:r>
      <w:hyperlink r:id="rId3" w:history="1">
        <w:r w:rsidR="007859FE" w:rsidRPr="00B32610">
          <w:rPr>
            <w:rStyle w:val="Hyperlink"/>
          </w:rPr>
          <w:t>https://www.jstor.org/stable/10.1086/345605?Search=yes&amp;resultItemClick=true&amp;searchText=1867&amp;searchText=rEFORM&amp;searchText=aCT&amp;searchUri=%2Faction%2FdoBasicSearch%3Fgroup%3Dnone%26amp%3BQuery%3D1867%2BrEFORM%2BaCT%26amp%3Bwc%3Don%26amp%3Bacc%3Don%26amp%3Bfc%3Doff&amp;refreqid=search%3A6139c344d85ea356e4ebd20fd2dd907c</w:t>
        </w:r>
      </w:hyperlink>
      <w:r w:rsidR="007859FE">
        <w:t xml:space="preserve">) </w:t>
      </w:r>
      <w:bookmarkEnd w:id="9"/>
      <w:r w:rsidR="007859FE">
        <w:t>{Accessed 22/03/18}</w:t>
      </w:r>
      <w:r w:rsidR="0091055B">
        <w:t>.</w:t>
      </w:r>
    </w:p>
  </w:footnote>
  <w:footnote w:id="12">
    <w:p w14:paraId="0A3C718A" w14:textId="53B6FA6D" w:rsidR="00414B3A" w:rsidRDefault="00414B3A">
      <w:pPr>
        <w:pStyle w:val="FootnoteText"/>
      </w:pPr>
      <w:r>
        <w:rPr>
          <w:rStyle w:val="FootnoteReference"/>
        </w:rPr>
        <w:footnoteRef/>
      </w:r>
      <w:r>
        <w:t xml:space="preserve"> Clark, A, ‘Review </w:t>
      </w:r>
      <w:r w:rsidRPr="000245A9">
        <w:t>Changing Concepts of Citizenship: Gender, Empire and Class</w:t>
      </w:r>
      <w:r>
        <w:t>’, Journal Article, vol.42, pp. 263-270</w:t>
      </w:r>
      <w:r w:rsidR="0091055B">
        <w:t>.</w:t>
      </w:r>
    </w:p>
  </w:footnote>
  <w:footnote w:id="13">
    <w:p w14:paraId="6BBB2C93" w14:textId="2DB1F9F2" w:rsidR="00414B3A" w:rsidRDefault="005F2173" w:rsidP="00414B3A">
      <w:pPr>
        <w:pStyle w:val="FootnoteText"/>
      </w:pPr>
      <w:r>
        <w:rPr>
          <w:rStyle w:val="FootnoteReference"/>
        </w:rPr>
        <w:footnoteRef/>
      </w:r>
      <w:r>
        <w:t xml:space="preserve"> </w:t>
      </w:r>
      <w:r w:rsidR="00414B3A" w:rsidRPr="005A6757">
        <w:t>Truman, C.N, ‘The Impact of the 1867 Reform Act’</w:t>
      </w:r>
      <w:r w:rsidR="0091055B">
        <w:t>.</w:t>
      </w:r>
    </w:p>
    <w:p w14:paraId="6ED8F40B" w14:textId="3B59FFB8" w:rsidR="005F2173" w:rsidRDefault="005F2173">
      <w:pPr>
        <w:pStyle w:val="FootnoteText"/>
      </w:pPr>
    </w:p>
  </w:footnote>
  <w:footnote w:id="14">
    <w:p w14:paraId="343FD8E4" w14:textId="1FCE844B" w:rsidR="00A647CD" w:rsidRDefault="00A647CD">
      <w:pPr>
        <w:pStyle w:val="FootnoteText"/>
      </w:pPr>
      <w:r>
        <w:rPr>
          <w:rStyle w:val="FootnoteReference"/>
        </w:rPr>
        <w:footnoteRef/>
      </w:r>
      <w:r>
        <w:t xml:space="preserve"> (Ibid)</w:t>
      </w:r>
      <w:r w:rsidR="0091055B">
        <w:t>.</w:t>
      </w:r>
    </w:p>
  </w:footnote>
  <w:footnote w:id="15">
    <w:p w14:paraId="6C297C5B" w14:textId="50B600BF" w:rsidR="00FD50D6" w:rsidRDefault="00FD50D6">
      <w:pPr>
        <w:pStyle w:val="FootnoteText"/>
      </w:pPr>
      <w:r>
        <w:rPr>
          <w:rStyle w:val="FootnoteReference"/>
        </w:rPr>
        <w:footnoteRef/>
      </w:r>
      <w:r>
        <w:t xml:space="preserve"> (Ibid)</w:t>
      </w:r>
      <w:r w:rsidR="0091055B">
        <w:t>.</w:t>
      </w:r>
    </w:p>
  </w:footnote>
  <w:footnote w:id="16">
    <w:p w14:paraId="662FF5B9" w14:textId="71476E82" w:rsidR="00826751" w:rsidRPr="00826751" w:rsidRDefault="00826751" w:rsidP="00826751">
      <w:pPr>
        <w:rPr>
          <w:sz w:val="20"/>
          <w:szCs w:val="20"/>
        </w:rPr>
      </w:pPr>
      <w:r>
        <w:rPr>
          <w:rStyle w:val="FootnoteReference"/>
        </w:rPr>
        <w:footnoteRef/>
      </w:r>
      <w:r>
        <w:t xml:space="preserve"> Truman, C.N, </w:t>
      </w:r>
      <w:r w:rsidRPr="00826751">
        <w:rPr>
          <w:sz w:val="20"/>
          <w:szCs w:val="20"/>
        </w:rPr>
        <w:t>‘The 1884 Reform Act’, March 27</w:t>
      </w:r>
      <w:r w:rsidRPr="00826751">
        <w:rPr>
          <w:sz w:val="20"/>
          <w:szCs w:val="20"/>
          <w:vertAlign w:val="superscript"/>
        </w:rPr>
        <w:t>th</w:t>
      </w:r>
      <w:r w:rsidRPr="00826751">
        <w:rPr>
          <w:sz w:val="20"/>
          <w:szCs w:val="20"/>
        </w:rPr>
        <w:t xml:space="preserve"> 2015, Available: (</w:t>
      </w:r>
      <w:hyperlink r:id="rId4" w:history="1">
        <w:r w:rsidRPr="00826751">
          <w:rPr>
            <w:rStyle w:val="Hyperlink"/>
            <w:sz w:val="20"/>
            <w:szCs w:val="20"/>
          </w:rPr>
          <w:t>https://www.historylearningsite.co.uk/british-electoral-history-since-1832/the-1884-reform-act/</w:t>
        </w:r>
      </w:hyperlink>
      <w:r w:rsidRPr="00826751">
        <w:rPr>
          <w:sz w:val="20"/>
          <w:szCs w:val="20"/>
        </w:rPr>
        <w:t xml:space="preserve">) </w:t>
      </w:r>
      <w:r>
        <w:rPr>
          <w:sz w:val="20"/>
          <w:szCs w:val="20"/>
        </w:rPr>
        <w:t>{Accessed 22/03/18}</w:t>
      </w:r>
      <w:r w:rsidR="0091055B">
        <w:rPr>
          <w:sz w:val="20"/>
          <w:szCs w:val="20"/>
        </w:rPr>
        <w:t>.</w:t>
      </w:r>
    </w:p>
  </w:footnote>
  <w:footnote w:id="17">
    <w:p w14:paraId="78D90F58" w14:textId="5C676A3C" w:rsidR="00C341E4" w:rsidRPr="00C341E4" w:rsidRDefault="00C341E4">
      <w:pPr>
        <w:pStyle w:val="FootnoteText"/>
      </w:pPr>
      <w:r>
        <w:rPr>
          <w:rStyle w:val="FootnoteReference"/>
        </w:rPr>
        <w:footnoteRef/>
      </w:r>
      <w:r>
        <w:t xml:space="preserve"> </w:t>
      </w:r>
      <w:r w:rsidRPr="00C341E4">
        <w:t>Truman, C.N, ‘The Impact of the 1867 Reform Act’, March 27</w:t>
      </w:r>
      <w:r w:rsidRPr="00C341E4">
        <w:rPr>
          <w:vertAlign w:val="superscript"/>
        </w:rPr>
        <w:t>th</w:t>
      </w:r>
      <w:r w:rsidRPr="00C341E4">
        <w:t xml:space="preserve"> 2015, Available : (</w:t>
      </w:r>
      <w:hyperlink r:id="rId5" w:history="1">
        <w:r w:rsidRPr="00C341E4">
          <w:rPr>
            <w:rStyle w:val="Hyperlink"/>
          </w:rPr>
          <w:t>https://www.historylearningsite.co.uk/british-electoral-history-since-1832/the-impact-of-the-1867-reform-act/</w:t>
        </w:r>
      </w:hyperlink>
      <w:r w:rsidRPr="00C341E4">
        <w:t>)</w:t>
      </w:r>
      <w:r>
        <w:t xml:space="preserve"> {Accessed 21/03/18}</w:t>
      </w:r>
      <w:r w:rsidR="0091055B">
        <w:t>.</w:t>
      </w:r>
    </w:p>
  </w:footnote>
  <w:footnote w:id="18">
    <w:p w14:paraId="2C0942DD" w14:textId="06636720" w:rsidR="005D00EF" w:rsidRPr="005D00EF" w:rsidRDefault="005D00EF">
      <w:pPr>
        <w:pStyle w:val="FootnoteText"/>
      </w:pPr>
      <w:r>
        <w:rPr>
          <w:rStyle w:val="FootnoteReference"/>
        </w:rPr>
        <w:footnoteRef/>
      </w:r>
      <w:r>
        <w:t xml:space="preserve"> Truman, C.N, </w:t>
      </w:r>
      <w:r w:rsidRPr="005D00EF">
        <w:t>‘The 1918 Representation of the People Act’, March 17</w:t>
      </w:r>
      <w:r w:rsidRPr="005D00EF">
        <w:rPr>
          <w:vertAlign w:val="superscript"/>
        </w:rPr>
        <w:t>th</w:t>
      </w:r>
      <w:r w:rsidRPr="005D00EF">
        <w:t xml:space="preserve"> 2015, Available: (</w:t>
      </w:r>
      <w:hyperlink r:id="rId6" w:history="1">
        <w:r w:rsidRPr="005D00EF">
          <w:rPr>
            <w:rStyle w:val="Hyperlink"/>
          </w:rPr>
          <w:t>http://www.historylearningsite.co.uk/the-role-of-british-women-in-the-twentieth-century/the-1918-representation-of-the-people-act/</w:t>
        </w:r>
      </w:hyperlink>
      <w:r w:rsidRPr="005D00EF">
        <w:t>)</w:t>
      </w:r>
      <w:r w:rsidR="0091055B">
        <w:t>.</w:t>
      </w:r>
    </w:p>
  </w:footnote>
  <w:footnote w:id="19">
    <w:p w14:paraId="1AA5BB0D" w14:textId="2F5A4CE9" w:rsidR="000A457C" w:rsidRPr="000A457C" w:rsidRDefault="000A457C">
      <w:pPr>
        <w:pStyle w:val="FootnoteText"/>
      </w:pPr>
      <w:r>
        <w:rPr>
          <w:rStyle w:val="FootnoteReference"/>
        </w:rPr>
        <w:footnoteRef/>
      </w:r>
      <w:r>
        <w:t xml:space="preserve"> </w:t>
      </w:r>
      <w:bookmarkStart w:id="10" w:name="_Hlk509494818"/>
      <w:r>
        <w:t xml:space="preserve">Saunders, R, </w:t>
      </w:r>
      <w:bookmarkStart w:id="11" w:name="_Hlk509494164"/>
      <w:r w:rsidRPr="000A457C">
        <w:rPr>
          <w:i/>
        </w:rPr>
        <w:t>Democracy and the Vote in British Politics, 1848-1867</w:t>
      </w:r>
      <w:bookmarkEnd w:id="11"/>
      <w:r>
        <w:rPr>
          <w:i/>
        </w:rPr>
        <w:t>,</w:t>
      </w:r>
      <w:r>
        <w:t xml:space="preserve"> </w:t>
      </w:r>
      <w:bookmarkStart w:id="12" w:name="_Hlk509494206"/>
      <w:r>
        <w:t xml:space="preserve">(London: Routledge ,2016) </w:t>
      </w:r>
      <w:bookmarkEnd w:id="12"/>
      <w:r>
        <w:t>p</w:t>
      </w:r>
      <w:r w:rsidR="00B5657F">
        <w:t>. 1</w:t>
      </w:r>
      <w:r w:rsidR="0091055B">
        <w:t>.</w:t>
      </w:r>
      <w:r w:rsidR="00B5657F">
        <w:t xml:space="preserve"> </w:t>
      </w:r>
      <w:bookmarkEnd w:id="10"/>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0E9"/>
    <w:rsid w:val="00006EC0"/>
    <w:rsid w:val="00013285"/>
    <w:rsid w:val="00015EF8"/>
    <w:rsid w:val="000245A9"/>
    <w:rsid w:val="0004737D"/>
    <w:rsid w:val="00077CD9"/>
    <w:rsid w:val="000A414C"/>
    <w:rsid w:val="000A457C"/>
    <w:rsid w:val="000B5F4F"/>
    <w:rsid w:val="000C39E9"/>
    <w:rsid w:val="000C6C59"/>
    <w:rsid w:val="000E22AB"/>
    <w:rsid w:val="000E7363"/>
    <w:rsid w:val="00110AB4"/>
    <w:rsid w:val="00151806"/>
    <w:rsid w:val="001538F9"/>
    <w:rsid w:val="00175E2F"/>
    <w:rsid w:val="00197B14"/>
    <w:rsid w:val="001B3574"/>
    <w:rsid w:val="001C2009"/>
    <w:rsid w:val="001F7790"/>
    <w:rsid w:val="00281650"/>
    <w:rsid w:val="002E5310"/>
    <w:rsid w:val="00300720"/>
    <w:rsid w:val="0033659C"/>
    <w:rsid w:val="003A0CB1"/>
    <w:rsid w:val="003A1624"/>
    <w:rsid w:val="003B0DCA"/>
    <w:rsid w:val="003E6C61"/>
    <w:rsid w:val="003F3AD5"/>
    <w:rsid w:val="00404CF7"/>
    <w:rsid w:val="00414B3A"/>
    <w:rsid w:val="00417A03"/>
    <w:rsid w:val="00447160"/>
    <w:rsid w:val="0045424D"/>
    <w:rsid w:val="00475245"/>
    <w:rsid w:val="004B2123"/>
    <w:rsid w:val="004C59D7"/>
    <w:rsid w:val="004D028D"/>
    <w:rsid w:val="004D56C8"/>
    <w:rsid w:val="004E4E59"/>
    <w:rsid w:val="0054280F"/>
    <w:rsid w:val="005A6757"/>
    <w:rsid w:val="005A6A23"/>
    <w:rsid w:val="005B681D"/>
    <w:rsid w:val="005C059C"/>
    <w:rsid w:val="005D00EF"/>
    <w:rsid w:val="005D029C"/>
    <w:rsid w:val="005F2173"/>
    <w:rsid w:val="00644338"/>
    <w:rsid w:val="00671AEA"/>
    <w:rsid w:val="00684B28"/>
    <w:rsid w:val="006B6C4A"/>
    <w:rsid w:val="006C44EE"/>
    <w:rsid w:val="006C7EB1"/>
    <w:rsid w:val="006D0C1C"/>
    <w:rsid w:val="006F5929"/>
    <w:rsid w:val="00716B62"/>
    <w:rsid w:val="00726894"/>
    <w:rsid w:val="007337B3"/>
    <w:rsid w:val="00766F6E"/>
    <w:rsid w:val="007730E9"/>
    <w:rsid w:val="007859FE"/>
    <w:rsid w:val="007A0E7B"/>
    <w:rsid w:val="007B622E"/>
    <w:rsid w:val="007D78C0"/>
    <w:rsid w:val="007E52F4"/>
    <w:rsid w:val="00812C03"/>
    <w:rsid w:val="00816129"/>
    <w:rsid w:val="00826751"/>
    <w:rsid w:val="00846ABC"/>
    <w:rsid w:val="00865758"/>
    <w:rsid w:val="0091055B"/>
    <w:rsid w:val="00915F9D"/>
    <w:rsid w:val="00941237"/>
    <w:rsid w:val="00960BAC"/>
    <w:rsid w:val="00967143"/>
    <w:rsid w:val="009E7B57"/>
    <w:rsid w:val="009F00A4"/>
    <w:rsid w:val="00A50493"/>
    <w:rsid w:val="00A647CD"/>
    <w:rsid w:val="00A871DA"/>
    <w:rsid w:val="00A92C16"/>
    <w:rsid w:val="00A9539E"/>
    <w:rsid w:val="00A971AB"/>
    <w:rsid w:val="00AE523E"/>
    <w:rsid w:val="00AE6CCB"/>
    <w:rsid w:val="00B00C6B"/>
    <w:rsid w:val="00B026FB"/>
    <w:rsid w:val="00B33D9E"/>
    <w:rsid w:val="00B41588"/>
    <w:rsid w:val="00B5657F"/>
    <w:rsid w:val="00B830E1"/>
    <w:rsid w:val="00B93450"/>
    <w:rsid w:val="00BE6360"/>
    <w:rsid w:val="00BF3797"/>
    <w:rsid w:val="00C05BEA"/>
    <w:rsid w:val="00C341E4"/>
    <w:rsid w:val="00C562BA"/>
    <w:rsid w:val="00C86772"/>
    <w:rsid w:val="00CB4425"/>
    <w:rsid w:val="00D04167"/>
    <w:rsid w:val="00D2447D"/>
    <w:rsid w:val="00DB549C"/>
    <w:rsid w:val="00DE4027"/>
    <w:rsid w:val="00DE63B5"/>
    <w:rsid w:val="00DF4FBA"/>
    <w:rsid w:val="00E41752"/>
    <w:rsid w:val="00E42D26"/>
    <w:rsid w:val="00E4769A"/>
    <w:rsid w:val="00E54E48"/>
    <w:rsid w:val="00E81AC0"/>
    <w:rsid w:val="00E91572"/>
    <w:rsid w:val="00EE17FB"/>
    <w:rsid w:val="00F262B2"/>
    <w:rsid w:val="00F47D39"/>
    <w:rsid w:val="00FA06CE"/>
    <w:rsid w:val="00FA39C1"/>
    <w:rsid w:val="00FD50D6"/>
    <w:rsid w:val="00FE2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912D8"/>
  <w15:chartTrackingRefBased/>
  <w15:docId w15:val="{F567098B-9C91-4357-8741-91AAB5D7E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4FBA"/>
    <w:rPr>
      <w:color w:val="0563C1" w:themeColor="hyperlink"/>
      <w:u w:val="single"/>
    </w:rPr>
  </w:style>
  <w:style w:type="character" w:styleId="UnresolvedMention">
    <w:name w:val="Unresolved Mention"/>
    <w:basedOn w:val="DefaultParagraphFont"/>
    <w:uiPriority w:val="99"/>
    <w:semiHidden/>
    <w:unhideWhenUsed/>
    <w:rsid w:val="00DF4FBA"/>
    <w:rPr>
      <w:color w:val="808080"/>
      <w:shd w:val="clear" w:color="auto" w:fill="E6E6E6"/>
    </w:rPr>
  </w:style>
  <w:style w:type="paragraph" w:styleId="FootnoteText">
    <w:name w:val="footnote text"/>
    <w:basedOn w:val="Normal"/>
    <w:link w:val="FootnoteTextChar"/>
    <w:uiPriority w:val="99"/>
    <w:semiHidden/>
    <w:unhideWhenUsed/>
    <w:rsid w:val="00EE17F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17FB"/>
    <w:rPr>
      <w:sz w:val="20"/>
      <w:szCs w:val="20"/>
    </w:rPr>
  </w:style>
  <w:style w:type="character" w:styleId="FootnoteReference">
    <w:name w:val="footnote reference"/>
    <w:basedOn w:val="DefaultParagraphFont"/>
    <w:uiPriority w:val="99"/>
    <w:semiHidden/>
    <w:unhideWhenUsed/>
    <w:rsid w:val="00EE17F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learningsite.co.uk/british-electoral-history-since-1832/the-impact-of-the-1867-reform-ac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istorylearningsite.co.uk/british-electoral-history-since-1832/the-ballot-act-1872/" TargetMode="External"/><Relationship Id="rId12" Type="http://schemas.openxmlformats.org/officeDocument/2006/relationships/hyperlink" Target="https://www.jstor.org/stable/pdf/41406900.pdf?refreqid=excelsior%3Ab0ae177628b1d23c0db5a85063514c5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stable/10.1086/345605?Search=yes&amp;resultItemClick=true&amp;searchText=1867&amp;searchText=rEFORM&amp;searchText=aCT&amp;searchUri=%2Faction%2FdoBasicSearch%3Fgroup%3Dnone%26amp%3BQuery%3D1867%2BrEFORM%2BaCT%26amp%3Bwc%3Don%26amp%3Bacc%3Don%26amp%3Bfc%3Doff&amp;refreqid=search%3A6139c344d85ea356e4ebd20fd2dd907c" TargetMode="External"/><Relationship Id="rId5" Type="http://schemas.openxmlformats.org/officeDocument/2006/relationships/footnotes" Target="footnotes.xml"/><Relationship Id="rId10" Type="http://schemas.openxmlformats.org/officeDocument/2006/relationships/hyperlink" Target="http://www.historylearningsite.co.uk/the-role-of-british-women-in-the-twentieth-century/the-1918-representation-of-the-people-act/" TargetMode="External"/><Relationship Id="rId4" Type="http://schemas.openxmlformats.org/officeDocument/2006/relationships/webSettings" Target="webSettings.xml"/><Relationship Id="rId9" Type="http://schemas.openxmlformats.org/officeDocument/2006/relationships/hyperlink" Target="https://www.historylearningsite.co.uk/british-electoral-history-since-1832/the-1884-reform-act/"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10.1086/345605?Search=yes&amp;resultItemClick=true&amp;searchText=1867&amp;searchText=rEFORM&amp;searchText=aCT&amp;searchUri=%2Faction%2FdoBasicSearch%3Fgroup%3Dnone%26amp%3BQuery%3D1867%2BrEFORM%2BaCT%26amp%3Bwc%3Don%26amp%3Bacc%3Don%26amp%3Bfc%3Doff&amp;refreqid=search%3A6139c344d85ea356e4ebd20fd2dd907c" TargetMode="External"/><Relationship Id="rId2" Type="http://schemas.openxmlformats.org/officeDocument/2006/relationships/hyperlink" Target="https://www.historylearningsite.co.uk/british-electoral-history-since-1832/the-impact-of-the-1867-reform-act/" TargetMode="External"/><Relationship Id="rId1" Type="http://schemas.openxmlformats.org/officeDocument/2006/relationships/hyperlink" Target="https://www.jstor.org/stable/pdf/41406900.pdf?refreqid=excelsior%3Ab0ae177628b1d23c0db5a85063514c52" TargetMode="External"/><Relationship Id="rId6" Type="http://schemas.openxmlformats.org/officeDocument/2006/relationships/hyperlink" Target="http://www.historylearningsite.co.uk/the-role-of-british-women-in-the-twentieth-century/the-1918-representation-of-the-people-act/" TargetMode="External"/><Relationship Id="rId5" Type="http://schemas.openxmlformats.org/officeDocument/2006/relationships/hyperlink" Target="https://www.historylearningsite.co.uk/british-electoral-history-since-1832/the-impact-of-the-1867-reform-act/" TargetMode="External"/><Relationship Id="rId4" Type="http://schemas.openxmlformats.org/officeDocument/2006/relationships/hyperlink" Target="https://www.historylearningsite.co.uk/british-electoral-history-since-1832/the-1884-reform-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51C867-6C9C-4034-994A-B03D2D4F96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6</Pages>
  <Words>2376</Words>
  <Characters>13544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owens</dc:creator>
  <cp:keywords/>
  <dc:description/>
  <cp:lastModifiedBy>declan owens</cp:lastModifiedBy>
  <cp:revision>3</cp:revision>
  <dcterms:created xsi:type="dcterms:W3CDTF">2018-03-23T00:04:00Z</dcterms:created>
  <dcterms:modified xsi:type="dcterms:W3CDTF">2018-03-23T11:24:00Z</dcterms:modified>
</cp:coreProperties>
</file>