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4C8600" w14:textId="5A840F0B" w:rsidR="00C41523" w:rsidRDefault="00613739" w:rsidP="00A429EF">
      <w:pPr>
        <w:pStyle w:val="Title"/>
        <w:spacing w:after="240"/>
      </w:pPr>
      <w:r>
        <w:t>CHARACTER AND PSYCHOANALYSIS</w:t>
      </w:r>
    </w:p>
    <w:p w14:paraId="6AC49634" w14:textId="2F7330E3" w:rsidR="00613739" w:rsidRDefault="00613739" w:rsidP="00A429EF">
      <w:pPr>
        <w:pStyle w:val="Subtitle"/>
        <w:jc w:val="center"/>
      </w:pPr>
      <w:r>
        <w:t>A PRESENTATION BY EDEN</w:t>
      </w:r>
    </w:p>
    <w:p w14:paraId="0ABD65FB" w14:textId="77777777" w:rsidR="00613739" w:rsidRDefault="00613739" w:rsidP="00A429EF"/>
    <w:p w14:paraId="6C6A5109" w14:textId="090C165E" w:rsidR="00676D1B" w:rsidRDefault="00676D1B" w:rsidP="00676D1B">
      <w:r>
        <w:t xml:space="preserve">Psychoanalysis has long been a tool </w:t>
      </w:r>
      <w:r w:rsidR="00F94945">
        <w:t>used to</w:t>
      </w:r>
      <w:r>
        <w:t xml:space="preserve"> interpret human psychologies, whether we agree with </w:t>
      </w:r>
      <w:r w:rsidR="00F94945">
        <w:t>its</w:t>
      </w:r>
      <w:r>
        <w:t xml:space="preserve"> methods of applicatio</w:t>
      </w:r>
      <w:r w:rsidR="00F94945">
        <w:t xml:space="preserve">n. But </w:t>
      </w:r>
      <w:r>
        <w:t xml:space="preserve">what happens when you apply that to </w:t>
      </w:r>
      <w:r w:rsidR="00F94945">
        <w:t>literary characters</w:t>
      </w:r>
      <w:r>
        <w:t xml:space="preserve">? </w:t>
      </w:r>
      <w:r w:rsidR="00F94945">
        <w:t>Psychoanalysis, when applied to literature, makes the assumption that fictional characters can and do inhabit the same spaces as real humans</w:t>
      </w:r>
      <w:r>
        <w:t xml:space="preserve">. </w:t>
      </w:r>
      <w:r w:rsidR="00F94945">
        <w:t>However, I argue that this</w:t>
      </w:r>
      <w:r>
        <w:t xml:space="preserve"> approach is problematic</w:t>
      </w:r>
      <w:r w:rsidR="00F94945">
        <w:t xml:space="preserve">. </w:t>
      </w:r>
      <w:r w:rsidR="00F94945" w:rsidRPr="00F94945">
        <w:t>Applying classical psychoanalysis to a fictional character involves making assumptions that go beyond the specific narrative framework in which they exist</w:t>
      </w:r>
      <w:r w:rsidR="00F94945">
        <w:t>—in other words, it makes a sometimes-convincing fanfiction out of an established text</w:t>
      </w:r>
      <w:r>
        <w:t xml:space="preserve">. By juxtaposing analyses by Ernest Jones with Adam Phillips’ critiques, I will </w:t>
      </w:r>
      <w:r w:rsidR="00023A7C">
        <w:t>explore</w:t>
      </w:r>
      <w:r>
        <w:t xml:space="preserve"> the flaws of </w:t>
      </w:r>
      <w:r w:rsidR="00023A7C">
        <w:t>using</w:t>
      </w:r>
      <w:r>
        <w:t xml:space="preserve"> real</w:t>
      </w:r>
      <w:r w:rsidR="00023A7C">
        <w:t>-</w:t>
      </w:r>
      <w:r>
        <w:t xml:space="preserve">world psychoanalysis to </w:t>
      </w:r>
      <w:r w:rsidR="00023A7C">
        <w:t xml:space="preserve">interpret </w:t>
      </w:r>
      <w:r>
        <w:t>literary characters</w:t>
      </w:r>
      <w:r w:rsidR="00023A7C">
        <w:t xml:space="preserve">, </w:t>
      </w:r>
      <w:r>
        <w:t xml:space="preserve">using Hamlet as my case study. </w:t>
      </w:r>
    </w:p>
    <w:p w14:paraId="7B725B5D" w14:textId="7CDC3FA4" w:rsidR="00F94945" w:rsidRDefault="00F94945" w:rsidP="00F94945">
      <w:pPr>
        <w:ind w:firstLine="720"/>
      </w:pPr>
      <w:r>
        <w:t xml:space="preserve">Before I speak on Hamlet, I want to discuss </w:t>
      </w:r>
      <w:r w:rsidR="00023A7C">
        <w:t xml:space="preserve">classical psychoanalytic theory itself. </w:t>
      </w:r>
      <w:r w:rsidR="00023A7C" w:rsidRPr="00AE1F8C">
        <w:t xml:space="preserve">Classical psychoanalysis is an approach to psychology that explores the unconscious mind </w:t>
      </w:r>
      <w:r w:rsidR="00AE1F8C" w:rsidRPr="00AE1F8C">
        <w:t>in an attempt to</w:t>
      </w:r>
      <w:r w:rsidR="00023A7C" w:rsidRPr="00AE1F8C">
        <w:t xml:space="preserve"> understand human behaviour. Freud wrote about the Oedipus complex, which he broke into five stages which led to the repression of unconscious urges, particularly in men and boys</w:t>
      </w:r>
      <w:r w:rsidR="00571899" w:rsidRPr="00AE1F8C">
        <w:t xml:space="preserve">. Urges, </w:t>
      </w:r>
      <w:r w:rsidR="00023A7C" w:rsidRPr="00AE1F8C">
        <w:t xml:space="preserve">as </w:t>
      </w:r>
      <w:r w:rsidR="00571899" w:rsidRPr="00AE1F8C">
        <w:t>Freud’s theory suggests, that boys wanted to, in colloquial terms, “kill their rival [typically the father] to ensure their primary caregiver’s [typically the mother] affection for themselves.”</w:t>
      </w:r>
      <w:r w:rsidR="00AE1F8C">
        <w:rPr>
          <w:rStyle w:val="FootnoteReference"/>
        </w:rPr>
        <w:footnoteReference w:id="1"/>
      </w:r>
      <w:r w:rsidR="00023A7C" w:rsidRPr="00AE1F8C">
        <w:t xml:space="preserve"> Freud believed these repressed urges</w:t>
      </w:r>
      <w:r w:rsidR="00571899" w:rsidRPr="00AE1F8C">
        <w:t xml:space="preserve"> </w:t>
      </w:r>
      <w:r w:rsidR="00023A7C" w:rsidRPr="00AE1F8C">
        <w:t xml:space="preserve">would often </w:t>
      </w:r>
      <w:r w:rsidR="00571899" w:rsidRPr="00AE1F8C">
        <w:t>revisit the boy in distorted forms</w:t>
      </w:r>
      <w:r w:rsidR="00023A7C" w:rsidRPr="00AE1F8C">
        <w:t xml:space="preserve">, </w:t>
      </w:r>
      <w:r w:rsidR="00571899" w:rsidRPr="00AE1F8C">
        <w:t>like</w:t>
      </w:r>
      <w:r w:rsidR="00023A7C" w:rsidRPr="00AE1F8C">
        <w:t xml:space="preserve"> dreams, slips of the</w:t>
      </w:r>
      <w:r w:rsidR="00023A7C">
        <w:t xml:space="preserve"> tongue, and, relevant to this discussion, art and literature.   </w:t>
      </w:r>
    </w:p>
    <w:p w14:paraId="28387127" w14:textId="2E639683" w:rsidR="00571899" w:rsidRDefault="00571899" w:rsidP="00F94945">
      <w:pPr>
        <w:ind w:firstLine="720"/>
      </w:pPr>
      <w:r>
        <w:t xml:space="preserve">When it comes to fiction, classical psychoanalysis assumes the author unconsciously embedded within it these urges </w:t>
      </w:r>
      <w:r w:rsidR="000D259D">
        <w:t xml:space="preserve">of </w:t>
      </w:r>
      <w:r>
        <w:t xml:space="preserve">repression. In terms of character, </w:t>
      </w:r>
      <w:r w:rsidR="000D259D">
        <w:t>it</w:t>
      </w:r>
      <w:r>
        <w:t xml:space="preserve"> assumes, typically </w:t>
      </w:r>
      <w:r w:rsidRPr="00571899">
        <w:rPr>
          <w:i/>
          <w:iCs/>
        </w:rPr>
        <w:t>he</w:t>
      </w:r>
      <w:r>
        <w:t xml:space="preserve">,  is </w:t>
      </w:r>
      <w:r>
        <w:lastRenderedPageBreak/>
        <w:t xml:space="preserve">a real-life person, with a real past, real neurosis, and a real inner life. As if the character lives beyond the page, so to speak. </w:t>
      </w:r>
      <w:r w:rsidR="000D259D">
        <w:t>However, no matter how detailed that character is or how broad their plot or story may have been, they are still only that: a character. Psychoanalysis requires the projection of a psychological structure onto a figure that does not exist beyond its narrative framework. Characters act how they act because the plot demands it. They only exist insofar that their plots exist.</w:t>
      </w:r>
    </w:p>
    <w:p w14:paraId="408D2C8F" w14:textId="7A4430DA" w:rsidR="00294808" w:rsidRPr="00AE1F8C" w:rsidRDefault="000D259D" w:rsidP="00F94945">
      <w:pPr>
        <w:ind w:firstLine="720"/>
      </w:pPr>
      <w:r w:rsidRPr="00AE1F8C">
        <w:t xml:space="preserve">And this is where the limitations of classical psychoanalysis start to show, where we find the cracks beneath the floorboards. Psychoanalysis tries to impose a system of thought onto a narrative space that, while sounding logical on the outside, does not support it textually. Yet, many critics persist on imposing these thoughts. Though none are as well known, and as controversial, as Ernest Jones’ </w:t>
      </w:r>
      <w:r w:rsidRPr="00AE1F8C">
        <w:rPr>
          <w:i/>
          <w:iCs/>
        </w:rPr>
        <w:t>Hamlet and Oedipus</w:t>
      </w:r>
      <w:r w:rsidRPr="00AE1F8C">
        <w:t>.</w:t>
      </w:r>
    </w:p>
    <w:p w14:paraId="080A7FBB" w14:textId="5730C75E" w:rsidR="0087286D" w:rsidRPr="00AE1F8C" w:rsidRDefault="00862367" w:rsidP="0087286D">
      <w:pPr>
        <w:ind w:firstLine="720"/>
      </w:pPr>
      <w:r w:rsidRPr="00AE1F8C">
        <w:t xml:space="preserve">In Jones’ essay, he suggests that Hamlet’s </w:t>
      </w:r>
      <w:r w:rsidR="0087286D" w:rsidRPr="00AE1F8C">
        <w:t>delay to kill</w:t>
      </w:r>
      <w:r w:rsidRPr="00AE1F8C">
        <w:t xml:space="preserve"> Claudius </w:t>
      </w:r>
      <w:r w:rsidR="0087286D" w:rsidRPr="00AE1F8C">
        <w:t>stems from</w:t>
      </w:r>
      <w:r w:rsidRPr="00AE1F8C">
        <w:t xml:space="preserve"> </w:t>
      </w:r>
      <w:r w:rsidR="0087286D" w:rsidRPr="00AE1F8C">
        <w:t>the former’s</w:t>
      </w:r>
      <w:r w:rsidR="00A35BF5" w:rsidRPr="00AE1F8C">
        <w:t xml:space="preserve"> </w:t>
      </w:r>
      <w:r w:rsidR="0087286D" w:rsidRPr="00AE1F8C">
        <w:t>unconscious identification with the latter per an Oedipus complex</w:t>
      </w:r>
      <w:r w:rsidR="00A35BF5" w:rsidRPr="00AE1F8C">
        <w:t>.</w:t>
      </w:r>
      <w:r w:rsidR="00621EBF" w:rsidRPr="00AE1F8C">
        <w:rPr>
          <w:rStyle w:val="FootnoteReference"/>
        </w:rPr>
        <w:footnoteReference w:id="2"/>
      </w:r>
      <w:r w:rsidR="00A35BF5" w:rsidRPr="00AE1F8C">
        <w:t xml:space="preserve"> </w:t>
      </w:r>
      <w:r w:rsidR="0087286D" w:rsidRPr="00AE1F8C">
        <w:t>According to Jones, Claudius has fulfilled what Hamlet’s repressed Oedipal desires wished for: Claudius killed Hamlet’s father and married his mother.</w:t>
      </w:r>
      <w:r w:rsidR="007C05C5" w:rsidRPr="00AE1F8C">
        <w:rPr>
          <w:rStyle w:val="FootnoteReference"/>
        </w:rPr>
        <w:footnoteReference w:id="3"/>
      </w:r>
      <w:r w:rsidR="0087286D" w:rsidRPr="00AE1F8C">
        <w:t xml:space="preserve"> This brings Hamlet’s repressed desires to the </w:t>
      </w:r>
      <w:r w:rsidR="00621EBF" w:rsidRPr="00AE1F8C">
        <w:t>surface “in the form of depression and other suffering”, and disgust</w:t>
      </w:r>
      <w:r w:rsidR="0087286D" w:rsidRPr="00AE1F8C">
        <w:t>.</w:t>
      </w:r>
      <w:r w:rsidR="00621EBF" w:rsidRPr="00AE1F8C">
        <w:rPr>
          <w:rStyle w:val="FootnoteReference"/>
        </w:rPr>
        <w:footnoteReference w:id="4"/>
      </w:r>
      <w:r w:rsidR="0087286D" w:rsidRPr="00AE1F8C">
        <w:t xml:space="preserve"> </w:t>
      </w:r>
      <w:r w:rsidR="00E82B07" w:rsidRPr="00AE1F8C">
        <w:t>And it is Gertrude</w:t>
      </w:r>
      <w:r w:rsidR="00621EBF" w:rsidRPr="00AE1F8C">
        <w:t xml:space="preserve">, </w:t>
      </w:r>
      <w:r w:rsidR="0087286D" w:rsidRPr="00AE1F8C">
        <w:t>the object of Hamlet’s forbidden, infantile desire, his symbolic phallus</w:t>
      </w:r>
      <w:r w:rsidR="00621EBF" w:rsidRPr="00AE1F8C">
        <w:t>,</w:t>
      </w:r>
      <w:r w:rsidR="0087286D" w:rsidRPr="00AE1F8C">
        <w:t xml:space="preserve"> the source of </w:t>
      </w:r>
      <w:r w:rsidR="00851A48" w:rsidRPr="00AE1F8C">
        <w:t xml:space="preserve">both </w:t>
      </w:r>
      <w:r w:rsidR="0087286D" w:rsidRPr="00AE1F8C">
        <w:t>his internal conflict</w:t>
      </w:r>
      <w:r w:rsidR="00851A48" w:rsidRPr="00AE1F8C">
        <w:t xml:space="preserve"> and repressed erotic desire</w:t>
      </w:r>
      <w:r w:rsidR="00E82B07" w:rsidRPr="00AE1F8C">
        <w:t xml:space="preserve">, that he takes </w:t>
      </w:r>
      <w:r w:rsidR="00E82B07" w:rsidRPr="00AE1F8C">
        <w:t>his disgust</w:t>
      </w:r>
      <w:r w:rsidR="00E82B07" w:rsidRPr="00AE1F8C">
        <w:t xml:space="preserve"> out on</w:t>
      </w:r>
      <w:r w:rsidR="00E82B07" w:rsidRPr="00AE1F8C">
        <w:t xml:space="preserve">. </w:t>
      </w:r>
    </w:p>
    <w:p w14:paraId="1C002921" w14:textId="5CF251A4" w:rsidR="004646EC" w:rsidRPr="00AE1F8C" w:rsidRDefault="00735EDB" w:rsidP="00735EDB">
      <w:pPr>
        <w:ind w:firstLine="720"/>
      </w:pPr>
      <w:r w:rsidRPr="00AE1F8C">
        <w:t xml:space="preserve">Rather than interpreting Hamlet within its narrative and historical contexts, Jones </w:t>
      </w:r>
      <w:r w:rsidR="00862367" w:rsidRPr="00AE1F8C">
        <w:t xml:space="preserve">retrofits </w:t>
      </w:r>
      <w:r w:rsidR="00E82B07" w:rsidRPr="00AE1F8C">
        <w:rPr>
          <w:i/>
          <w:iCs/>
        </w:rPr>
        <w:t>Hamlet</w:t>
      </w:r>
      <w:r w:rsidR="00E82B07" w:rsidRPr="00AE1F8C">
        <w:t xml:space="preserve"> </w:t>
      </w:r>
      <w:r w:rsidR="00862367" w:rsidRPr="00AE1F8C">
        <w:t>to Freu</w:t>
      </w:r>
      <w:r w:rsidRPr="00AE1F8C">
        <w:t>dian theory</w:t>
      </w:r>
      <w:r w:rsidR="00862367" w:rsidRPr="00AE1F8C">
        <w:t xml:space="preserve">. </w:t>
      </w:r>
      <w:r w:rsidR="00621EBF" w:rsidRPr="00AE1F8C">
        <w:t xml:space="preserve">He makes broad </w:t>
      </w:r>
      <w:r w:rsidR="007C05C5" w:rsidRPr="00AE1F8C">
        <w:t>propositions</w:t>
      </w:r>
      <w:r w:rsidR="00621EBF" w:rsidRPr="00AE1F8C">
        <w:t xml:space="preserve"> about Hamlet’s childhood, stating that, “</w:t>
      </w:r>
      <w:r w:rsidR="007C05C5" w:rsidRPr="00AE1F8C">
        <w:t xml:space="preserve">as a child, Hamlet had experienced the warmest affection for his mother.” Jones suggests, too, that Hamlet may have had a desire to kill his father and usurp the affections of </w:t>
      </w:r>
      <w:r w:rsidR="007C05C5" w:rsidRPr="00AE1F8C">
        <w:lastRenderedPageBreak/>
        <w:t>his mother in infancy</w:t>
      </w:r>
      <w:r w:rsidR="00AE1F8C" w:rsidRPr="00AE1F8C">
        <w:rPr>
          <w:rStyle w:val="FootnoteReference"/>
        </w:rPr>
        <w:footnoteReference w:id="5"/>
      </w:r>
      <w:r w:rsidR="007C05C5" w:rsidRPr="00AE1F8C">
        <w:t xml:space="preserve">. </w:t>
      </w:r>
      <w:r w:rsidR="004F018F" w:rsidRPr="00AE1F8C">
        <w:t xml:space="preserve">He even suggests that, when Hamlet lies at Ophelia’s feet, </w:t>
      </w:r>
      <w:r w:rsidRPr="00AE1F8C">
        <w:t>he</w:t>
      </w:r>
      <w:r w:rsidR="004F018F" w:rsidRPr="00AE1F8C">
        <w:t xml:space="preserve"> “conveys to [Gertrude]” the thought that she has chosen other men over him and thus he will do the same with Ophelia, whom he “no longer loves.”</w:t>
      </w:r>
      <w:r w:rsidR="00AE1F8C" w:rsidRPr="00AE1F8C">
        <w:rPr>
          <w:rStyle w:val="FootnoteReference"/>
        </w:rPr>
        <w:footnoteReference w:id="6"/>
      </w:r>
      <w:r w:rsidR="004F018F" w:rsidRPr="00AE1F8C">
        <w:t xml:space="preserve"> </w:t>
      </w:r>
      <w:r w:rsidRPr="00AE1F8C">
        <w:t>But w</w:t>
      </w:r>
      <w:r w:rsidR="004F018F" w:rsidRPr="00AE1F8C">
        <w:t xml:space="preserve">here in the text, I must ask, do we learn about Hamlet’s childhood? Where can we diagnose this Oedipal complex with accuracy? </w:t>
      </w:r>
    </w:p>
    <w:p w14:paraId="56A2EB83" w14:textId="1F8F478E" w:rsidR="000F3887" w:rsidRPr="00AE1F8C" w:rsidRDefault="004F018F" w:rsidP="00735EDB">
      <w:pPr>
        <w:ind w:firstLine="720"/>
      </w:pPr>
      <w:r w:rsidRPr="00AE1F8C">
        <w:t>Divorced from context, lines Jones cite</w:t>
      </w:r>
      <w:r w:rsidR="00222023" w:rsidRPr="00AE1F8C">
        <w:t>s, such as, “in th’ incestuous pleasure of his bed”</w:t>
      </w:r>
      <w:r w:rsidR="000F3887" w:rsidRPr="00AE1F8C">
        <w:rPr>
          <w:rStyle w:val="FootnoteReference"/>
        </w:rPr>
        <w:footnoteReference w:id="7"/>
      </w:r>
      <w:r w:rsidR="00222023" w:rsidRPr="00AE1F8C">
        <w:t xml:space="preserve"> which Jones translates as Hamlet “expressing the unconscious thoughts of his infancy”</w:t>
      </w:r>
      <w:r w:rsidR="00AE1F8C" w:rsidRPr="00AE1F8C">
        <w:rPr>
          <w:rStyle w:val="FootnoteReference"/>
        </w:rPr>
        <w:footnoteReference w:id="8"/>
      </w:r>
      <w:r w:rsidR="00222023" w:rsidRPr="00AE1F8C">
        <w:t xml:space="preserve"> </w:t>
      </w:r>
      <w:r w:rsidRPr="00AE1F8C">
        <w:t>could convince a reader of the theory’s validity</w:t>
      </w:r>
      <w:r w:rsidR="00222023" w:rsidRPr="00AE1F8C">
        <w:t xml:space="preserve">. </w:t>
      </w:r>
      <w:r w:rsidR="004646EC" w:rsidRPr="00AE1F8C">
        <w:t xml:space="preserve">Yet quotes such as this, ripped from their context, distort a story not of repressed desires but of revenge and grief and, arguably, fear. </w:t>
      </w:r>
      <w:r w:rsidR="00222023" w:rsidRPr="00AE1F8C">
        <w:t>Hamlet himself says, as he watches Claudius pray</w:t>
      </w:r>
      <w:r w:rsidR="004646EC" w:rsidRPr="00AE1F8C">
        <w:t>, which occurs twelve to sixteen lines before the line Jones cites</w:t>
      </w:r>
      <w:r w:rsidR="00222023" w:rsidRPr="00AE1F8C">
        <w:t xml:space="preserve">, “And so am I revenged </w:t>
      </w:r>
      <w:r w:rsidR="000F3887" w:rsidRPr="00AE1F8C">
        <w:t>[…] / A villain kills my father, and for that / I […] do this same villain send / To heaven.”</w:t>
      </w:r>
      <w:r w:rsidR="000F3887" w:rsidRPr="00AE1F8C">
        <w:rPr>
          <w:rStyle w:val="FootnoteReference"/>
        </w:rPr>
        <w:footnoteReference w:id="9"/>
      </w:r>
      <w:r w:rsidR="004646EC" w:rsidRPr="00AE1F8C">
        <w:t xml:space="preserve"> And the lines, “Up, sword, and know thou a more horrid hent / when he is drunk asleep, or in his rage”, which occur two lines before that of the “incestuous bed”, that elucidate to the reader that Hamlet will instead kill Claudius in the bed he stole from his brother, Hamlet’s father.</w:t>
      </w:r>
    </w:p>
    <w:p w14:paraId="1FFDC8FE" w14:textId="70B18B24" w:rsidR="0087473C" w:rsidRPr="00AE1F8C" w:rsidRDefault="00735EDB" w:rsidP="0087473C">
      <w:pPr>
        <w:ind w:firstLine="720"/>
      </w:pPr>
      <w:r w:rsidRPr="00AE1F8C">
        <w:t>Jones</w:t>
      </w:r>
      <w:r w:rsidR="000F3887" w:rsidRPr="00AE1F8C">
        <w:t xml:space="preserve"> ignores the context of the lines he cites, of the story he is reading, to apply onto Hamlet a theory that does not hold upon further inspection. We do not know Hamlet’s childhood; we do not see Hamlet as a </w:t>
      </w:r>
      <w:r w:rsidRPr="00AE1F8C">
        <w:t xml:space="preserve">boy, cannot diagnose </w:t>
      </w:r>
      <w:r w:rsidR="00176F39" w:rsidRPr="00AE1F8C">
        <w:t>how</w:t>
      </w:r>
      <w:r w:rsidRPr="00AE1F8C">
        <w:t xml:space="preserve"> he and his mother shared affection</w:t>
      </w:r>
      <w:r w:rsidR="00176F39" w:rsidRPr="00AE1F8C">
        <w:t xml:space="preserve"> when he was a boy</w:t>
      </w:r>
      <w:r w:rsidR="000F3887" w:rsidRPr="00AE1F8C">
        <w:t xml:space="preserve">. The only Hamlet with whom we are acquainted is the Hamlet in the plot and the Hamlet that is mentioned </w:t>
      </w:r>
      <w:r w:rsidR="00F55398" w:rsidRPr="00AE1F8C">
        <w:t>in relation to</w:t>
      </w:r>
      <w:r w:rsidR="000F3887" w:rsidRPr="00AE1F8C">
        <w:t xml:space="preserve"> immediate </w:t>
      </w:r>
      <w:r w:rsidR="00F55398" w:rsidRPr="00AE1F8C">
        <w:t>and necessary context</w:t>
      </w:r>
      <w:r w:rsidRPr="00AE1F8C">
        <w:t xml:space="preserve">. </w:t>
      </w:r>
      <w:r w:rsidR="0087473C" w:rsidRPr="00AE1F8C">
        <w:t xml:space="preserve">To echo a previous sentiment of mine, Hamlet exists insofar that the plot of </w:t>
      </w:r>
      <w:r w:rsidR="0087473C" w:rsidRPr="00AE1F8C">
        <w:rPr>
          <w:i/>
          <w:iCs/>
        </w:rPr>
        <w:t>Hamlet</w:t>
      </w:r>
      <w:r w:rsidR="0087473C" w:rsidRPr="00AE1F8C">
        <w:t xml:space="preserve"> exists. </w:t>
      </w:r>
    </w:p>
    <w:p w14:paraId="6639085E" w14:textId="7018C07C" w:rsidR="00F55398" w:rsidRPr="00AE1F8C" w:rsidRDefault="00F55398" w:rsidP="00851A48">
      <w:pPr>
        <w:ind w:firstLine="720"/>
      </w:pPr>
      <w:r w:rsidRPr="00AE1F8C">
        <w:t xml:space="preserve">Another fault with </w:t>
      </w:r>
      <w:r w:rsidR="00735EDB" w:rsidRPr="00AE1F8C">
        <w:t xml:space="preserve">Jones’ psychoanalysis of </w:t>
      </w:r>
      <w:r w:rsidR="00735EDB" w:rsidRPr="00AE1F8C">
        <w:rPr>
          <w:i/>
          <w:iCs/>
        </w:rPr>
        <w:t>Hamlet</w:t>
      </w:r>
      <w:r w:rsidRPr="00AE1F8C">
        <w:t xml:space="preserve"> is that it assumes that understanding is always possible and</w:t>
      </w:r>
      <w:r w:rsidR="00735EDB" w:rsidRPr="00AE1F8C">
        <w:t>, even more so,</w:t>
      </w:r>
      <w:r w:rsidRPr="00AE1F8C">
        <w:t xml:space="preserve"> </w:t>
      </w:r>
      <w:r w:rsidR="00735EDB" w:rsidRPr="00AE1F8C">
        <w:t>good</w:t>
      </w:r>
      <w:r w:rsidR="00176F39" w:rsidRPr="00AE1F8C">
        <w:t xml:space="preserve">, and this is likely why it’s a theory </w:t>
      </w:r>
      <w:r w:rsidR="00176F39" w:rsidRPr="00AE1F8C">
        <w:lastRenderedPageBreak/>
        <w:t>that has endured. It offers answers to a complicated text</w:t>
      </w:r>
      <w:r w:rsidR="00735EDB" w:rsidRPr="00AE1F8C">
        <w:t>.</w:t>
      </w:r>
      <w:r w:rsidR="00176F39" w:rsidRPr="00AE1F8C">
        <w:t xml:space="preserve"> But</w:t>
      </w:r>
      <w:r w:rsidR="00735EDB" w:rsidRPr="00AE1F8C">
        <w:t xml:space="preserve"> </w:t>
      </w:r>
      <w:r w:rsidR="00C63B70" w:rsidRPr="00AE1F8C">
        <w:t>Adam</w:t>
      </w:r>
      <w:r w:rsidR="00782858" w:rsidRPr="00AE1F8C">
        <w:t xml:space="preserve"> </w:t>
      </w:r>
      <w:r w:rsidR="00C63B70" w:rsidRPr="00AE1F8C">
        <w:t>Phillips</w:t>
      </w:r>
      <w:r w:rsidR="00780464" w:rsidRPr="00AE1F8C">
        <w:t xml:space="preserve">, a psychoanalytical contemporary of </w:t>
      </w:r>
      <w:r w:rsidR="00851A48" w:rsidRPr="00AE1F8C">
        <w:t>Donald Winnicott,</w:t>
      </w:r>
      <w:r w:rsidR="00752305" w:rsidRPr="00AE1F8C">
        <w:t xml:space="preserve"> </w:t>
      </w:r>
      <w:r w:rsidR="00851A48" w:rsidRPr="00AE1F8C">
        <w:t>argues that this compulsion to explain art often results in diminishing it. He states that “understanding itself is the problem” and that creative artists both could not be understood and knew things in a way that could not be understood by psychoanalysts.</w:t>
      </w:r>
      <w:r w:rsidR="007077F2" w:rsidRPr="00AE1F8C">
        <w:rPr>
          <w:rStyle w:val="FootnoteReference"/>
        </w:rPr>
        <w:footnoteReference w:id="10"/>
      </w:r>
      <w:r w:rsidR="00851A48" w:rsidRPr="00AE1F8C">
        <w:t xml:space="preserve"> </w:t>
      </w:r>
      <w:r w:rsidR="00735EDB" w:rsidRPr="00AE1F8C">
        <w:t xml:space="preserve">In fact, </w:t>
      </w:r>
      <w:r w:rsidR="00752305" w:rsidRPr="00AE1F8C">
        <w:t>Freud himself acknowledged this, that psychoanalysts must “lay down [their] arms” to the creative art</w:t>
      </w:r>
      <w:r w:rsidR="00851A48" w:rsidRPr="00AE1F8C">
        <w:t>ist</w:t>
      </w:r>
      <w:r w:rsidR="00735EDB" w:rsidRPr="00AE1F8C">
        <w:t xml:space="preserve"> so that they do not overstep</w:t>
      </w:r>
      <w:r w:rsidR="00331E97" w:rsidRPr="00AE1F8C">
        <w:t xml:space="preserve"> the barrier between them.</w:t>
      </w:r>
      <w:r w:rsidR="00331E97" w:rsidRPr="00AE1F8C">
        <w:rPr>
          <w:rStyle w:val="FootnoteReference"/>
        </w:rPr>
        <w:footnoteReference w:id="11"/>
      </w:r>
    </w:p>
    <w:p w14:paraId="75CEB60F" w14:textId="09CDD1F3" w:rsidR="00851A48" w:rsidRPr="00AE1F8C" w:rsidRDefault="00735EDB" w:rsidP="00780464">
      <w:pPr>
        <w:ind w:firstLine="720"/>
      </w:pPr>
      <w:r w:rsidRPr="00AE1F8C">
        <w:t>But Jones</w:t>
      </w:r>
      <w:r w:rsidRPr="00AE1F8C">
        <w:t xml:space="preserve"> confidently set this “shyness” aside to </w:t>
      </w:r>
      <w:r w:rsidR="00780464" w:rsidRPr="00AE1F8C">
        <w:t>propose</w:t>
      </w:r>
      <w:r w:rsidRPr="00AE1F8C">
        <w:t xml:space="preserve"> a naïve and dull assertion of </w:t>
      </w:r>
      <w:r w:rsidRPr="00AE1F8C">
        <w:rPr>
          <w:i/>
          <w:iCs/>
        </w:rPr>
        <w:t>Hamlet</w:t>
      </w:r>
      <w:r w:rsidRPr="00AE1F8C">
        <w:t>, whose motivations are coloured</w:t>
      </w:r>
      <w:r w:rsidR="00780464" w:rsidRPr="00AE1F8C">
        <w:t>, not by revenge and grief and complexity and accepting ambiguity,</w:t>
      </w:r>
      <w:r w:rsidRPr="00AE1F8C">
        <w:t xml:space="preserve"> but a </w:t>
      </w:r>
      <w:r w:rsidR="00176F39" w:rsidRPr="00AE1F8C">
        <w:t xml:space="preserve">derivative </w:t>
      </w:r>
      <w:r w:rsidRPr="00AE1F8C">
        <w:t xml:space="preserve">pastiche of Sophocles’ </w:t>
      </w:r>
      <w:r w:rsidRPr="00AE1F8C">
        <w:rPr>
          <w:i/>
          <w:iCs/>
        </w:rPr>
        <w:t>Oedipus Rex</w:t>
      </w:r>
      <w:r w:rsidRPr="00AE1F8C">
        <w:t>.</w:t>
      </w:r>
      <w:r w:rsidR="00780464" w:rsidRPr="00AE1F8C">
        <w:t xml:space="preserve"> In fact, it is the text itself—that Jones conveniently neglected according to Phillips—that acknowledges Hamlet is unknowable</w:t>
      </w:r>
      <w:r w:rsidR="00176F39" w:rsidRPr="00AE1F8C">
        <w:t>. Hamlet himself elucidates his “unknowableness</w:t>
      </w:r>
      <w:r w:rsidR="00780464" w:rsidRPr="00AE1F8C">
        <w:t>.</w:t>
      </w:r>
      <w:r w:rsidR="00176F39" w:rsidRPr="00AE1F8C">
        <w:t>”</w:t>
      </w:r>
      <w:r w:rsidR="00780464" w:rsidRPr="00AE1F8C">
        <w:t xml:space="preserve"> Stating to Guildenstern, </w:t>
      </w:r>
      <w:r w:rsidR="00176F39" w:rsidRPr="00AE1F8C">
        <w:t>he</w:t>
      </w:r>
      <w:r w:rsidR="00780464" w:rsidRPr="00AE1F8C">
        <w:t xml:space="preserve"> says, “why you look now, how unworthy a thing you make of me! You would play upon me. You would seem to know my stops. You would pluck out the heart of my mystery.”</w:t>
      </w:r>
      <w:r w:rsidR="00331E97" w:rsidRPr="00AE1F8C">
        <w:rPr>
          <w:rStyle w:val="FootnoteReference"/>
        </w:rPr>
        <w:footnoteReference w:id="12"/>
      </w:r>
      <w:r w:rsidR="00176F39" w:rsidRPr="00AE1F8C">
        <w:t xml:space="preserve"> Mystery may be a wayward word, but when coupled up with Hamlet’s possessive “my”, a reader can derive a whole new connotation: who does Hamlet even think he is?</w:t>
      </w:r>
    </w:p>
    <w:p w14:paraId="395A1C12" w14:textId="3AAD1FBE" w:rsidR="00780464" w:rsidRPr="00AE1F8C" w:rsidRDefault="00331E97" w:rsidP="00780464">
      <w:pPr>
        <w:ind w:firstLine="720"/>
      </w:pPr>
      <w:r w:rsidRPr="00AE1F8C">
        <w:t>So,</w:t>
      </w:r>
      <w:r w:rsidR="00780464" w:rsidRPr="00AE1F8C">
        <w:t xml:space="preserve"> how does one apply a real-world human analysis to a character that exists within a specific narrative space</w:t>
      </w:r>
      <w:r w:rsidR="00851A48" w:rsidRPr="00AE1F8C">
        <w:t>, in which occurs a second narrative to eat into the first,</w:t>
      </w:r>
      <w:r w:rsidR="00780464" w:rsidRPr="00AE1F8C">
        <w:t xml:space="preserve"> </w:t>
      </w:r>
      <w:r w:rsidR="00851A48" w:rsidRPr="00AE1F8C">
        <w:t>where</w:t>
      </w:r>
      <w:r w:rsidR="00780464" w:rsidRPr="00AE1F8C">
        <w:t xml:space="preserve"> he is unknowable even to himself? </w:t>
      </w:r>
      <w:r w:rsidR="004646EC" w:rsidRPr="00AE1F8C">
        <w:t xml:space="preserve">How can we reduce Hamlet, the character, to an Oedipal case study when it is the very act of understanding that </w:t>
      </w:r>
      <w:r w:rsidR="004646EC" w:rsidRPr="00AE1F8C">
        <w:rPr>
          <w:i/>
          <w:iCs/>
        </w:rPr>
        <w:t>Hamlet</w:t>
      </w:r>
      <w:r w:rsidR="004646EC" w:rsidRPr="00AE1F8C">
        <w:t xml:space="preserve">, the play, in which there occurs a second play, manipulates? </w:t>
      </w:r>
    </w:p>
    <w:p w14:paraId="5F89F8C1" w14:textId="25268447" w:rsidR="00176F39" w:rsidRPr="00AE1F8C" w:rsidRDefault="00331E97" w:rsidP="00780464">
      <w:pPr>
        <w:ind w:firstLine="720"/>
      </w:pPr>
      <w:r w:rsidRPr="00AE1F8C">
        <w:t>Now, what</w:t>
      </w:r>
      <w:r w:rsidR="00176F39" w:rsidRPr="00AE1F8C">
        <w:t xml:space="preserve"> is this </w:t>
      </w:r>
      <w:r w:rsidR="002E1B67" w:rsidRPr="00AE1F8C">
        <w:t>play within a</w:t>
      </w:r>
      <w:r w:rsidR="00176F39" w:rsidRPr="00AE1F8C">
        <w:t xml:space="preserve"> play</w:t>
      </w:r>
      <w:r w:rsidR="002E1B67" w:rsidRPr="00AE1F8C">
        <w:t xml:space="preserve"> in </w:t>
      </w:r>
      <w:r w:rsidR="002E1B67" w:rsidRPr="00AE1F8C">
        <w:rPr>
          <w:i/>
          <w:iCs/>
        </w:rPr>
        <w:t>Hamlet</w:t>
      </w:r>
      <w:r w:rsidR="00176F39" w:rsidRPr="00AE1F8C">
        <w:t>, and why is it important to answering t</w:t>
      </w:r>
      <w:r w:rsidR="002E1B67" w:rsidRPr="00AE1F8C">
        <w:t>he question</w:t>
      </w:r>
      <w:r w:rsidR="00176F39" w:rsidRPr="00AE1F8C">
        <w:t xml:space="preserve">? </w:t>
      </w:r>
    </w:p>
    <w:p w14:paraId="0CAD997E" w14:textId="2A3ECE06" w:rsidR="002E1B67" w:rsidRPr="00AE1F8C" w:rsidRDefault="002E1B67" w:rsidP="00780464">
      <w:pPr>
        <w:ind w:firstLine="720"/>
      </w:pPr>
      <w:r w:rsidRPr="00AE1F8C">
        <w:lastRenderedPageBreak/>
        <w:t>The play within a play</w:t>
      </w:r>
      <w:r w:rsidR="00117530" w:rsidRPr="00AE1F8C">
        <w:t xml:space="preserve">, </w:t>
      </w:r>
      <w:r w:rsidR="00D9531A" w:rsidRPr="00AE1F8C">
        <w:t>entitled</w:t>
      </w:r>
      <w:r w:rsidRPr="00AE1F8C">
        <w:t xml:space="preserve"> </w:t>
      </w:r>
      <w:r w:rsidRPr="00AE1F8C">
        <w:rPr>
          <w:i/>
          <w:iCs/>
        </w:rPr>
        <w:t>The Murder of Gonzago</w:t>
      </w:r>
      <w:r w:rsidR="00117530" w:rsidRPr="00AE1F8C">
        <w:t xml:space="preserve">, is </w:t>
      </w:r>
      <w:r w:rsidRPr="00AE1F8C">
        <w:t xml:space="preserve">a deliberate plot by Hamlet to determine whether the ghost of Hamlet’s father was telling the truth about his </w:t>
      </w:r>
      <w:r w:rsidR="00117530" w:rsidRPr="00AE1F8C">
        <w:t>death, or murder</w:t>
      </w:r>
      <w:r w:rsidRPr="00AE1F8C">
        <w:t>. Hamlet suggests that, when Claudius watches the pl</w:t>
      </w:r>
      <w:r w:rsidR="00D9531A" w:rsidRPr="00AE1F8C">
        <w:t>ay, he will expose his guilt</w:t>
      </w:r>
      <w:r w:rsidR="00117530" w:rsidRPr="00AE1F8C">
        <w:t xml:space="preserve"> for killing Hamlet’s father by way of reaction. </w:t>
      </w:r>
      <w:r w:rsidR="00117530" w:rsidRPr="00AE1F8C">
        <w:t>He manipulates the story, becomes a pseudo-director to the players to ensure the play’s execution is perfect</w:t>
      </w:r>
      <w:r w:rsidR="00117530" w:rsidRPr="00AE1F8C">
        <w:t xml:space="preserve">. </w:t>
      </w:r>
    </w:p>
    <w:p w14:paraId="324BAE03" w14:textId="75FF0C39" w:rsidR="00C81D57" w:rsidRPr="00AE1F8C" w:rsidRDefault="00C81D57" w:rsidP="00780464">
      <w:pPr>
        <w:ind w:firstLine="720"/>
      </w:pPr>
      <w:r w:rsidRPr="00AE1F8C">
        <w:t xml:space="preserve">But more than just a plot device, this moment and the </w:t>
      </w:r>
      <w:r w:rsidRPr="00AE1F8C">
        <w:rPr>
          <w:i/>
          <w:iCs/>
        </w:rPr>
        <w:t>Murder of Gonzago</w:t>
      </w:r>
      <w:r w:rsidRPr="00AE1F8C">
        <w:t>, draws attention to the true function of theatre. Hamlet tells the players that they must act naturally, “as ‘twere, a mirror up to nature.”</w:t>
      </w:r>
      <w:r w:rsidR="00331E97" w:rsidRPr="00AE1F8C">
        <w:rPr>
          <w:rStyle w:val="FootnoteReference"/>
        </w:rPr>
        <w:footnoteReference w:id="13"/>
      </w:r>
      <w:r w:rsidRPr="00AE1F8C">
        <w:t xml:space="preserve"> He wants them to reflect reality, but a kind of reality as he defines it, as he tailors it, to provoke Claudius to implicit confession. This is not an objective truth, but an orchestrated mirror. And like any mirror, it reflects what it’s shown, not what might be there or not. </w:t>
      </w:r>
    </w:p>
    <w:p w14:paraId="331CA333" w14:textId="6C55A32F" w:rsidR="00C81D57" w:rsidRPr="00AE1F8C" w:rsidRDefault="00C81D57" w:rsidP="00D61747">
      <w:pPr>
        <w:ind w:firstLine="720"/>
      </w:pPr>
      <w:r w:rsidRPr="00AE1F8C">
        <w:t xml:space="preserve">As </w:t>
      </w:r>
      <w:r w:rsidR="00D61747" w:rsidRPr="00AE1F8C">
        <w:t>Marjorie Garber, a Harvard professor and literary analysist, notes, Hamlet, the play itself, becomes a mirror to reflect human nature</w:t>
      </w:r>
      <w:r w:rsidR="00331E97" w:rsidRPr="00AE1F8C">
        <w:rPr>
          <w:rStyle w:val="FootnoteReference"/>
        </w:rPr>
        <w:footnoteReference w:id="14"/>
      </w:r>
      <w:r w:rsidR="00D61747" w:rsidRPr="00AE1F8C">
        <w:t xml:space="preserve">. </w:t>
      </w:r>
      <w:r w:rsidR="00D61747" w:rsidRPr="00AE1F8C">
        <w:t xml:space="preserve">Hamlet </w:t>
      </w:r>
      <w:r w:rsidR="00D61747" w:rsidRPr="00AE1F8C">
        <w:t>the character</w:t>
      </w:r>
      <w:r w:rsidR="00D61747" w:rsidRPr="00AE1F8C">
        <w:t xml:space="preserve">, who is played by an actor </w:t>
      </w:r>
      <w:r w:rsidR="00D61747" w:rsidRPr="00AE1F8C">
        <w:t xml:space="preserve">like the players in </w:t>
      </w:r>
      <w:r w:rsidR="00D61747" w:rsidRPr="00AE1F8C">
        <w:rPr>
          <w:i/>
          <w:iCs/>
        </w:rPr>
        <w:t>The Murder of Gonzago</w:t>
      </w:r>
      <w:r w:rsidR="00D61747" w:rsidRPr="00AE1F8C">
        <w:t xml:space="preserve">, </w:t>
      </w:r>
      <w:r w:rsidR="00D61747" w:rsidRPr="00AE1F8C">
        <w:t>embodies his own quote according to Garber; he is not a man, but a reflection of hundreds of men, of thousands</w:t>
      </w:r>
      <w:r w:rsidR="00D61747" w:rsidRPr="00AE1F8C">
        <w:t xml:space="preserve">. </w:t>
      </w:r>
      <w:r w:rsidR="00D61747" w:rsidRPr="00AE1F8C">
        <w:t xml:space="preserve">Characters like Hamlet cannot be psychological case studies then, for they are masterful illusions that mimic humanity, that evoke in us very human reactions, as the players evoke in Claudius. Garber </w:t>
      </w:r>
      <w:r w:rsidR="00331E97" w:rsidRPr="00AE1F8C">
        <w:t xml:space="preserve">says </w:t>
      </w:r>
      <w:r w:rsidR="00D61747" w:rsidRPr="00AE1F8C">
        <w:t xml:space="preserve">Hamlet is a reflection of nature, </w:t>
      </w:r>
      <w:r w:rsidR="00D61747" w:rsidRPr="00AE1F8C">
        <w:rPr>
          <w:i/>
          <w:iCs/>
        </w:rPr>
        <w:t>not</w:t>
      </w:r>
      <w:r w:rsidR="00D61747" w:rsidRPr="00AE1F8C">
        <w:t xml:space="preserve"> nature itself. </w:t>
      </w:r>
    </w:p>
    <w:p w14:paraId="73707B51" w14:textId="3DD2D2B3" w:rsidR="007077F2" w:rsidRDefault="00C515DC" w:rsidP="00C2672E">
      <w:pPr>
        <w:ind w:firstLine="720"/>
      </w:pPr>
      <w:r w:rsidRPr="00AE1F8C">
        <w:t xml:space="preserve">Ultimately, fictional characters resist psychoanalysis, and Hamlet especially, not because of textual ambiguity but because the act of fictional storytelling resists the constraints psychoanalysis attempts to impose. Fiction cannot live outside its structure; where we have memories or trauma or unconscious desires, fictional characters have only those that are written. When we apply classical psychoanalytic theory, as Jones attempts to do, we risk </w:t>
      </w:r>
      <w:r w:rsidRPr="00AE1F8C">
        <w:lastRenderedPageBreak/>
        <w:t xml:space="preserve">mistaking metaphor for memory and symbolism for symptom, and risk overwriting what is for what we believe it should be. And when we are faced with a figure as complicated and as ambiguous as </w:t>
      </w:r>
      <w:r w:rsidRPr="00AE1F8C">
        <w:rPr>
          <w:i/>
          <w:iCs/>
        </w:rPr>
        <w:t>Hamlet</w:t>
      </w:r>
      <w:r w:rsidRPr="00AE1F8C">
        <w:t>, who makes us uncomfortable because in him we see ourselves, answers</w:t>
      </w:r>
      <w:r w:rsidR="00BB147E" w:rsidRPr="00AE1F8C">
        <w:t xml:space="preserve"> diminish their impact. And would you psychoanalyse a reflection of yourself in the mirror, or the physical self that stands before it?</w:t>
      </w:r>
    </w:p>
    <w:p w14:paraId="0886F74C" w14:textId="77777777" w:rsidR="00AE1F8C" w:rsidRDefault="00AE1F8C" w:rsidP="00C515DC">
      <w:pPr>
        <w:ind w:firstLine="720"/>
      </w:pPr>
    </w:p>
    <w:p w14:paraId="2116E1FB" w14:textId="25C31628" w:rsidR="007077F2" w:rsidRPr="00AE1F8C" w:rsidRDefault="007077F2" w:rsidP="007077F2">
      <w:pPr>
        <w:pStyle w:val="Heading1"/>
        <w:rPr>
          <w:rFonts w:ascii="Times New Roman" w:hAnsi="Times New Roman" w:cs="Times New Roman"/>
          <w:b/>
          <w:bCs/>
          <w:color w:val="000000" w:themeColor="text1"/>
          <w:sz w:val="32"/>
          <w:szCs w:val="28"/>
        </w:rPr>
      </w:pPr>
      <w:r w:rsidRPr="00AE1F8C">
        <w:rPr>
          <w:rFonts w:ascii="Times New Roman" w:hAnsi="Times New Roman" w:cs="Times New Roman"/>
          <w:b/>
          <w:bCs/>
          <w:color w:val="000000" w:themeColor="text1"/>
          <w:sz w:val="32"/>
          <w:szCs w:val="28"/>
        </w:rPr>
        <w:t>BIBLIOGRAPHY</w:t>
      </w:r>
    </w:p>
    <w:p w14:paraId="5F540956" w14:textId="35F70335" w:rsidR="00AE1F8C" w:rsidRDefault="00AE1F8C" w:rsidP="007077F2">
      <w:r>
        <w:t xml:space="preserve">Adam Phillips, ‘Winnicott’s Hamlet’ </w:t>
      </w:r>
      <w:r w:rsidRPr="007077F2">
        <w:rPr>
          <w:i/>
          <w:iCs/>
        </w:rPr>
        <w:t>Art, Creativity, Living</w:t>
      </w:r>
      <w:r>
        <w:t>. Ed. Lesley Caldwell (London: Routledge, 2018)</w:t>
      </w:r>
    </w:p>
    <w:p w14:paraId="73811FC2" w14:textId="4010CB4C" w:rsidR="007077F2" w:rsidRDefault="007077F2" w:rsidP="007077F2">
      <w:r w:rsidRPr="007C05C5">
        <w:t>Ernest Jones, ‘Hamlet and Oedipus</w:t>
      </w:r>
      <w:r>
        <w:t>,</w:t>
      </w:r>
      <w:r w:rsidRPr="007C05C5">
        <w:t xml:space="preserve">’ in Shakespeare: </w:t>
      </w:r>
      <w:r>
        <w:t>‘</w:t>
      </w:r>
      <w:r w:rsidRPr="007C05C5">
        <w:rPr>
          <w:i/>
          <w:iCs/>
        </w:rPr>
        <w:t>Hamlet</w:t>
      </w:r>
      <w:r w:rsidRPr="007C05C5">
        <w:t>,</w:t>
      </w:r>
      <w:r>
        <w:t>’</w:t>
      </w:r>
      <w:r w:rsidRPr="007C05C5">
        <w:t xml:space="preserve"> ed. by John Jump, Casebook series (London: Macmillan, 1968)</w:t>
      </w:r>
    </w:p>
    <w:p w14:paraId="4EBC6DC0" w14:textId="1C89F4CD" w:rsidR="007077F2" w:rsidRDefault="007077F2" w:rsidP="007077F2">
      <w:r>
        <w:t xml:space="preserve">Garber, Marjorie. </w:t>
      </w:r>
      <w:r w:rsidRPr="00331E97">
        <w:rPr>
          <w:i/>
          <w:iCs/>
        </w:rPr>
        <w:t>Shakespeare All Along</w:t>
      </w:r>
      <w:r>
        <w:t>. (New York: Pantheon Books, 2004)</w:t>
      </w:r>
    </w:p>
    <w:p w14:paraId="23001258" w14:textId="76AC0B80" w:rsidR="007077F2" w:rsidRPr="007077F2" w:rsidRDefault="007077F2" w:rsidP="007077F2">
      <w:r w:rsidRPr="007077F2">
        <w:t>Shakespeare, Hamlet. Ed. T.J.B. Spencer (London: Penguin Books, 1980-1996)</w:t>
      </w:r>
    </w:p>
    <w:sectPr w:rsidR="007077F2" w:rsidRPr="007077F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0A92BE" w14:textId="77777777" w:rsidR="00AE5DC1" w:rsidRDefault="00AE5DC1" w:rsidP="00621EBF">
      <w:pPr>
        <w:spacing w:line="240" w:lineRule="auto"/>
      </w:pPr>
      <w:r>
        <w:separator/>
      </w:r>
    </w:p>
  </w:endnote>
  <w:endnote w:type="continuationSeparator" w:id="0">
    <w:p w14:paraId="780C0C1F" w14:textId="77777777" w:rsidR="00AE5DC1" w:rsidRDefault="00AE5DC1" w:rsidP="00621EB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altName w:val="Calibri"/>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A9E49E" w14:textId="77777777" w:rsidR="00AE5DC1" w:rsidRDefault="00AE5DC1" w:rsidP="00621EBF">
      <w:pPr>
        <w:spacing w:line="240" w:lineRule="auto"/>
      </w:pPr>
      <w:r>
        <w:separator/>
      </w:r>
    </w:p>
  </w:footnote>
  <w:footnote w:type="continuationSeparator" w:id="0">
    <w:p w14:paraId="412801C9" w14:textId="77777777" w:rsidR="00AE5DC1" w:rsidRDefault="00AE5DC1" w:rsidP="00621EBF">
      <w:pPr>
        <w:spacing w:line="240" w:lineRule="auto"/>
      </w:pPr>
      <w:r>
        <w:continuationSeparator/>
      </w:r>
    </w:p>
  </w:footnote>
  <w:footnote w:id="1">
    <w:p w14:paraId="288267DF" w14:textId="45D0AD00" w:rsidR="00AE1F8C" w:rsidRDefault="00AE1F8C">
      <w:pPr>
        <w:pStyle w:val="FootnoteText"/>
      </w:pPr>
      <w:r>
        <w:rPr>
          <w:rStyle w:val="FootnoteReference"/>
        </w:rPr>
        <w:footnoteRef/>
      </w:r>
      <w:r>
        <w:t xml:space="preserve"> Find a source for this lol</w:t>
      </w:r>
    </w:p>
  </w:footnote>
  <w:footnote w:id="2">
    <w:p w14:paraId="11AD39B8" w14:textId="08178DC0" w:rsidR="00621EBF" w:rsidRDefault="00621EBF">
      <w:pPr>
        <w:pStyle w:val="FootnoteText"/>
      </w:pPr>
      <w:r>
        <w:rPr>
          <w:rStyle w:val="FootnoteReference"/>
        </w:rPr>
        <w:footnoteRef/>
      </w:r>
      <w:r>
        <w:t xml:space="preserve"> </w:t>
      </w:r>
      <w:r w:rsidR="007C05C5" w:rsidRPr="007C05C5">
        <w:t xml:space="preserve">Ernest Jones, ‘Hamlet and Oedipus’, in Shakespeare: </w:t>
      </w:r>
      <w:r w:rsidR="007C05C5">
        <w:t>‘</w:t>
      </w:r>
      <w:r w:rsidR="007C05C5" w:rsidRPr="007C05C5">
        <w:rPr>
          <w:i/>
          <w:iCs/>
        </w:rPr>
        <w:t>Hamlet</w:t>
      </w:r>
      <w:r w:rsidR="007C05C5" w:rsidRPr="007C05C5">
        <w:t>,</w:t>
      </w:r>
      <w:r w:rsidR="007C05C5">
        <w:t>’</w:t>
      </w:r>
      <w:r w:rsidR="007C05C5" w:rsidRPr="007C05C5">
        <w:t xml:space="preserve"> ed. by John Jump, Casebook series (London: Macmillan, 1968)</w:t>
      </w:r>
      <w:r w:rsidR="007C05C5">
        <w:t xml:space="preserve"> p. 52</w:t>
      </w:r>
    </w:p>
  </w:footnote>
  <w:footnote w:id="3">
    <w:p w14:paraId="73DE4844" w14:textId="45451D31" w:rsidR="007C05C5" w:rsidRDefault="007C05C5">
      <w:pPr>
        <w:pStyle w:val="FootnoteText"/>
      </w:pPr>
      <w:r>
        <w:rPr>
          <w:rStyle w:val="FootnoteReference"/>
        </w:rPr>
        <w:footnoteRef/>
      </w:r>
      <w:r>
        <w:t xml:space="preserve"> </w:t>
      </w:r>
      <w:r w:rsidR="00AE1F8C">
        <w:t xml:space="preserve">Jones, </w:t>
      </w:r>
      <w:r w:rsidR="00AE1F8C" w:rsidRPr="00AE1F8C">
        <w:rPr>
          <w:i/>
          <w:iCs/>
        </w:rPr>
        <w:t>Hamlet and Oedipus</w:t>
      </w:r>
      <w:r w:rsidR="00AE1F8C">
        <w:t xml:space="preserve">. </w:t>
      </w:r>
      <w:r>
        <w:t>pp. 52-5</w:t>
      </w:r>
      <w:r w:rsidR="004F018F">
        <w:t>5</w:t>
      </w:r>
    </w:p>
  </w:footnote>
  <w:footnote w:id="4">
    <w:p w14:paraId="4E19EAFA" w14:textId="2C8F2CD4" w:rsidR="00621EBF" w:rsidRDefault="00621EBF">
      <w:pPr>
        <w:pStyle w:val="FootnoteText"/>
      </w:pPr>
      <w:r>
        <w:rPr>
          <w:rStyle w:val="FootnoteReference"/>
        </w:rPr>
        <w:footnoteRef/>
      </w:r>
      <w:r>
        <w:t xml:space="preserve"> </w:t>
      </w:r>
      <w:r w:rsidR="00AE1F8C">
        <w:t xml:space="preserve">Jones, </w:t>
      </w:r>
      <w:r w:rsidR="00AE1F8C" w:rsidRPr="00AE1F8C">
        <w:rPr>
          <w:i/>
          <w:iCs/>
        </w:rPr>
        <w:t>Hamlet and Oedipus</w:t>
      </w:r>
      <w:r w:rsidR="00AE1F8C">
        <w:t>.</w:t>
      </w:r>
      <w:r w:rsidR="007C05C5">
        <w:t>,</w:t>
      </w:r>
      <w:r>
        <w:t xml:space="preserve"> p. 53</w:t>
      </w:r>
    </w:p>
  </w:footnote>
  <w:footnote w:id="5">
    <w:p w14:paraId="5732F53E" w14:textId="5543356C" w:rsidR="00AE1F8C" w:rsidRDefault="00AE1F8C">
      <w:pPr>
        <w:pStyle w:val="FootnoteText"/>
      </w:pPr>
      <w:r>
        <w:rPr>
          <w:rStyle w:val="FootnoteReference"/>
        </w:rPr>
        <w:footnoteRef/>
      </w:r>
      <w:r>
        <w:t xml:space="preserve"> </w:t>
      </w:r>
      <w:r>
        <w:t xml:space="preserve">Jones, </w:t>
      </w:r>
      <w:r w:rsidRPr="00AE1F8C">
        <w:rPr>
          <w:i/>
          <w:iCs/>
        </w:rPr>
        <w:t>Hamlet and Oedipus</w:t>
      </w:r>
      <w:r>
        <w:t xml:space="preserve">. p. </w:t>
      </w:r>
      <w:r>
        <w:t>53</w:t>
      </w:r>
    </w:p>
  </w:footnote>
  <w:footnote w:id="6">
    <w:p w14:paraId="586AB033" w14:textId="7333F2B7" w:rsidR="00AE1F8C" w:rsidRDefault="00AE1F8C">
      <w:pPr>
        <w:pStyle w:val="FootnoteText"/>
      </w:pPr>
      <w:r>
        <w:rPr>
          <w:rStyle w:val="FootnoteReference"/>
        </w:rPr>
        <w:footnoteRef/>
      </w:r>
      <w:r>
        <w:t xml:space="preserve"> </w:t>
      </w:r>
      <w:r>
        <w:t xml:space="preserve">Jones, </w:t>
      </w:r>
      <w:r w:rsidRPr="00AE1F8C">
        <w:rPr>
          <w:i/>
          <w:iCs/>
        </w:rPr>
        <w:t>Hamlet and Oedipus</w:t>
      </w:r>
      <w:r>
        <w:t xml:space="preserve">. p. </w:t>
      </w:r>
      <w:r>
        <w:t>54</w:t>
      </w:r>
    </w:p>
  </w:footnote>
  <w:footnote w:id="7">
    <w:p w14:paraId="52B131A5" w14:textId="22AD2D98" w:rsidR="000F3887" w:rsidRDefault="000F3887">
      <w:pPr>
        <w:pStyle w:val="FootnoteText"/>
      </w:pPr>
      <w:r>
        <w:rPr>
          <w:rStyle w:val="FootnoteReference"/>
        </w:rPr>
        <w:footnoteRef/>
      </w:r>
      <w:r>
        <w:t xml:space="preserve"> Shakespeare, </w:t>
      </w:r>
      <w:r w:rsidRPr="000F3887">
        <w:rPr>
          <w:i/>
          <w:iCs/>
        </w:rPr>
        <w:t>Hamlet</w:t>
      </w:r>
      <w:r>
        <w:t>. Ed. T.J.B. Spencer (London: Penguin Books, 1980-1996). p. 87, Act III, Scene 3, Line 90</w:t>
      </w:r>
    </w:p>
  </w:footnote>
  <w:footnote w:id="8">
    <w:p w14:paraId="56B8E561" w14:textId="404D864B" w:rsidR="00AE1F8C" w:rsidRDefault="00AE1F8C">
      <w:pPr>
        <w:pStyle w:val="FootnoteText"/>
      </w:pPr>
      <w:r>
        <w:rPr>
          <w:rStyle w:val="FootnoteReference"/>
        </w:rPr>
        <w:footnoteRef/>
      </w:r>
      <w:r>
        <w:t xml:space="preserve"> Jones, </w:t>
      </w:r>
      <w:r w:rsidRPr="00AE1F8C">
        <w:rPr>
          <w:i/>
          <w:iCs/>
        </w:rPr>
        <w:t>Hamlet and Oedipus</w:t>
      </w:r>
      <w:r>
        <w:t>. p. 61</w:t>
      </w:r>
    </w:p>
  </w:footnote>
  <w:footnote w:id="9">
    <w:p w14:paraId="135AC1EC" w14:textId="40B9A9BA" w:rsidR="000F3887" w:rsidRDefault="000F3887">
      <w:pPr>
        <w:pStyle w:val="FootnoteText"/>
      </w:pPr>
      <w:r>
        <w:rPr>
          <w:rStyle w:val="FootnoteReference"/>
        </w:rPr>
        <w:footnoteRef/>
      </w:r>
      <w:r>
        <w:t xml:space="preserve"> Shakespeare, </w:t>
      </w:r>
      <w:r w:rsidRPr="000F3887">
        <w:rPr>
          <w:i/>
          <w:iCs/>
        </w:rPr>
        <w:t>Hamlet</w:t>
      </w:r>
      <w:r>
        <w:t>. p. 87, Act III, Scene 4, Lines 74-78</w:t>
      </w:r>
    </w:p>
  </w:footnote>
  <w:footnote w:id="10">
    <w:p w14:paraId="009D448B" w14:textId="769944AD" w:rsidR="007077F2" w:rsidRDefault="007077F2">
      <w:pPr>
        <w:pStyle w:val="FootnoteText"/>
      </w:pPr>
      <w:r>
        <w:rPr>
          <w:rStyle w:val="FootnoteReference"/>
        </w:rPr>
        <w:footnoteRef/>
      </w:r>
      <w:r>
        <w:t xml:space="preserve"> Adam Phillips, ‘Winnicott’s Hamlet’ </w:t>
      </w:r>
      <w:r w:rsidRPr="007077F2">
        <w:rPr>
          <w:i/>
          <w:iCs/>
        </w:rPr>
        <w:t>Art, Creativity, Living</w:t>
      </w:r>
      <w:r>
        <w:t xml:space="preserve">. </w:t>
      </w:r>
      <w:r w:rsidR="00AE1F8C">
        <w:t xml:space="preserve">Ed. Lesley Caldwell </w:t>
      </w:r>
      <w:r>
        <w:t>(</w:t>
      </w:r>
      <w:r w:rsidR="00AE1F8C">
        <w:t>London: Routledge, 2018</w:t>
      </w:r>
      <w:r>
        <w:t>) p. 38-39</w:t>
      </w:r>
    </w:p>
  </w:footnote>
  <w:footnote w:id="11">
    <w:p w14:paraId="102874AD" w14:textId="1FDE0555" w:rsidR="00331E97" w:rsidRDefault="00331E97">
      <w:pPr>
        <w:pStyle w:val="FootnoteText"/>
      </w:pPr>
      <w:r>
        <w:rPr>
          <w:rStyle w:val="FootnoteReference"/>
        </w:rPr>
        <w:footnoteRef/>
      </w:r>
      <w:r>
        <w:t xml:space="preserve"> </w:t>
      </w:r>
      <w:r w:rsidR="007077F2">
        <w:t>Phillips</w:t>
      </w:r>
      <w:r>
        <w:t xml:space="preserve">, </w:t>
      </w:r>
      <w:r w:rsidRPr="00331E97">
        <w:rPr>
          <w:i/>
          <w:iCs/>
        </w:rPr>
        <w:t>Art, Creativity, Living</w:t>
      </w:r>
      <w:r>
        <w:t>. p. 38</w:t>
      </w:r>
    </w:p>
  </w:footnote>
  <w:footnote w:id="12">
    <w:p w14:paraId="37FBFF24" w14:textId="1B50DF6E" w:rsidR="00331E97" w:rsidRDefault="00331E97">
      <w:pPr>
        <w:pStyle w:val="FootnoteText"/>
      </w:pPr>
      <w:r>
        <w:rPr>
          <w:rStyle w:val="FootnoteReference"/>
        </w:rPr>
        <w:footnoteRef/>
      </w:r>
      <w:r>
        <w:t xml:space="preserve"> Shakespeare, </w:t>
      </w:r>
      <w:r w:rsidRPr="00331E97">
        <w:rPr>
          <w:i/>
          <w:iCs/>
        </w:rPr>
        <w:t>Hamlet</w:t>
      </w:r>
      <w:r>
        <w:t>. Act III Scene 2 Lines 371-374</w:t>
      </w:r>
    </w:p>
  </w:footnote>
  <w:footnote w:id="13">
    <w:p w14:paraId="5484EA35" w14:textId="76C9525A" w:rsidR="00331E97" w:rsidRDefault="00331E97">
      <w:pPr>
        <w:pStyle w:val="FootnoteText"/>
      </w:pPr>
      <w:r>
        <w:rPr>
          <w:rStyle w:val="FootnoteReference"/>
        </w:rPr>
        <w:footnoteRef/>
      </w:r>
      <w:r>
        <w:t xml:space="preserve"> Shakespeare, </w:t>
      </w:r>
      <w:r w:rsidRPr="00331E97">
        <w:rPr>
          <w:i/>
          <w:iCs/>
        </w:rPr>
        <w:t>Hamlet</w:t>
      </w:r>
      <w:r>
        <w:t>. Act III Scene 2 Lines 21-22</w:t>
      </w:r>
    </w:p>
  </w:footnote>
  <w:footnote w:id="14">
    <w:p w14:paraId="2C622F3F" w14:textId="1D2A8898" w:rsidR="00331E97" w:rsidRDefault="00331E97">
      <w:pPr>
        <w:pStyle w:val="FootnoteText"/>
      </w:pPr>
      <w:r>
        <w:rPr>
          <w:rStyle w:val="FootnoteReference"/>
        </w:rPr>
        <w:footnoteRef/>
      </w:r>
      <w:r>
        <w:t xml:space="preserve"> Garber, Marjorie. ‘Hamlet,’ </w:t>
      </w:r>
      <w:r w:rsidRPr="00331E97">
        <w:rPr>
          <w:i/>
          <w:iCs/>
        </w:rPr>
        <w:t>Shakespeare All Along</w:t>
      </w:r>
      <w:r>
        <w:t>. (</w:t>
      </w:r>
      <w:r w:rsidR="007077F2">
        <w:t>New York</w:t>
      </w:r>
      <w:r>
        <w:t xml:space="preserve">: </w:t>
      </w:r>
      <w:r w:rsidR="007077F2">
        <w:t>Pantheon Books</w:t>
      </w:r>
      <w:r>
        <w:t>,</w:t>
      </w:r>
      <w:r w:rsidR="007077F2">
        <w:t xml:space="preserve"> 2004</w:t>
      </w:r>
      <w:r>
        <w:t xml:space="preserve">) p. </w:t>
      </w:r>
      <w:r w:rsidR="007077F2">
        <w:t>470</w:t>
      </w:r>
      <w:r w:rsidR="00AE1F8C">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066A8A"/>
    <w:multiLevelType w:val="hybridMultilevel"/>
    <w:tmpl w:val="DF3C7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342B79"/>
    <w:multiLevelType w:val="hybridMultilevel"/>
    <w:tmpl w:val="1C683E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5B5C76"/>
    <w:multiLevelType w:val="hybridMultilevel"/>
    <w:tmpl w:val="A5AC62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B0968F1"/>
    <w:multiLevelType w:val="hybridMultilevel"/>
    <w:tmpl w:val="48007D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A52F2D"/>
    <w:multiLevelType w:val="hybridMultilevel"/>
    <w:tmpl w:val="392CC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DB67C59"/>
    <w:multiLevelType w:val="hybridMultilevel"/>
    <w:tmpl w:val="8E223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2490316">
    <w:abstractNumId w:val="1"/>
  </w:num>
  <w:num w:numId="2" w16cid:durableId="1461191588">
    <w:abstractNumId w:val="3"/>
  </w:num>
  <w:num w:numId="3" w16cid:durableId="1321075939">
    <w:abstractNumId w:val="2"/>
  </w:num>
  <w:num w:numId="4" w16cid:durableId="1788154276">
    <w:abstractNumId w:val="5"/>
  </w:num>
  <w:num w:numId="5" w16cid:durableId="730927058">
    <w:abstractNumId w:val="0"/>
  </w:num>
  <w:num w:numId="6" w16cid:durableId="7380223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739"/>
    <w:rsid w:val="00023A7C"/>
    <w:rsid w:val="000D259D"/>
    <w:rsid w:val="000F3887"/>
    <w:rsid w:val="00117530"/>
    <w:rsid w:val="00120C33"/>
    <w:rsid w:val="00176F39"/>
    <w:rsid w:val="001B3FA7"/>
    <w:rsid w:val="00222023"/>
    <w:rsid w:val="00223042"/>
    <w:rsid w:val="00294808"/>
    <w:rsid w:val="002E1B67"/>
    <w:rsid w:val="00331E97"/>
    <w:rsid w:val="00387216"/>
    <w:rsid w:val="004646EC"/>
    <w:rsid w:val="004724B6"/>
    <w:rsid w:val="004C39BF"/>
    <w:rsid w:val="004F018F"/>
    <w:rsid w:val="004F6ABB"/>
    <w:rsid w:val="00571899"/>
    <w:rsid w:val="00613739"/>
    <w:rsid w:val="00621EBF"/>
    <w:rsid w:val="00655B70"/>
    <w:rsid w:val="00676D1B"/>
    <w:rsid w:val="007077F2"/>
    <w:rsid w:val="00735EDB"/>
    <w:rsid w:val="00752305"/>
    <w:rsid w:val="00780464"/>
    <w:rsid w:val="00782858"/>
    <w:rsid w:val="007C05C5"/>
    <w:rsid w:val="00851A48"/>
    <w:rsid w:val="00862367"/>
    <w:rsid w:val="0087286D"/>
    <w:rsid w:val="0087473C"/>
    <w:rsid w:val="008A007F"/>
    <w:rsid w:val="008A7CDA"/>
    <w:rsid w:val="008B7BF1"/>
    <w:rsid w:val="00927B6A"/>
    <w:rsid w:val="009402FD"/>
    <w:rsid w:val="00953759"/>
    <w:rsid w:val="009F30BA"/>
    <w:rsid w:val="00A35BF5"/>
    <w:rsid w:val="00A429EF"/>
    <w:rsid w:val="00AE1F8C"/>
    <w:rsid w:val="00AE5DC1"/>
    <w:rsid w:val="00B65919"/>
    <w:rsid w:val="00B73C72"/>
    <w:rsid w:val="00B943EC"/>
    <w:rsid w:val="00BB147E"/>
    <w:rsid w:val="00C2672E"/>
    <w:rsid w:val="00C41523"/>
    <w:rsid w:val="00C515DC"/>
    <w:rsid w:val="00C63B70"/>
    <w:rsid w:val="00C81D57"/>
    <w:rsid w:val="00D57B19"/>
    <w:rsid w:val="00D61747"/>
    <w:rsid w:val="00D9531A"/>
    <w:rsid w:val="00E44A97"/>
    <w:rsid w:val="00E70438"/>
    <w:rsid w:val="00E82B07"/>
    <w:rsid w:val="00EC171B"/>
    <w:rsid w:val="00F23B61"/>
    <w:rsid w:val="00F55398"/>
    <w:rsid w:val="00F5576E"/>
    <w:rsid w:val="00F91C3D"/>
    <w:rsid w:val="00F949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5E502E0"/>
  <w15:chartTrackingRefBased/>
  <w15:docId w15:val="{97E0C620-8F19-2642-A08B-635E8207E3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29EF"/>
    <w:pPr>
      <w:spacing w:after="0"/>
      <w:jc w:val="both"/>
    </w:pPr>
    <w:rPr>
      <w:rFonts w:ascii="Times New Roman" w:hAnsi="Times New Roman" w:cs="Times New Roman"/>
    </w:rPr>
  </w:style>
  <w:style w:type="paragraph" w:styleId="Heading1">
    <w:name w:val="heading 1"/>
    <w:basedOn w:val="Normal"/>
    <w:next w:val="Normal"/>
    <w:link w:val="Heading1Char"/>
    <w:uiPriority w:val="9"/>
    <w:qFormat/>
    <w:rsid w:val="006137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137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1373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1373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1373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1373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1373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1373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1373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13739"/>
    <w:pPr>
      <w:spacing w:line="240" w:lineRule="auto"/>
      <w:contextualSpacing/>
      <w:jc w:val="center"/>
    </w:pPr>
    <w:rPr>
      <w:rFonts w:eastAsiaTheme="majorEastAsia"/>
      <w:b/>
      <w:bCs/>
      <w:spacing w:val="-10"/>
      <w:kern w:val="28"/>
      <w:sz w:val="52"/>
      <w:szCs w:val="52"/>
    </w:rPr>
  </w:style>
  <w:style w:type="character" w:customStyle="1" w:styleId="TitleChar">
    <w:name w:val="Title Char"/>
    <w:basedOn w:val="DefaultParagraphFont"/>
    <w:link w:val="Title"/>
    <w:uiPriority w:val="10"/>
    <w:rsid w:val="00613739"/>
    <w:rPr>
      <w:rFonts w:ascii="Times New Roman" w:eastAsiaTheme="majorEastAsia" w:hAnsi="Times New Roman" w:cs="Times New Roman"/>
      <w:b/>
      <w:bCs/>
      <w:spacing w:val="-10"/>
      <w:kern w:val="28"/>
      <w:sz w:val="52"/>
      <w:szCs w:val="52"/>
    </w:rPr>
  </w:style>
  <w:style w:type="character" w:customStyle="1" w:styleId="Heading1Char">
    <w:name w:val="Heading 1 Char"/>
    <w:basedOn w:val="DefaultParagraphFont"/>
    <w:link w:val="Heading1"/>
    <w:uiPriority w:val="9"/>
    <w:rsid w:val="0061373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1373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1373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1373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1373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137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37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37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3739"/>
    <w:rPr>
      <w:rFonts w:eastAsiaTheme="majorEastAsia" w:cstheme="majorBidi"/>
      <w:color w:val="272727" w:themeColor="text1" w:themeTint="D8"/>
    </w:rPr>
  </w:style>
  <w:style w:type="paragraph" w:styleId="Subtitle">
    <w:name w:val="Subtitle"/>
    <w:basedOn w:val="Normal"/>
    <w:next w:val="Normal"/>
    <w:link w:val="SubtitleChar"/>
    <w:uiPriority w:val="11"/>
    <w:qFormat/>
    <w:rsid w:val="0061373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37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3739"/>
    <w:pPr>
      <w:spacing w:before="160"/>
      <w:jc w:val="center"/>
    </w:pPr>
    <w:rPr>
      <w:i/>
      <w:iCs/>
      <w:color w:val="404040" w:themeColor="text1" w:themeTint="BF"/>
    </w:rPr>
  </w:style>
  <w:style w:type="character" w:customStyle="1" w:styleId="QuoteChar">
    <w:name w:val="Quote Char"/>
    <w:basedOn w:val="DefaultParagraphFont"/>
    <w:link w:val="Quote"/>
    <w:uiPriority w:val="29"/>
    <w:rsid w:val="00613739"/>
    <w:rPr>
      <w:i/>
      <w:iCs/>
      <w:color w:val="404040" w:themeColor="text1" w:themeTint="BF"/>
    </w:rPr>
  </w:style>
  <w:style w:type="paragraph" w:styleId="ListParagraph">
    <w:name w:val="List Paragraph"/>
    <w:basedOn w:val="Normal"/>
    <w:uiPriority w:val="34"/>
    <w:qFormat/>
    <w:rsid w:val="00613739"/>
    <w:pPr>
      <w:ind w:left="720"/>
      <w:contextualSpacing/>
    </w:pPr>
  </w:style>
  <w:style w:type="character" w:styleId="IntenseEmphasis">
    <w:name w:val="Intense Emphasis"/>
    <w:basedOn w:val="DefaultParagraphFont"/>
    <w:uiPriority w:val="21"/>
    <w:qFormat/>
    <w:rsid w:val="00613739"/>
    <w:rPr>
      <w:i/>
      <w:iCs/>
      <w:color w:val="0F4761" w:themeColor="accent1" w:themeShade="BF"/>
    </w:rPr>
  </w:style>
  <w:style w:type="paragraph" w:styleId="IntenseQuote">
    <w:name w:val="Intense Quote"/>
    <w:basedOn w:val="Normal"/>
    <w:next w:val="Normal"/>
    <w:link w:val="IntenseQuoteChar"/>
    <w:uiPriority w:val="30"/>
    <w:qFormat/>
    <w:rsid w:val="006137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13739"/>
    <w:rPr>
      <w:i/>
      <w:iCs/>
      <w:color w:val="0F4761" w:themeColor="accent1" w:themeShade="BF"/>
    </w:rPr>
  </w:style>
  <w:style w:type="character" w:styleId="IntenseReference">
    <w:name w:val="Intense Reference"/>
    <w:basedOn w:val="DefaultParagraphFont"/>
    <w:uiPriority w:val="32"/>
    <w:qFormat/>
    <w:rsid w:val="00613739"/>
    <w:rPr>
      <w:b/>
      <w:bCs/>
      <w:smallCaps/>
      <w:color w:val="0F4761" w:themeColor="accent1" w:themeShade="BF"/>
      <w:spacing w:val="5"/>
    </w:rPr>
  </w:style>
  <w:style w:type="paragraph" w:styleId="FootnoteText">
    <w:name w:val="footnote text"/>
    <w:basedOn w:val="Normal"/>
    <w:link w:val="FootnoteTextChar"/>
    <w:uiPriority w:val="99"/>
    <w:semiHidden/>
    <w:unhideWhenUsed/>
    <w:rsid w:val="00621EBF"/>
    <w:pPr>
      <w:spacing w:line="240" w:lineRule="auto"/>
    </w:pPr>
    <w:rPr>
      <w:sz w:val="20"/>
      <w:szCs w:val="20"/>
    </w:rPr>
  </w:style>
  <w:style w:type="character" w:customStyle="1" w:styleId="FootnoteTextChar">
    <w:name w:val="Footnote Text Char"/>
    <w:basedOn w:val="DefaultParagraphFont"/>
    <w:link w:val="FootnoteText"/>
    <w:uiPriority w:val="99"/>
    <w:semiHidden/>
    <w:rsid w:val="00621EBF"/>
    <w:rPr>
      <w:rFonts w:ascii="Times New Roman" w:hAnsi="Times New Roman" w:cs="Times New Roman"/>
      <w:sz w:val="20"/>
      <w:szCs w:val="20"/>
    </w:rPr>
  </w:style>
  <w:style w:type="character" w:styleId="FootnoteReference">
    <w:name w:val="footnote reference"/>
    <w:basedOn w:val="DefaultParagraphFont"/>
    <w:uiPriority w:val="99"/>
    <w:semiHidden/>
    <w:unhideWhenUsed/>
    <w:rsid w:val="00621EBF"/>
    <w:rPr>
      <w:vertAlign w:val="superscript"/>
    </w:rPr>
  </w:style>
  <w:style w:type="paragraph" w:styleId="NormalWeb">
    <w:name w:val="Normal (Web)"/>
    <w:basedOn w:val="Normal"/>
    <w:uiPriority w:val="99"/>
    <w:semiHidden/>
    <w:unhideWhenUsed/>
    <w:rsid w:val="00C63B70"/>
    <w:pPr>
      <w:spacing w:before="100" w:beforeAutospacing="1" w:after="100" w:afterAutospacing="1" w:line="240" w:lineRule="auto"/>
      <w:jc w:val="left"/>
    </w:pPr>
    <w:rPr>
      <w:rFonts w:eastAsia="Times New Roman"/>
      <w:kern w:val="0"/>
      <w:lang w:eastAsia="en-GB"/>
      <w14:ligatures w14:val="none"/>
    </w:rPr>
  </w:style>
  <w:style w:type="paragraph" w:customStyle="1" w:styleId="p1">
    <w:name w:val="p1"/>
    <w:basedOn w:val="Normal"/>
    <w:rsid w:val="00C515DC"/>
    <w:pPr>
      <w:spacing w:before="100" w:beforeAutospacing="1" w:after="100" w:afterAutospacing="1" w:line="240" w:lineRule="auto"/>
      <w:jc w:val="left"/>
    </w:pPr>
    <w:rPr>
      <w:rFonts w:eastAsia="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6514235">
      <w:bodyDiv w:val="1"/>
      <w:marLeft w:val="0"/>
      <w:marRight w:val="0"/>
      <w:marTop w:val="0"/>
      <w:marBottom w:val="0"/>
      <w:divBdr>
        <w:top w:val="none" w:sz="0" w:space="0" w:color="auto"/>
        <w:left w:val="none" w:sz="0" w:space="0" w:color="auto"/>
        <w:bottom w:val="none" w:sz="0" w:space="0" w:color="auto"/>
        <w:right w:val="none" w:sz="0" w:space="0" w:color="auto"/>
      </w:divBdr>
    </w:div>
    <w:div w:id="397481553">
      <w:bodyDiv w:val="1"/>
      <w:marLeft w:val="0"/>
      <w:marRight w:val="0"/>
      <w:marTop w:val="0"/>
      <w:marBottom w:val="0"/>
      <w:divBdr>
        <w:top w:val="none" w:sz="0" w:space="0" w:color="auto"/>
        <w:left w:val="none" w:sz="0" w:space="0" w:color="auto"/>
        <w:bottom w:val="none" w:sz="0" w:space="0" w:color="auto"/>
        <w:right w:val="none" w:sz="0" w:space="0" w:color="auto"/>
      </w:divBdr>
      <w:divsChild>
        <w:div w:id="1359771977">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432022102">
      <w:bodyDiv w:val="1"/>
      <w:marLeft w:val="0"/>
      <w:marRight w:val="0"/>
      <w:marTop w:val="0"/>
      <w:marBottom w:val="0"/>
      <w:divBdr>
        <w:top w:val="none" w:sz="0" w:space="0" w:color="auto"/>
        <w:left w:val="none" w:sz="0" w:space="0" w:color="auto"/>
        <w:bottom w:val="none" w:sz="0" w:space="0" w:color="auto"/>
        <w:right w:val="none" w:sz="0" w:space="0" w:color="auto"/>
      </w:divBdr>
    </w:div>
    <w:div w:id="668602850">
      <w:bodyDiv w:val="1"/>
      <w:marLeft w:val="0"/>
      <w:marRight w:val="0"/>
      <w:marTop w:val="0"/>
      <w:marBottom w:val="0"/>
      <w:divBdr>
        <w:top w:val="none" w:sz="0" w:space="0" w:color="auto"/>
        <w:left w:val="none" w:sz="0" w:space="0" w:color="auto"/>
        <w:bottom w:val="none" w:sz="0" w:space="0" w:color="auto"/>
        <w:right w:val="none" w:sz="0" w:space="0" w:color="auto"/>
      </w:divBdr>
    </w:div>
    <w:div w:id="689985864">
      <w:bodyDiv w:val="1"/>
      <w:marLeft w:val="0"/>
      <w:marRight w:val="0"/>
      <w:marTop w:val="0"/>
      <w:marBottom w:val="0"/>
      <w:divBdr>
        <w:top w:val="none" w:sz="0" w:space="0" w:color="auto"/>
        <w:left w:val="none" w:sz="0" w:space="0" w:color="auto"/>
        <w:bottom w:val="none" w:sz="0" w:space="0" w:color="auto"/>
        <w:right w:val="none" w:sz="0" w:space="0" w:color="auto"/>
      </w:divBdr>
    </w:div>
    <w:div w:id="700977613">
      <w:bodyDiv w:val="1"/>
      <w:marLeft w:val="0"/>
      <w:marRight w:val="0"/>
      <w:marTop w:val="0"/>
      <w:marBottom w:val="0"/>
      <w:divBdr>
        <w:top w:val="none" w:sz="0" w:space="0" w:color="auto"/>
        <w:left w:val="none" w:sz="0" w:space="0" w:color="auto"/>
        <w:bottom w:val="none" w:sz="0" w:space="0" w:color="auto"/>
        <w:right w:val="none" w:sz="0" w:space="0" w:color="auto"/>
      </w:divBdr>
    </w:div>
    <w:div w:id="817838775">
      <w:bodyDiv w:val="1"/>
      <w:marLeft w:val="0"/>
      <w:marRight w:val="0"/>
      <w:marTop w:val="0"/>
      <w:marBottom w:val="0"/>
      <w:divBdr>
        <w:top w:val="none" w:sz="0" w:space="0" w:color="auto"/>
        <w:left w:val="none" w:sz="0" w:space="0" w:color="auto"/>
        <w:bottom w:val="none" w:sz="0" w:space="0" w:color="auto"/>
        <w:right w:val="none" w:sz="0" w:space="0" w:color="auto"/>
      </w:divBdr>
    </w:div>
    <w:div w:id="984579806">
      <w:bodyDiv w:val="1"/>
      <w:marLeft w:val="0"/>
      <w:marRight w:val="0"/>
      <w:marTop w:val="0"/>
      <w:marBottom w:val="0"/>
      <w:divBdr>
        <w:top w:val="none" w:sz="0" w:space="0" w:color="auto"/>
        <w:left w:val="none" w:sz="0" w:space="0" w:color="auto"/>
        <w:bottom w:val="none" w:sz="0" w:space="0" w:color="auto"/>
        <w:right w:val="none" w:sz="0" w:space="0" w:color="auto"/>
      </w:divBdr>
      <w:divsChild>
        <w:div w:id="557129148">
          <w:marLeft w:val="0"/>
          <w:marRight w:val="0"/>
          <w:marTop w:val="0"/>
          <w:marBottom w:val="0"/>
          <w:divBdr>
            <w:top w:val="none" w:sz="0" w:space="0" w:color="auto"/>
            <w:left w:val="none" w:sz="0" w:space="0" w:color="auto"/>
            <w:bottom w:val="none" w:sz="0" w:space="0" w:color="auto"/>
            <w:right w:val="none" w:sz="0" w:space="0" w:color="auto"/>
          </w:divBdr>
          <w:divsChild>
            <w:div w:id="575017452">
              <w:marLeft w:val="0"/>
              <w:marRight w:val="0"/>
              <w:marTop w:val="0"/>
              <w:marBottom w:val="0"/>
              <w:divBdr>
                <w:top w:val="none" w:sz="0" w:space="0" w:color="auto"/>
                <w:left w:val="none" w:sz="0" w:space="0" w:color="auto"/>
                <w:bottom w:val="none" w:sz="0" w:space="0" w:color="auto"/>
                <w:right w:val="none" w:sz="0" w:space="0" w:color="auto"/>
              </w:divBdr>
              <w:divsChild>
                <w:div w:id="770665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334837">
      <w:bodyDiv w:val="1"/>
      <w:marLeft w:val="0"/>
      <w:marRight w:val="0"/>
      <w:marTop w:val="0"/>
      <w:marBottom w:val="0"/>
      <w:divBdr>
        <w:top w:val="none" w:sz="0" w:space="0" w:color="auto"/>
        <w:left w:val="none" w:sz="0" w:space="0" w:color="auto"/>
        <w:bottom w:val="none" w:sz="0" w:space="0" w:color="auto"/>
        <w:right w:val="none" w:sz="0" w:space="0" w:color="auto"/>
      </w:divBdr>
      <w:divsChild>
        <w:div w:id="365915175">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196694223">
      <w:bodyDiv w:val="1"/>
      <w:marLeft w:val="0"/>
      <w:marRight w:val="0"/>
      <w:marTop w:val="0"/>
      <w:marBottom w:val="0"/>
      <w:divBdr>
        <w:top w:val="none" w:sz="0" w:space="0" w:color="auto"/>
        <w:left w:val="none" w:sz="0" w:space="0" w:color="auto"/>
        <w:bottom w:val="none" w:sz="0" w:space="0" w:color="auto"/>
        <w:right w:val="none" w:sz="0" w:space="0" w:color="auto"/>
      </w:divBdr>
    </w:div>
    <w:div w:id="1760180132">
      <w:bodyDiv w:val="1"/>
      <w:marLeft w:val="0"/>
      <w:marRight w:val="0"/>
      <w:marTop w:val="0"/>
      <w:marBottom w:val="0"/>
      <w:divBdr>
        <w:top w:val="none" w:sz="0" w:space="0" w:color="auto"/>
        <w:left w:val="none" w:sz="0" w:space="0" w:color="auto"/>
        <w:bottom w:val="none" w:sz="0" w:space="0" w:color="auto"/>
        <w:right w:val="none" w:sz="0" w:space="0" w:color="auto"/>
      </w:divBdr>
    </w:div>
    <w:div w:id="2130658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1533</Words>
  <Characters>8740</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Eden Rich</dc:creator>
  <cp:keywords/>
  <dc:description/>
  <cp:lastModifiedBy>Eden Rich</cp:lastModifiedBy>
  <cp:revision>2</cp:revision>
  <dcterms:created xsi:type="dcterms:W3CDTF">2025-04-23T13:12:00Z</dcterms:created>
  <dcterms:modified xsi:type="dcterms:W3CDTF">2025-04-23T13:12:00Z</dcterms:modified>
</cp:coreProperties>
</file>