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517E98"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b/>
          <w:bCs/>
          <w:kern w:val="0"/>
          <w:sz w:val="32"/>
          <w:szCs w:val="32"/>
          <w:lang w:eastAsia="en-GB"/>
          <w14:ligatures w14:val="none"/>
        </w:rPr>
        <w:t>A Reflective Management Plan for Sustainable Recreation at Dinefwr Park</w:t>
      </w:r>
    </w:p>
    <w:p w14:paraId="00728CAD"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b/>
          <w:bCs/>
          <w:kern w:val="0"/>
          <w:sz w:val="28"/>
          <w:szCs w:val="28"/>
          <w:lang w:eastAsia="en-GB"/>
          <w14:ligatures w14:val="none"/>
        </w:rPr>
        <w:t>1. Introduction</w:t>
      </w:r>
    </w:p>
    <w:p w14:paraId="458B7B46"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Dinefwr Park provides a complex setting for sustainable outdoor recreation, combining a historically significant landscape with nature conservation, heritage attractions and opportunities for public access. The National Trust describes an 800-acre estate of parkland, meadows and woodland, centred on a medieval Deer Park and including Newton House and Dinefwr Castle (National Trust, n.d.-a). My fieldwork visit demonstrated the difficulty of encouraging people to access and experience Dinefwr while protecting the natural and historic resources that make the site valuable.</w:t>
      </w:r>
    </w:p>
    <w:p w14:paraId="13050FA4"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 xml:space="preserve">During the visit, the park appeared relatively quiet; however, this was around midday on a weekday and may not represent peak conditions. The site caretaker explained that footfall had increased and that summer periods could be particularly busy. Other challenges discussed included limited funding, dog fouling, wildlife protection, accessibility, path management and informal recreational activity. This plan evaluates how Dinefwr can accommodate recreation while maintaining environmental and heritage quality, accessibility and visitor experience. </w:t>
      </w:r>
      <w:proofErr w:type="gramStart"/>
      <w:r w:rsidRPr="001D6792">
        <w:rPr>
          <w:rFonts w:ascii="Times New Roman" w:eastAsia="Times New Roman" w:hAnsi="Times New Roman" w:cs="Times New Roman"/>
          <w:kern w:val="0"/>
          <w:sz w:val="22"/>
          <w:szCs w:val="22"/>
          <w:lang w:eastAsia="en-GB"/>
          <w14:ligatures w14:val="none"/>
        </w:rPr>
        <w:t>Particular consideration</w:t>
      </w:r>
      <w:proofErr w:type="gramEnd"/>
      <w:r w:rsidRPr="001D6792">
        <w:rPr>
          <w:rFonts w:ascii="Times New Roman" w:eastAsia="Times New Roman" w:hAnsi="Times New Roman" w:cs="Times New Roman"/>
          <w:kern w:val="0"/>
          <w:sz w:val="22"/>
          <w:szCs w:val="22"/>
          <w:lang w:eastAsia="en-GB"/>
          <w14:ligatures w14:val="none"/>
        </w:rPr>
        <w:t xml:space="preserve"> is given to carrying capacity, Limits of Acceptable Change (LAC), recreation zoning and adaptive management, supported by academic literature and recreation-management case evidence (Manning, Anderson and Pettengill, 2017; Interagency Visitor Use Management Council, n.d.).</w:t>
      </w:r>
    </w:p>
    <w:p w14:paraId="108C55D8"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p>
    <w:p w14:paraId="4435B209"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b/>
          <w:bCs/>
          <w:kern w:val="0"/>
          <w:sz w:val="28"/>
          <w:szCs w:val="28"/>
          <w:lang w:eastAsia="en-GB"/>
          <w14:ligatures w14:val="none"/>
        </w:rPr>
        <w:t>2. Understanding the Dinefwr Landscape</w:t>
      </w:r>
    </w:p>
    <w:p w14:paraId="5AFBEA98"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Dinefwr should not be viewed solely as a natural recreational environment because it has been shaped by natural processes, human intervention and history. My fieldwork impression was of a beautiful but slightly eerie landscape: rolling grassland, mature trees, water and wildlife contrasted with the castle, Newton House and stories associated with the site's past. Deer and birds were also observed.</w:t>
      </w:r>
    </w:p>
    <w:p w14:paraId="0D63B592"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What appears natural is also the product of centuries of human influence. The National Trust records the creation of a deer park in the seventeenth century, eighteenth-century redesign influenced by ideas that nature could be art, and later proposals by Capability Brown involving paths, walls, meadows and plantations (National Trust, n.d.-b). The landscape therefore cannot simply be divided into natural and human elements. Wylie (2007) treats landscape as something that is both materially present and culturally experienced, while Aitchison, MacLeod and Shaw (2002) examine how leisure and tourism shape the production, representation and consumption of landscape. Daniels et al. (2011) likewise emphasise the importance of place, landscape and representation within wider human experience.</w:t>
      </w:r>
    </w:p>
    <w:p w14:paraId="4539482D"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 xml:space="preserve">Tuan's (1974) concept of topophilia is also relevant because emotional relationships with place influence how environments are perceived and valued. This has implications for recreation management: visitors and local communities should not automatically be regarded only as pressures </w:t>
      </w:r>
      <w:r w:rsidRPr="001D6792">
        <w:rPr>
          <w:rFonts w:ascii="Times New Roman" w:eastAsia="Times New Roman" w:hAnsi="Times New Roman" w:cs="Times New Roman"/>
          <w:kern w:val="0"/>
          <w:sz w:val="22"/>
          <w:szCs w:val="22"/>
          <w:lang w:eastAsia="en-GB"/>
          <w14:ligatures w14:val="none"/>
        </w:rPr>
        <w:lastRenderedPageBreak/>
        <w:t>upon the environment. Opportunities to experience and participate in Dinefwr may contribute to attachment to the landscape. The management challenge is therefore one of balance. Preventing people from interacting with Dinefwr would undermine its recreational and social value, yet unrestricted access could damage the environmental and heritage qualities that attract visitors. Sustainable management must consequently consider where, how and at what intensity recreation should occur.</w:t>
      </w:r>
    </w:p>
    <w:p w14:paraId="31C36008"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p>
    <w:p w14:paraId="4192D1A5"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b/>
          <w:bCs/>
          <w:kern w:val="0"/>
          <w:sz w:val="28"/>
          <w:szCs w:val="28"/>
          <w:lang w:eastAsia="en-GB"/>
          <w14:ligatures w14:val="none"/>
        </w:rPr>
        <w:t>3. Recreation Pressures and Management Problems</w:t>
      </w:r>
    </w:p>
    <w:p w14:paraId="388184FA"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b/>
          <w:bCs/>
          <w:kern w:val="0"/>
          <w:sz w:val="26"/>
          <w:szCs w:val="26"/>
          <w:lang w:eastAsia="en-GB"/>
          <w14:ligatures w14:val="none"/>
        </w:rPr>
        <w:t>3.1 Increasing Visitor Use</w:t>
      </w:r>
    </w:p>
    <w:p w14:paraId="5BD74316"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 xml:space="preserve">Increasing recreational use was identified as an important issue during fieldwork. Although the site appeared quiet during my visit, the caretaker reported increasing footfall and busy summer periods. More visitors can broaden access to Dinefwr but also increase pressure on resources, facilities and visitor experience. </w:t>
      </w:r>
      <w:proofErr w:type="spellStart"/>
      <w:r w:rsidRPr="001D6792">
        <w:rPr>
          <w:rFonts w:ascii="Times New Roman" w:eastAsia="Times New Roman" w:hAnsi="Times New Roman" w:cs="Times New Roman"/>
          <w:kern w:val="0"/>
          <w:sz w:val="22"/>
          <w:szCs w:val="22"/>
          <w:lang w:eastAsia="en-GB"/>
          <w14:ligatures w14:val="none"/>
        </w:rPr>
        <w:t>Pescott</w:t>
      </w:r>
      <w:proofErr w:type="spellEnd"/>
      <w:r w:rsidRPr="001D6792">
        <w:rPr>
          <w:rFonts w:ascii="Times New Roman" w:eastAsia="Times New Roman" w:hAnsi="Times New Roman" w:cs="Times New Roman"/>
          <w:kern w:val="0"/>
          <w:sz w:val="22"/>
          <w:szCs w:val="22"/>
          <w:lang w:eastAsia="en-GB"/>
          <w14:ligatures w14:val="none"/>
        </w:rPr>
        <w:t xml:space="preserve"> and Stewart's (2014) systematic review found that trampling can reduce vegetation and degrade plant communities, while Pickering (2010) identifies use intensity, environmental conditions and behaviour as important influences on recreation impacts. Impact therefore depends not only on visitor numbers but on where and how recreation occurs.</w:t>
      </w:r>
    </w:p>
    <w:p w14:paraId="74103B8A"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p>
    <w:p w14:paraId="6C357BC8"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b/>
          <w:bCs/>
          <w:kern w:val="0"/>
          <w:sz w:val="26"/>
          <w:szCs w:val="26"/>
          <w:lang w:eastAsia="en-GB"/>
          <w14:ligatures w14:val="none"/>
        </w:rPr>
        <w:t>3.2 Paths and Desire Lines</w:t>
      </w:r>
    </w:p>
    <w:p w14:paraId="5ADA8ADC"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Path management was particularly noticeable during the field visit. Established routes were generally wide and well maintained, but the caretaker explained that visitors also create preferred routes or 'desire lines'. Rather than automatically preventing this behaviour, management sometimes responds to where visitors naturally want to walk. This potentially improves visitor experience but creates environmental risks. At Great Falls Park in the United States, Wimpey and Marion (2011) found informal trails to have less sustainable alignments than formal trails and linked dense informal networks to vegetation loss, altered hydrology, habitat fragmentation and other impacts. Ballantyne and Pickering (2015) similarly found that informal recreational trails can contribute substantially to forest loss. Consequently, visitor preference alone should not determine whether a desire line becomes permanent. Some routes may be suitable for formalisation, while environmentally damaging routes may require restoration or redirection. Marion and Leung (2011) provide practical support for monitoring formal and informal trails through indicators such as trail width, surface condition and spatial extent.</w:t>
      </w:r>
    </w:p>
    <w:p w14:paraId="1793FCB3"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p>
    <w:p w14:paraId="0D0E06A5"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b/>
          <w:bCs/>
          <w:kern w:val="0"/>
          <w:sz w:val="26"/>
          <w:szCs w:val="26"/>
          <w:lang w:eastAsia="en-GB"/>
          <w14:ligatures w14:val="none"/>
        </w:rPr>
        <w:t>3.3 Wildlife and Conservation</w:t>
      </w:r>
    </w:p>
    <w:p w14:paraId="6E21B0EB"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 xml:space="preserve">A further challenge is the relationship between recreation and wildlife protection. Deer and birds were observed, while the caretaker discussed creating more wild spaces and increasing biodiversity. Larson et al. (2016), reviewing 274 studies, found recreation-related responses across many animal groups, with negative effects more common than positive ones. Because impacts vary by species, setting and activity, neither unrestricted access nor complete exclusion is appropriate across the whole estate. </w:t>
      </w:r>
      <w:r w:rsidRPr="001D6792">
        <w:rPr>
          <w:rFonts w:ascii="Times New Roman" w:eastAsia="Times New Roman" w:hAnsi="Times New Roman" w:cs="Times New Roman"/>
          <w:kern w:val="0"/>
          <w:sz w:val="22"/>
          <w:szCs w:val="22"/>
          <w:lang w:eastAsia="en-GB"/>
          <w14:ligatures w14:val="none"/>
        </w:rPr>
        <w:lastRenderedPageBreak/>
        <w:t>Dinefwr already reserves some areas primarily for nature. The National Trust also manages veteran-tree habitat by retaining fallen timber and planting future generations of trees (National Trust, n.d.-d), showing that conservation can take greater priority in selected areas.</w:t>
      </w:r>
    </w:p>
    <w:p w14:paraId="1F298A33"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p>
    <w:p w14:paraId="1D8D246E"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b/>
          <w:bCs/>
          <w:kern w:val="0"/>
          <w:sz w:val="26"/>
          <w:szCs w:val="26"/>
          <w:lang w:eastAsia="en-GB"/>
          <w14:ligatures w14:val="none"/>
        </w:rPr>
        <w:t>3.4 Dogs and Dog Fouling</w:t>
      </w:r>
    </w:p>
    <w:p w14:paraId="4ABB4995"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Dog fouling was specifically identified by the caretaker as a persistent problem despite dedicated dog-waste bins already being available. This suggests that infrastructure alone has not completely changed visitor behaviour. Dog fouling is more than an aesthetic issue. De Frenne et al. (2022) estimated substantial nitrogen and phosphorus inputs from dog urine and faeces in peri-urban ecosystems, while Banks and Bryant (2007) found that dog walking displaced birds in natural areas. Recent Forestry Commission evidence also shows the issue is widespread in managed woodlands: 88% of surveyed managers reported dog fouling and 81% reported wildlife disturbance or chasing as problems (Forestry Commission, 2025). Nevertheless, completely excluding dogs would restrict a legitimate recreational use of Dinefwr. The management problem is therefore primarily one of modifying inappropriate behaviour and protecting sensitive locations while retaining responsible dog walking.</w:t>
      </w:r>
    </w:p>
    <w:p w14:paraId="132ABA0F"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p>
    <w:p w14:paraId="0E02A6C2"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b/>
          <w:bCs/>
          <w:kern w:val="0"/>
          <w:sz w:val="26"/>
          <w:szCs w:val="26"/>
          <w:lang w:eastAsia="en-GB"/>
          <w14:ligatures w14:val="none"/>
        </w:rPr>
        <w:t>3.5 Informal Mountain Biking and Community Engagement</w:t>
      </w:r>
    </w:p>
    <w:p w14:paraId="16C41AD9"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Local young mountain bikers had created an informal trail and social area in an unsuitable, potentially dangerous location. Instead of simply excluding them, Dinefwr staff were seeking a more appropriate space. Mountain biking should not automatically be treated as more damaging than other recreation: Pickering et al. (2010) found many similar impacts across hiking, horse riding and mountain biking, while Evju et al. (2021) showed that impacts vary strongly with environmental conditions and that vulnerable wet sections may require rerouting or surface hardening.</w:t>
      </w:r>
    </w:p>
    <w:p w14:paraId="7C46BD69"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A designated facility could therefore concentrate use onto appropriately located trails while addressing the recreational demand that produced the informal trail. Importantly, riders could be involved through consultation, trail design and potentially maintenance. This connects with Tuan's (1974) concept of attachment to place, while more recent longitudinal research indicates that nature connectedness and pro-environmental behaviour are related during adolescence and early adulthood (Krettenauer, Lefebvre and Goddeeris, 2024). However, positive outcomes cannot be assumed: a successful facility might attract additional riders, increase erosion or create conflict with walkers. Environmental assessment, appropriate location and subsequent monitoring would therefore be necessary.</w:t>
      </w:r>
    </w:p>
    <w:p w14:paraId="062EA0DA"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p>
    <w:p w14:paraId="40DD6965"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b/>
          <w:bCs/>
          <w:kern w:val="0"/>
          <w:sz w:val="28"/>
          <w:szCs w:val="28"/>
          <w:lang w:eastAsia="en-GB"/>
          <w14:ligatures w14:val="none"/>
        </w:rPr>
        <w:t>4. Evaluation of Recreation Management Frameworks</w:t>
      </w:r>
    </w:p>
    <w:p w14:paraId="09211219"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b/>
          <w:bCs/>
          <w:kern w:val="0"/>
          <w:sz w:val="26"/>
          <w:szCs w:val="26"/>
          <w:lang w:eastAsia="en-GB"/>
          <w14:ligatures w14:val="none"/>
        </w:rPr>
        <w:t>4.1 Carrying Capacity</w:t>
      </w:r>
    </w:p>
    <w:p w14:paraId="54C00AB8"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 xml:space="preserve">Carrying capacity considers how much recreational use can occur without unacceptable deterioration of resources or visitor experience. A single numerical capacity would be inappropriate for Dinefwr </w:t>
      </w:r>
      <w:r w:rsidRPr="001D6792">
        <w:rPr>
          <w:rFonts w:ascii="Times New Roman" w:eastAsia="Times New Roman" w:hAnsi="Times New Roman" w:cs="Times New Roman"/>
          <w:kern w:val="0"/>
          <w:sz w:val="22"/>
          <w:szCs w:val="22"/>
          <w:lang w:eastAsia="en-GB"/>
          <w14:ligatures w14:val="none"/>
        </w:rPr>
        <w:lastRenderedPageBreak/>
        <w:t>because sensitivity varies across the estate: many visitors around established facilities could create less damage than far fewer people in sensitive habitat. Manning, Anderson and Pettengill (2017) therefore consider both the amount and type of recreation alongside resulting conditions. The Visitor Use Management Framework likewise emphasises managing use to achieve desired conditions rather than relying on headcounts alone (Interagency Visitor Use Management Council, n.d.).</w:t>
      </w:r>
    </w:p>
    <w:p w14:paraId="5AE19A38" w14:textId="77777777" w:rsidR="00E9201B" w:rsidRPr="001D6792" w:rsidRDefault="00E9201B" w:rsidP="002E27C0">
      <w:pPr>
        <w:spacing w:after="0" w:line="360" w:lineRule="auto"/>
        <w:jc w:val="both"/>
        <w:rPr>
          <w:rFonts w:ascii="Times New Roman" w:eastAsia="Times New Roman" w:hAnsi="Times New Roman" w:cs="Times New Roman"/>
          <w:b/>
          <w:bCs/>
          <w:kern w:val="0"/>
          <w:sz w:val="26"/>
          <w:szCs w:val="26"/>
          <w:lang w:eastAsia="en-GB"/>
          <w14:ligatures w14:val="none"/>
        </w:rPr>
      </w:pPr>
    </w:p>
    <w:p w14:paraId="6668132D" w14:textId="45DD6E69"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b/>
          <w:bCs/>
          <w:kern w:val="0"/>
          <w:sz w:val="26"/>
          <w:szCs w:val="26"/>
          <w:lang w:eastAsia="en-GB"/>
          <w14:ligatures w14:val="none"/>
        </w:rPr>
        <w:t>4.2 Limits of Acceptable Change</w:t>
      </w:r>
    </w:p>
    <w:p w14:paraId="41B4997D"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The Limits of Acceptable Change framework provides a stronger basis for addressing this issue. Stankey et al. (1985) developed LAC around defining desired environmental and social conditions, selecting indicators, establishing acceptable standards, monitoring conditions and intervening when standards are exceeded. This is appropriate for Dinefwr because impacts can be measured through indicators such as path erosion, informal trail development, dog-fouling incidents, wildlife disturbance and visitor experience. LAC also recognises that some environmental change is inevitable where recreation occurs. The important questions become how much change is acceptable, where it is acceptable and when management should intervene. However, identifying an indicator does not automatically determine the correct threshold; standards require baseline data, ecological evidence and managerial judgement, and repeated monitoring has staff and financial costs (Stankey et al., 1985; Marion and Leung, 2011).</w:t>
      </w:r>
    </w:p>
    <w:p w14:paraId="6A8B18F5" w14:textId="77777777" w:rsidR="00E9201B" w:rsidRPr="001D6792" w:rsidRDefault="00E9201B" w:rsidP="002E27C0">
      <w:pPr>
        <w:spacing w:after="0" w:line="360" w:lineRule="auto"/>
        <w:jc w:val="both"/>
        <w:rPr>
          <w:rFonts w:ascii="Times New Roman" w:eastAsia="Times New Roman" w:hAnsi="Times New Roman" w:cs="Times New Roman"/>
          <w:b/>
          <w:bCs/>
          <w:kern w:val="0"/>
          <w:sz w:val="26"/>
          <w:szCs w:val="26"/>
          <w:lang w:eastAsia="en-GB"/>
          <w14:ligatures w14:val="none"/>
        </w:rPr>
      </w:pPr>
    </w:p>
    <w:p w14:paraId="487118B7" w14:textId="1BE63BA6"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b/>
          <w:bCs/>
          <w:kern w:val="0"/>
          <w:sz w:val="26"/>
          <w:szCs w:val="26"/>
          <w:lang w:eastAsia="en-GB"/>
          <w14:ligatures w14:val="none"/>
        </w:rPr>
        <w:t>4.3 Selected Approach: Zoning and Adaptive Management</w:t>
      </w:r>
    </w:p>
    <w:p w14:paraId="35CE092F"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LAC should therefore be combined with recreation zoning and adaptive management. Zoning allows different management objectives to apply to areas with different levels of sensitivity, while monitoring allows those arrangements to change when interventions are ineffective. Four broad zones are proposed: Visitor and Heritage, Managed Recreation, Quiet Nature Recreation and Conservation Refuge. Higher recreational intensity would be accepted in durable developed areas, while progressively greater environmental protection would apply towards conservation areas. This approach reflects the strategy-and-practice framework described by Manning, Anderson and Pettengill (2017) and the wider visitor-use principle of implementing, monitoring, evaluating and adjusting management actions over time (Interagency Visitor Use Management Council, n.d.).</w:t>
      </w:r>
    </w:p>
    <w:p w14:paraId="1AA9D38B" w14:textId="77777777" w:rsidR="00E9201B" w:rsidRPr="001D6792" w:rsidRDefault="00E9201B" w:rsidP="002E27C0">
      <w:pPr>
        <w:spacing w:after="0" w:line="360" w:lineRule="auto"/>
        <w:jc w:val="both"/>
        <w:rPr>
          <w:rFonts w:ascii="Times New Roman" w:eastAsia="Times New Roman" w:hAnsi="Times New Roman" w:cs="Times New Roman"/>
          <w:b/>
          <w:bCs/>
          <w:kern w:val="0"/>
          <w:sz w:val="28"/>
          <w:szCs w:val="28"/>
          <w:lang w:eastAsia="en-GB"/>
          <w14:ligatures w14:val="none"/>
        </w:rPr>
      </w:pPr>
    </w:p>
    <w:p w14:paraId="3C432EB6" w14:textId="75495E0B"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b/>
          <w:bCs/>
          <w:kern w:val="0"/>
          <w:sz w:val="28"/>
          <w:szCs w:val="28"/>
          <w:lang w:eastAsia="en-GB"/>
          <w14:ligatures w14:val="none"/>
        </w:rPr>
        <w:t>5. Proposed Sustainable Recreation Management Plan</w:t>
      </w:r>
    </w:p>
    <w:p w14:paraId="7863BF66"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The management plan combines the four zones with targeted interventions addressing the principal problems identified through fieldwork and research.</w:t>
      </w:r>
    </w:p>
    <w:tbl>
      <w:tblPr>
        <w:tblW w:w="0" w:type="dxa"/>
        <w:tblBorders>
          <w:top w:val="single" w:sz="2" w:space="0" w:color="auto"/>
          <w:left w:val="single" w:sz="2" w:space="0" w:color="auto"/>
          <w:bottom w:val="single" w:sz="2" w:space="0" w:color="auto"/>
          <w:right w:val="single" w:sz="2" w:space="0" w:color="auto"/>
        </w:tblBorders>
        <w:tblLook w:val="04A0" w:firstRow="1" w:lastRow="0" w:firstColumn="1" w:lastColumn="0" w:noHBand="0" w:noVBand="1"/>
      </w:tblPr>
      <w:tblGrid>
        <w:gridCol w:w="2250"/>
        <w:gridCol w:w="2260"/>
        <w:gridCol w:w="2250"/>
        <w:gridCol w:w="2256"/>
      </w:tblGrid>
      <w:tr w:rsidR="00E9201B" w:rsidRPr="001D6792" w14:paraId="277E9A30" w14:textId="77777777">
        <w:tc>
          <w:tcPr>
            <w:tcW w:w="2340" w:type="dxa"/>
            <w:tcBorders>
              <w:top w:val="single" w:sz="4" w:space="0" w:color="000000"/>
              <w:left w:val="single" w:sz="4" w:space="0" w:color="000000"/>
              <w:bottom w:val="single" w:sz="4" w:space="0" w:color="000000"/>
              <w:right w:val="single" w:sz="4" w:space="0" w:color="000000"/>
            </w:tcBorders>
            <w:vAlign w:val="center"/>
            <w:hideMark/>
          </w:tcPr>
          <w:p w14:paraId="25B2B09B"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b/>
                <w:bCs/>
                <w:kern w:val="0"/>
                <w:sz w:val="22"/>
                <w:szCs w:val="22"/>
                <w:lang w:eastAsia="en-GB"/>
                <w14:ligatures w14:val="none"/>
              </w:rPr>
              <w:t>Zone</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532DEA39"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b/>
                <w:bCs/>
                <w:kern w:val="0"/>
                <w:sz w:val="22"/>
                <w:szCs w:val="22"/>
                <w:lang w:eastAsia="en-GB"/>
                <w14:ligatures w14:val="none"/>
              </w:rPr>
              <w:t>Primary purpose</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237F643A"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b/>
                <w:bCs/>
                <w:kern w:val="0"/>
                <w:sz w:val="22"/>
                <w:szCs w:val="22"/>
                <w:lang w:eastAsia="en-GB"/>
                <w14:ligatures w14:val="none"/>
              </w:rPr>
              <w:t>Appropriate use</w:t>
            </w:r>
          </w:p>
        </w:tc>
        <w:tc>
          <w:tcPr>
            <w:tcW w:w="2340" w:type="dxa"/>
            <w:tcBorders>
              <w:top w:val="single" w:sz="4" w:space="0" w:color="000000"/>
              <w:left w:val="single" w:sz="4" w:space="0" w:color="000000"/>
              <w:bottom w:val="single" w:sz="4" w:space="0" w:color="000000"/>
              <w:right w:val="single" w:sz="4" w:space="0" w:color="000000"/>
            </w:tcBorders>
            <w:vAlign w:val="center"/>
            <w:hideMark/>
          </w:tcPr>
          <w:p w14:paraId="6934BE8A"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b/>
                <w:bCs/>
                <w:kern w:val="0"/>
                <w:sz w:val="22"/>
                <w:szCs w:val="22"/>
                <w:lang w:eastAsia="en-GB"/>
                <w14:ligatures w14:val="none"/>
              </w:rPr>
              <w:t>Management emphasis</w:t>
            </w:r>
          </w:p>
        </w:tc>
      </w:tr>
      <w:tr w:rsidR="00E9201B" w:rsidRPr="001D6792" w14:paraId="2F22DA46" w14:textId="77777777">
        <w:tc>
          <w:tcPr>
            <w:tcW w:w="2340" w:type="dxa"/>
            <w:tcBorders>
              <w:top w:val="single" w:sz="4" w:space="0" w:color="000000"/>
              <w:left w:val="single" w:sz="4" w:space="0" w:color="000000"/>
              <w:bottom w:val="single" w:sz="4" w:space="0" w:color="000000"/>
              <w:right w:val="single" w:sz="4" w:space="0" w:color="000000"/>
            </w:tcBorders>
            <w:hideMark/>
          </w:tcPr>
          <w:p w14:paraId="3EEDE60D"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lastRenderedPageBreak/>
              <w:t>Visitor and Heritage</w:t>
            </w:r>
          </w:p>
        </w:tc>
        <w:tc>
          <w:tcPr>
            <w:tcW w:w="2340" w:type="dxa"/>
            <w:tcBorders>
              <w:top w:val="single" w:sz="4" w:space="0" w:color="000000"/>
              <w:left w:val="single" w:sz="4" w:space="0" w:color="000000"/>
              <w:bottom w:val="single" w:sz="4" w:space="0" w:color="000000"/>
              <w:right w:val="single" w:sz="4" w:space="0" w:color="000000"/>
            </w:tcBorders>
            <w:hideMark/>
          </w:tcPr>
          <w:p w14:paraId="479F468E"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Access, heritage and visitor services</w:t>
            </w:r>
          </w:p>
        </w:tc>
        <w:tc>
          <w:tcPr>
            <w:tcW w:w="2340" w:type="dxa"/>
            <w:tcBorders>
              <w:top w:val="single" w:sz="4" w:space="0" w:color="000000"/>
              <w:left w:val="single" w:sz="4" w:space="0" w:color="000000"/>
              <w:bottom w:val="single" w:sz="4" w:space="0" w:color="000000"/>
              <w:right w:val="single" w:sz="4" w:space="0" w:color="000000"/>
            </w:tcBorders>
            <w:hideMark/>
          </w:tcPr>
          <w:p w14:paraId="44629A84"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High visitor use, education and family recreation</w:t>
            </w:r>
          </w:p>
        </w:tc>
        <w:tc>
          <w:tcPr>
            <w:tcW w:w="2340" w:type="dxa"/>
            <w:tcBorders>
              <w:top w:val="single" w:sz="4" w:space="0" w:color="000000"/>
              <w:left w:val="single" w:sz="4" w:space="0" w:color="000000"/>
              <w:bottom w:val="single" w:sz="4" w:space="0" w:color="000000"/>
              <w:right w:val="single" w:sz="4" w:space="0" w:color="000000"/>
            </w:tcBorders>
            <w:hideMark/>
          </w:tcPr>
          <w:p w14:paraId="15CE8722"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Accessibility, facilities, interpretation, seating and maintenance</w:t>
            </w:r>
          </w:p>
        </w:tc>
      </w:tr>
      <w:tr w:rsidR="00E9201B" w:rsidRPr="001D6792" w14:paraId="70D88CF7" w14:textId="77777777">
        <w:tc>
          <w:tcPr>
            <w:tcW w:w="2340" w:type="dxa"/>
            <w:tcBorders>
              <w:top w:val="single" w:sz="4" w:space="0" w:color="000000"/>
              <w:left w:val="single" w:sz="4" w:space="0" w:color="000000"/>
              <w:bottom w:val="single" w:sz="4" w:space="0" w:color="000000"/>
              <w:right w:val="single" w:sz="4" w:space="0" w:color="000000"/>
            </w:tcBorders>
            <w:hideMark/>
          </w:tcPr>
          <w:p w14:paraId="671C8EBD"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Managed Recreation</w:t>
            </w:r>
          </w:p>
        </w:tc>
        <w:tc>
          <w:tcPr>
            <w:tcW w:w="2340" w:type="dxa"/>
            <w:tcBorders>
              <w:top w:val="single" w:sz="4" w:space="0" w:color="000000"/>
              <w:left w:val="single" w:sz="4" w:space="0" w:color="000000"/>
              <w:bottom w:val="single" w:sz="4" w:space="0" w:color="000000"/>
              <w:right w:val="single" w:sz="4" w:space="0" w:color="000000"/>
            </w:tcBorders>
            <w:hideMark/>
          </w:tcPr>
          <w:p w14:paraId="4D9CC44C"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Accommodate active recreation</w:t>
            </w:r>
          </w:p>
        </w:tc>
        <w:tc>
          <w:tcPr>
            <w:tcW w:w="2340" w:type="dxa"/>
            <w:tcBorders>
              <w:top w:val="single" w:sz="4" w:space="0" w:color="000000"/>
              <w:left w:val="single" w:sz="4" w:space="0" w:color="000000"/>
              <w:bottom w:val="single" w:sz="4" w:space="0" w:color="000000"/>
              <w:right w:val="single" w:sz="4" w:space="0" w:color="000000"/>
            </w:tcBorders>
            <w:hideMark/>
          </w:tcPr>
          <w:p w14:paraId="12237712"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Walking and appropriately located MTB</w:t>
            </w:r>
          </w:p>
        </w:tc>
        <w:tc>
          <w:tcPr>
            <w:tcW w:w="2340" w:type="dxa"/>
            <w:tcBorders>
              <w:top w:val="single" w:sz="4" w:space="0" w:color="000000"/>
              <w:left w:val="single" w:sz="4" w:space="0" w:color="000000"/>
              <w:bottom w:val="single" w:sz="4" w:space="0" w:color="000000"/>
              <w:right w:val="single" w:sz="4" w:space="0" w:color="000000"/>
            </w:tcBorders>
            <w:hideMark/>
          </w:tcPr>
          <w:p w14:paraId="759BB0BF"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Durable trails, desire-line management and user participation</w:t>
            </w:r>
          </w:p>
        </w:tc>
      </w:tr>
      <w:tr w:rsidR="00E9201B" w:rsidRPr="001D6792" w14:paraId="6C3EF246" w14:textId="77777777">
        <w:tc>
          <w:tcPr>
            <w:tcW w:w="2340" w:type="dxa"/>
            <w:tcBorders>
              <w:top w:val="single" w:sz="4" w:space="0" w:color="000000"/>
              <w:left w:val="single" w:sz="4" w:space="0" w:color="000000"/>
              <w:bottom w:val="single" w:sz="4" w:space="0" w:color="000000"/>
              <w:right w:val="single" w:sz="4" w:space="0" w:color="000000"/>
            </w:tcBorders>
            <w:hideMark/>
          </w:tcPr>
          <w:p w14:paraId="3EA4CA0E"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Quiet Nature Recreation</w:t>
            </w:r>
          </w:p>
        </w:tc>
        <w:tc>
          <w:tcPr>
            <w:tcW w:w="2340" w:type="dxa"/>
            <w:tcBorders>
              <w:top w:val="single" w:sz="4" w:space="0" w:color="000000"/>
              <w:left w:val="single" w:sz="4" w:space="0" w:color="000000"/>
              <w:bottom w:val="single" w:sz="4" w:space="0" w:color="000000"/>
              <w:right w:val="single" w:sz="4" w:space="0" w:color="000000"/>
            </w:tcBorders>
            <w:hideMark/>
          </w:tcPr>
          <w:p w14:paraId="52E84B55"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Allow nature-based recreation with greater ecological protection</w:t>
            </w:r>
          </w:p>
        </w:tc>
        <w:tc>
          <w:tcPr>
            <w:tcW w:w="2340" w:type="dxa"/>
            <w:tcBorders>
              <w:top w:val="single" w:sz="4" w:space="0" w:color="000000"/>
              <w:left w:val="single" w:sz="4" w:space="0" w:color="000000"/>
              <w:bottom w:val="single" w:sz="4" w:space="0" w:color="000000"/>
              <w:right w:val="single" w:sz="4" w:space="0" w:color="000000"/>
            </w:tcBorders>
            <w:hideMark/>
          </w:tcPr>
          <w:p w14:paraId="349EEA53"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Walking, wildlife viewing and education</w:t>
            </w:r>
          </w:p>
        </w:tc>
        <w:tc>
          <w:tcPr>
            <w:tcW w:w="2340" w:type="dxa"/>
            <w:tcBorders>
              <w:top w:val="single" w:sz="4" w:space="0" w:color="000000"/>
              <w:left w:val="single" w:sz="4" w:space="0" w:color="000000"/>
              <w:bottom w:val="single" w:sz="4" w:space="0" w:color="000000"/>
              <w:right w:val="single" w:sz="4" w:space="0" w:color="000000"/>
            </w:tcBorders>
            <w:hideMark/>
          </w:tcPr>
          <w:p w14:paraId="4F9041F3"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Established paths, limited infrastructure and stronger dog controls where required</w:t>
            </w:r>
          </w:p>
        </w:tc>
      </w:tr>
      <w:tr w:rsidR="00E9201B" w:rsidRPr="001D6792" w14:paraId="28144F60" w14:textId="77777777">
        <w:tc>
          <w:tcPr>
            <w:tcW w:w="2340" w:type="dxa"/>
            <w:tcBorders>
              <w:top w:val="single" w:sz="4" w:space="0" w:color="000000"/>
              <w:left w:val="single" w:sz="4" w:space="0" w:color="000000"/>
              <w:bottom w:val="single" w:sz="4" w:space="0" w:color="000000"/>
              <w:right w:val="single" w:sz="4" w:space="0" w:color="000000"/>
            </w:tcBorders>
            <w:hideMark/>
          </w:tcPr>
          <w:p w14:paraId="45E14FF4"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Conservation Refuge</w:t>
            </w:r>
          </w:p>
        </w:tc>
        <w:tc>
          <w:tcPr>
            <w:tcW w:w="2340" w:type="dxa"/>
            <w:tcBorders>
              <w:top w:val="single" w:sz="4" w:space="0" w:color="000000"/>
              <w:left w:val="single" w:sz="4" w:space="0" w:color="000000"/>
              <w:bottom w:val="single" w:sz="4" w:space="0" w:color="000000"/>
              <w:right w:val="single" w:sz="4" w:space="0" w:color="000000"/>
            </w:tcBorders>
            <w:hideMark/>
          </w:tcPr>
          <w:p w14:paraId="6FC52C76"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Biodiversity and habitat protection</w:t>
            </w:r>
          </w:p>
        </w:tc>
        <w:tc>
          <w:tcPr>
            <w:tcW w:w="2340" w:type="dxa"/>
            <w:tcBorders>
              <w:top w:val="single" w:sz="4" w:space="0" w:color="000000"/>
              <w:left w:val="single" w:sz="4" w:space="0" w:color="000000"/>
              <w:bottom w:val="single" w:sz="4" w:space="0" w:color="000000"/>
              <w:right w:val="single" w:sz="4" w:space="0" w:color="000000"/>
            </w:tcBorders>
            <w:hideMark/>
          </w:tcPr>
          <w:p w14:paraId="7A47AF7D"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Minimal or no recreational access</w:t>
            </w:r>
          </w:p>
        </w:tc>
        <w:tc>
          <w:tcPr>
            <w:tcW w:w="2340" w:type="dxa"/>
            <w:tcBorders>
              <w:top w:val="single" w:sz="4" w:space="0" w:color="000000"/>
              <w:left w:val="single" w:sz="4" w:space="0" w:color="000000"/>
              <w:bottom w:val="single" w:sz="4" w:space="0" w:color="000000"/>
              <w:right w:val="single" w:sz="4" w:space="0" w:color="000000"/>
            </w:tcBorders>
            <w:hideMark/>
          </w:tcPr>
          <w:p w14:paraId="2B243BBB"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Habitat restoration, reduced disturbance and wildlife monitoring</w:t>
            </w:r>
          </w:p>
        </w:tc>
      </w:tr>
    </w:tbl>
    <w:p w14:paraId="30EBF113" w14:textId="77777777" w:rsidR="00E9201B" w:rsidRPr="001D6792" w:rsidRDefault="00E9201B" w:rsidP="002E27C0">
      <w:pPr>
        <w:spacing w:after="0" w:line="360" w:lineRule="auto"/>
        <w:jc w:val="both"/>
        <w:rPr>
          <w:rFonts w:ascii="Times New Roman" w:eastAsia="Times New Roman" w:hAnsi="Times New Roman" w:cs="Times New Roman"/>
          <w:b/>
          <w:bCs/>
          <w:kern w:val="0"/>
          <w:sz w:val="26"/>
          <w:szCs w:val="26"/>
          <w:lang w:eastAsia="en-GB"/>
          <w14:ligatures w14:val="none"/>
        </w:rPr>
      </w:pPr>
    </w:p>
    <w:p w14:paraId="2E35D291" w14:textId="0025459B"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b/>
          <w:bCs/>
          <w:kern w:val="0"/>
          <w:sz w:val="26"/>
          <w:szCs w:val="26"/>
          <w:lang w:eastAsia="en-GB"/>
          <w14:ligatures w14:val="none"/>
        </w:rPr>
        <w:t>5.1 Path and Desire-Line Management</w:t>
      </w:r>
    </w:p>
    <w:p w14:paraId="61DBE375"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Desire lines should be assessed individually rather than automatically formalised or closed. Routes responding to genuine visitor demand that avoid sensitive habitat and demonstrate sustainable physical conditions could be formalised or redirected onto durable surfaces. Routes causing unacceptable erosion or entering conservation areas should instead be restored or redirected. This approach responds directly to the impacts documented by Wimpey and Marion (2011) and Ballantyne and Pickering (2015), while Marion and Leung (2011) show that trail width, surface condition and informal-route extent can be monitored systematically. If thresholds are exceeded, drainage, surfacing, rerouting or temporary closure could be introduced.</w:t>
      </w:r>
    </w:p>
    <w:p w14:paraId="2ADB5A16" w14:textId="77777777" w:rsidR="00E9201B" w:rsidRPr="001D6792" w:rsidRDefault="00E9201B" w:rsidP="002E27C0">
      <w:pPr>
        <w:spacing w:after="0" w:line="360" w:lineRule="auto"/>
        <w:jc w:val="both"/>
        <w:rPr>
          <w:rFonts w:ascii="Times New Roman" w:eastAsia="Times New Roman" w:hAnsi="Times New Roman" w:cs="Times New Roman"/>
          <w:b/>
          <w:bCs/>
          <w:kern w:val="0"/>
          <w:sz w:val="26"/>
          <w:szCs w:val="26"/>
          <w:lang w:eastAsia="en-GB"/>
          <w14:ligatures w14:val="none"/>
        </w:rPr>
      </w:pPr>
    </w:p>
    <w:p w14:paraId="4BB1F717" w14:textId="668C2E5C"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b/>
          <w:bCs/>
          <w:kern w:val="0"/>
          <w:sz w:val="26"/>
          <w:szCs w:val="26"/>
          <w:lang w:eastAsia="en-GB"/>
          <w14:ligatures w14:val="none"/>
        </w:rPr>
        <w:t>5.2 Youth Mountain-Bike Partnership</w:t>
      </w:r>
    </w:p>
    <w:p w14:paraId="0561034D"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 xml:space="preserve">A designated mountain-bike area should be considered within the Managed Recreation Zone, subject to ecological and safety assessment. Its purpose would not simply be to provide another attraction, but to redirect an existing informal activity towards a safer and more sustainable location. Local riders should be involved through consultation and trail design, creating an opportunity for shared responsibility rather than exclusion. Evju et al. (2021) provide evidence that targeted trail design, rerouting and surface hardening can reduce degradation where environmental conditions make trails vulnerable. However, the facility should initially be treated as a monitored intervention: designated trail condition, new unauthorised routes, user conflict and rider participation should all be reviewed. If </w:t>
      </w:r>
      <w:r w:rsidRPr="001D6792">
        <w:rPr>
          <w:rFonts w:ascii="Times New Roman" w:eastAsia="Times New Roman" w:hAnsi="Times New Roman" w:cs="Times New Roman"/>
          <w:kern w:val="0"/>
          <w:sz w:val="22"/>
          <w:szCs w:val="22"/>
          <w:lang w:eastAsia="en-GB"/>
          <w14:ligatures w14:val="none"/>
        </w:rPr>
        <w:lastRenderedPageBreak/>
        <w:t>informal trail construction continued, management would need to reconsider whether the designated facility was meeting user needs.</w:t>
      </w:r>
    </w:p>
    <w:p w14:paraId="11F7A648" w14:textId="77777777" w:rsidR="00E9201B" w:rsidRPr="001D6792" w:rsidRDefault="00E9201B" w:rsidP="002E27C0">
      <w:pPr>
        <w:spacing w:after="0" w:line="360" w:lineRule="auto"/>
        <w:jc w:val="both"/>
        <w:rPr>
          <w:rFonts w:ascii="Times New Roman" w:eastAsia="Times New Roman" w:hAnsi="Times New Roman" w:cs="Times New Roman"/>
          <w:b/>
          <w:bCs/>
          <w:kern w:val="0"/>
          <w:sz w:val="26"/>
          <w:szCs w:val="26"/>
          <w:lang w:eastAsia="en-GB"/>
          <w14:ligatures w14:val="none"/>
        </w:rPr>
      </w:pPr>
    </w:p>
    <w:p w14:paraId="75C8618F" w14:textId="3C1BCF9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b/>
          <w:bCs/>
          <w:kern w:val="0"/>
          <w:sz w:val="26"/>
          <w:szCs w:val="26"/>
          <w:lang w:eastAsia="en-GB"/>
          <w14:ligatures w14:val="none"/>
        </w:rPr>
        <w:t>5.3 Targeted Dog Management</w:t>
      </w:r>
    </w:p>
    <w:p w14:paraId="23539AD2"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Existing dog-waste bins should be retained, but simply adding more bins is unlikely to resolve a behavioural problem. Dinefwr should first establish fouling hotspots through regular monitoring of selected routes. Communication and signage could then be concentrated where the problem is greatest, while stronger controls could apply within ecologically sensitive areas. This is consistent with Forestry Commission (2025) findings that dog access brings both benefits and management problems and that practical management needs to respond to local conditions. Fouling incidents along sample routes would provide a straightforward indicator for evaluating whether interventions were working.</w:t>
      </w:r>
    </w:p>
    <w:p w14:paraId="391B6475" w14:textId="77777777" w:rsidR="00E9201B" w:rsidRPr="001D6792" w:rsidRDefault="00E9201B" w:rsidP="002E27C0">
      <w:pPr>
        <w:spacing w:after="0" w:line="360" w:lineRule="auto"/>
        <w:jc w:val="both"/>
        <w:rPr>
          <w:rFonts w:ascii="Times New Roman" w:eastAsia="Times New Roman" w:hAnsi="Times New Roman" w:cs="Times New Roman"/>
          <w:b/>
          <w:bCs/>
          <w:kern w:val="0"/>
          <w:sz w:val="26"/>
          <w:szCs w:val="26"/>
          <w:lang w:eastAsia="en-GB"/>
          <w14:ligatures w14:val="none"/>
        </w:rPr>
      </w:pPr>
    </w:p>
    <w:p w14:paraId="5967251B" w14:textId="64B2C423"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b/>
          <w:bCs/>
          <w:kern w:val="0"/>
          <w:sz w:val="26"/>
          <w:szCs w:val="26"/>
          <w:lang w:eastAsia="en-GB"/>
          <w14:ligatures w14:val="none"/>
        </w:rPr>
        <w:t>5.4 Wildlife Refuges and Habitat Enhancement</w:t>
      </w:r>
    </w:p>
    <w:p w14:paraId="65076D33"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Conservation Refuge Zones should retain areas with minimal human disturbance while supporting the caretaker's ambition for more wild space and biodiversity. Management could include woodland conservation and appropriate pond or wetland habitat creation, while visitor routes conflicting with conservation objectives could be redirected. Williams et al. (2020) found that nature-based measures, including clean-water pond creation, increased freshwater plant biodiversity at catchment scale, demonstrating that small waterbody creation can contribute meaningfully to wider biodiversity objectives. Freshwater Habitats Trust (n.d.) also provides evidence-based practical guidance for pond creation. The success of conservation should nevertheless be judged through ecological outcomes rather than the amount of land labelled as protected, using habitat condition, selected wildlife indicators and evidence of human disturbance.</w:t>
      </w:r>
    </w:p>
    <w:p w14:paraId="2178717D" w14:textId="77777777" w:rsidR="00E9201B" w:rsidRPr="001D6792" w:rsidRDefault="00E9201B" w:rsidP="002E27C0">
      <w:pPr>
        <w:spacing w:after="0" w:line="360" w:lineRule="auto"/>
        <w:jc w:val="both"/>
        <w:rPr>
          <w:rFonts w:ascii="Times New Roman" w:eastAsia="Times New Roman" w:hAnsi="Times New Roman" w:cs="Times New Roman"/>
          <w:b/>
          <w:bCs/>
          <w:kern w:val="0"/>
          <w:sz w:val="26"/>
          <w:szCs w:val="26"/>
          <w:lang w:eastAsia="en-GB"/>
          <w14:ligatures w14:val="none"/>
        </w:rPr>
      </w:pPr>
    </w:p>
    <w:p w14:paraId="68F5290C" w14:textId="6AE9AC00"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b/>
          <w:bCs/>
          <w:kern w:val="0"/>
          <w:sz w:val="26"/>
          <w:szCs w:val="26"/>
          <w:lang w:eastAsia="en-GB"/>
          <w14:ligatures w14:val="none"/>
        </w:rPr>
        <w:t>5.5 Accessibility and Visitor Experience</w:t>
      </w:r>
    </w:p>
    <w:p w14:paraId="2034A44D"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Accessibility should remain a priority within the Visitor and Heritage Zone and along selected wider routes. Dinefwr provides Blue Badge parking, accessible toilets, accessible routes and a level boardwalk to the Mill Pond, while acknowledging that not all estate routes are level (National Trust, n.d.-c). Natural Resources Wales (n.d.) promotes a 'least restrictive access' approach based on practical improvements while recognising site constraints. Dinefwr should therefore prioritise meaningful accessible experiences without intensively modifying every historic or ecologically sensitive route.</w:t>
      </w:r>
    </w:p>
    <w:p w14:paraId="26974F57" w14:textId="77777777" w:rsidR="00E9201B" w:rsidRPr="001D6792" w:rsidRDefault="00E9201B" w:rsidP="002E27C0">
      <w:pPr>
        <w:spacing w:after="0" w:line="360" w:lineRule="auto"/>
        <w:jc w:val="both"/>
        <w:rPr>
          <w:rFonts w:ascii="Times New Roman" w:eastAsia="Times New Roman" w:hAnsi="Times New Roman" w:cs="Times New Roman"/>
          <w:b/>
          <w:bCs/>
          <w:kern w:val="0"/>
          <w:sz w:val="26"/>
          <w:szCs w:val="26"/>
          <w:lang w:eastAsia="en-GB"/>
          <w14:ligatures w14:val="none"/>
        </w:rPr>
      </w:pPr>
    </w:p>
    <w:p w14:paraId="1E8FE9E1" w14:textId="24A69B0F"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b/>
          <w:bCs/>
          <w:kern w:val="0"/>
          <w:sz w:val="26"/>
          <w:szCs w:val="26"/>
          <w:lang w:eastAsia="en-GB"/>
          <w14:ligatures w14:val="none"/>
        </w:rPr>
        <w:t>5.6 Monitoring and Limits of Acceptable Change</w:t>
      </w:r>
    </w:p>
    <w:p w14:paraId="120C104B"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 xml:space="preserve">The plan should begin with baseline monitoring because numerical standards cannot be defensibly established without understanding existing conditions. The following indicators translate the LAC </w:t>
      </w:r>
      <w:r w:rsidRPr="001D6792">
        <w:rPr>
          <w:rFonts w:ascii="Times New Roman" w:eastAsia="Times New Roman" w:hAnsi="Times New Roman" w:cs="Times New Roman"/>
          <w:kern w:val="0"/>
          <w:sz w:val="22"/>
          <w:szCs w:val="22"/>
          <w:lang w:eastAsia="en-GB"/>
          <w14:ligatures w14:val="none"/>
        </w:rPr>
        <w:lastRenderedPageBreak/>
        <w:t>framework into practical management measures (Stankey et al., 1985; Marion and Leung, 2011; Interagency Visitor Use Management Council, n.d.).</w:t>
      </w:r>
    </w:p>
    <w:tbl>
      <w:tblPr>
        <w:tblW w:w="0" w:type="dxa"/>
        <w:tblBorders>
          <w:top w:val="single" w:sz="2" w:space="0" w:color="auto"/>
          <w:left w:val="single" w:sz="2" w:space="0" w:color="auto"/>
          <w:bottom w:val="single" w:sz="2" w:space="0" w:color="auto"/>
          <w:right w:val="single" w:sz="2" w:space="0" w:color="auto"/>
        </w:tblBorders>
        <w:tblLook w:val="04A0" w:firstRow="1" w:lastRow="0" w:firstColumn="1" w:lastColumn="0" w:noHBand="0" w:noVBand="1"/>
      </w:tblPr>
      <w:tblGrid>
        <w:gridCol w:w="2250"/>
        <w:gridCol w:w="2259"/>
        <w:gridCol w:w="2238"/>
        <w:gridCol w:w="2269"/>
      </w:tblGrid>
      <w:tr w:rsidR="00E9201B" w:rsidRPr="001D6792" w14:paraId="0FC4729D" w14:textId="77777777">
        <w:tc>
          <w:tcPr>
            <w:tcW w:w="2340" w:type="dxa"/>
            <w:tcBorders>
              <w:top w:val="single" w:sz="4" w:space="0" w:color="000000"/>
              <w:left w:val="single" w:sz="4" w:space="0" w:color="000000"/>
              <w:bottom w:val="single" w:sz="4" w:space="0" w:color="000000"/>
              <w:right w:val="single" w:sz="4" w:space="0" w:color="000000"/>
            </w:tcBorders>
            <w:hideMark/>
          </w:tcPr>
          <w:p w14:paraId="73D9BF85"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b/>
                <w:bCs/>
                <w:kern w:val="0"/>
                <w:sz w:val="22"/>
                <w:szCs w:val="22"/>
                <w:lang w:eastAsia="en-GB"/>
                <w14:ligatures w14:val="none"/>
              </w:rPr>
              <w:t>Management issue</w:t>
            </w:r>
          </w:p>
        </w:tc>
        <w:tc>
          <w:tcPr>
            <w:tcW w:w="2340" w:type="dxa"/>
            <w:tcBorders>
              <w:top w:val="single" w:sz="4" w:space="0" w:color="000000"/>
              <w:left w:val="single" w:sz="4" w:space="0" w:color="000000"/>
              <w:bottom w:val="single" w:sz="4" w:space="0" w:color="000000"/>
              <w:right w:val="single" w:sz="4" w:space="0" w:color="000000"/>
            </w:tcBorders>
            <w:hideMark/>
          </w:tcPr>
          <w:p w14:paraId="03954CF4"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b/>
                <w:bCs/>
                <w:kern w:val="0"/>
                <w:sz w:val="22"/>
                <w:szCs w:val="22"/>
                <w:lang w:eastAsia="en-GB"/>
                <w14:ligatures w14:val="none"/>
              </w:rPr>
              <w:t>Indicator</w:t>
            </w:r>
          </w:p>
        </w:tc>
        <w:tc>
          <w:tcPr>
            <w:tcW w:w="2340" w:type="dxa"/>
            <w:tcBorders>
              <w:top w:val="single" w:sz="4" w:space="0" w:color="000000"/>
              <w:left w:val="single" w:sz="4" w:space="0" w:color="000000"/>
              <w:bottom w:val="single" w:sz="4" w:space="0" w:color="000000"/>
              <w:right w:val="single" w:sz="4" w:space="0" w:color="000000"/>
            </w:tcBorders>
            <w:hideMark/>
          </w:tcPr>
          <w:p w14:paraId="11B5D508"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b/>
                <w:bCs/>
                <w:kern w:val="0"/>
                <w:sz w:val="22"/>
                <w:szCs w:val="22"/>
                <w:lang w:eastAsia="en-GB"/>
                <w14:ligatures w14:val="none"/>
              </w:rPr>
              <w:t>Desired direction</w:t>
            </w:r>
          </w:p>
        </w:tc>
        <w:tc>
          <w:tcPr>
            <w:tcW w:w="2340" w:type="dxa"/>
            <w:tcBorders>
              <w:top w:val="single" w:sz="4" w:space="0" w:color="000000"/>
              <w:left w:val="single" w:sz="4" w:space="0" w:color="000000"/>
              <w:bottom w:val="single" w:sz="4" w:space="0" w:color="000000"/>
              <w:right w:val="single" w:sz="4" w:space="0" w:color="000000"/>
            </w:tcBorders>
            <w:hideMark/>
          </w:tcPr>
          <w:p w14:paraId="07BA43B7"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b/>
                <w:bCs/>
                <w:kern w:val="0"/>
                <w:sz w:val="22"/>
                <w:szCs w:val="22"/>
                <w:lang w:eastAsia="en-GB"/>
                <w14:ligatures w14:val="none"/>
              </w:rPr>
              <w:t>Response if conditions deteriorate</w:t>
            </w:r>
          </w:p>
        </w:tc>
      </w:tr>
      <w:tr w:rsidR="00E9201B" w:rsidRPr="001D6792" w14:paraId="543B4323" w14:textId="77777777">
        <w:tc>
          <w:tcPr>
            <w:tcW w:w="2340" w:type="dxa"/>
            <w:tcBorders>
              <w:top w:val="single" w:sz="4" w:space="0" w:color="000000"/>
              <w:left w:val="single" w:sz="4" w:space="0" w:color="000000"/>
              <w:bottom w:val="single" w:sz="4" w:space="0" w:color="000000"/>
              <w:right w:val="single" w:sz="4" w:space="0" w:color="000000"/>
            </w:tcBorders>
            <w:hideMark/>
          </w:tcPr>
          <w:p w14:paraId="7E6DAE2C"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Path degradation</w:t>
            </w:r>
          </w:p>
        </w:tc>
        <w:tc>
          <w:tcPr>
            <w:tcW w:w="2340" w:type="dxa"/>
            <w:tcBorders>
              <w:top w:val="single" w:sz="4" w:space="0" w:color="000000"/>
              <w:left w:val="single" w:sz="4" w:space="0" w:color="000000"/>
              <w:bottom w:val="single" w:sz="4" w:space="0" w:color="000000"/>
              <w:right w:val="single" w:sz="4" w:space="0" w:color="000000"/>
            </w:tcBorders>
            <w:hideMark/>
          </w:tcPr>
          <w:p w14:paraId="50BFD694"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Width, depth and erosion</w:t>
            </w:r>
          </w:p>
        </w:tc>
        <w:tc>
          <w:tcPr>
            <w:tcW w:w="2340" w:type="dxa"/>
            <w:tcBorders>
              <w:top w:val="single" w:sz="4" w:space="0" w:color="000000"/>
              <w:left w:val="single" w:sz="4" w:space="0" w:color="000000"/>
              <w:bottom w:val="single" w:sz="4" w:space="0" w:color="000000"/>
              <w:right w:val="single" w:sz="4" w:space="0" w:color="000000"/>
            </w:tcBorders>
            <w:hideMark/>
          </w:tcPr>
          <w:p w14:paraId="6A97CAB3"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Stable</w:t>
            </w:r>
          </w:p>
        </w:tc>
        <w:tc>
          <w:tcPr>
            <w:tcW w:w="2340" w:type="dxa"/>
            <w:tcBorders>
              <w:top w:val="single" w:sz="4" w:space="0" w:color="000000"/>
              <w:left w:val="single" w:sz="4" w:space="0" w:color="000000"/>
              <w:bottom w:val="single" w:sz="4" w:space="0" w:color="000000"/>
              <w:right w:val="single" w:sz="4" w:space="0" w:color="000000"/>
            </w:tcBorders>
            <w:hideMark/>
          </w:tcPr>
          <w:p w14:paraId="5C48142F"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Drainage, surfacing, rerouting or temporary closure</w:t>
            </w:r>
          </w:p>
        </w:tc>
      </w:tr>
      <w:tr w:rsidR="00E9201B" w:rsidRPr="001D6792" w14:paraId="00C14C14" w14:textId="77777777">
        <w:tc>
          <w:tcPr>
            <w:tcW w:w="2340" w:type="dxa"/>
            <w:tcBorders>
              <w:top w:val="single" w:sz="4" w:space="0" w:color="000000"/>
              <w:left w:val="single" w:sz="4" w:space="0" w:color="000000"/>
              <w:bottom w:val="single" w:sz="4" w:space="0" w:color="000000"/>
              <w:right w:val="single" w:sz="4" w:space="0" w:color="000000"/>
            </w:tcBorders>
            <w:hideMark/>
          </w:tcPr>
          <w:p w14:paraId="008B7D6B"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Informal routes</w:t>
            </w:r>
          </w:p>
        </w:tc>
        <w:tc>
          <w:tcPr>
            <w:tcW w:w="2340" w:type="dxa"/>
            <w:tcBorders>
              <w:top w:val="single" w:sz="4" w:space="0" w:color="000000"/>
              <w:left w:val="single" w:sz="4" w:space="0" w:color="000000"/>
              <w:bottom w:val="single" w:sz="4" w:space="0" w:color="000000"/>
              <w:right w:val="single" w:sz="4" w:space="0" w:color="000000"/>
            </w:tcBorders>
            <w:hideMark/>
          </w:tcPr>
          <w:p w14:paraId="02573456"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Number/extent of desire lines</w:t>
            </w:r>
          </w:p>
        </w:tc>
        <w:tc>
          <w:tcPr>
            <w:tcW w:w="2340" w:type="dxa"/>
            <w:tcBorders>
              <w:top w:val="single" w:sz="4" w:space="0" w:color="000000"/>
              <w:left w:val="single" w:sz="4" w:space="0" w:color="000000"/>
              <w:bottom w:val="single" w:sz="4" w:space="0" w:color="000000"/>
              <w:right w:val="single" w:sz="4" w:space="0" w:color="000000"/>
            </w:tcBorders>
            <w:hideMark/>
          </w:tcPr>
          <w:p w14:paraId="667F7F23"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No expansion into sensitive habitat</w:t>
            </w:r>
          </w:p>
        </w:tc>
        <w:tc>
          <w:tcPr>
            <w:tcW w:w="2340" w:type="dxa"/>
            <w:tcBorders>
              <w:top w:val="single" w:sz="4" w:space="0" w:color="000000"/>
              <w:left w:val="single" w:sz="4" w:space="0" w:color="000000"/>
              <w:bottom w:val="single" w:sz="4" w:space="0" w:color="000000"/>
              <w:right w:val="single" w:sz="4" w:space="0" w:color="000000"/>
            </w:tcBorders>
            <w:hideMark/>
          </w:tcPr>
          <w:p w14:paraId="443D5A62"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Restore, redirect or formalise a suitable alternative</w:t>
            </w:r>
          </w:p>
        </w:tc>
      </w:tr>
      <w:tr w:rsidR="00E9201B" w:rsidRPr="001D6792" w14:paraId="779A0C20" w14:textId="77777777">
        <w:tc>
          <w:tcPr>
            <w:tcW w:w="2340" w:type="dxa"/>
            <w:tcBorders>
              <w:top w:val="single" w:sz="4" w:space="0" w:color="000000"/>
              <w:left w:val="single" w:sz="4" w:space="0" w:color="000000"/>
              <w:bottom w:val="single" w:sz="4" w:space="0" w:color="000000"/>
              <w:right w:val="single" w:sz="4" w:space="0" w:color="000000"/>
            </w:tcBorders>
            <w:hideMark/>
          </w:tcPr>
          <w:p w14:paraId="12905304"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Dog fouling</w:t>
            </w:r>
          </w:p>
        </w:tc>
        <w:tc>
          <w:tcPr>
            <w:tcW w:w="2340" w:type="dxa"/>
            <w:tcBorders>
              <w:top w:val="single" w:sz="4" w:space="0" w:color="000000"/>
              <w:left w:val="single" w:sz="4" w:space="0" w:color="000000"/>
              <w:bottom w:val="single" w:sz="4" w:space="0" w:color="000000"/>
              <w:right w:val="single" w:sz="4" w:space="0" w:color="000000"/>
            </w:tcBorders>
            <w:hideMark/>
          </w:tcPr>
          <w:p w14:paraId="45CD7953"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Incidents on monitored routes</w:t>
            </w:r>
          </w:p>
        </w:tc>
        <w:tc>
          <w:tcPr>
            <w:tcW w:w="2340" w:type="dxa"/>
            <w:tcBorders>
              <w:top w:val="single" w:sz="4" w:space="0" w:color="000000"/>
              <w:left w:val="single" w:sz="4" w:space="0" w:color="000000"/>
              <w:bottom w:val="single" w:sz="4" w:space="0" w:color="000000"/>
              <w:right w:val="single" w:sz="4" w:space="0" w:color="000000"/>
            </w:tcBorders>
            <w:hideMark/>
          </w:tcPr>
          <w:p w14:paraId="76B44552"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Reduction from baseline</w:t>
            </w:r>
          </w:p>
        </w:tc>
        <w:tc>
          <w:tcPr>
            <w:tcW w:w="2340" w:type="dxa"/>
            <w:tcBorders>
              <w:top w:val="single" w:sz="4" w:space="0" w:color="000000"/>
              <w:left w:val="single" w:sz="4" w:space="0" w:color="000000"/>
              <w:bottom w:val="single" w:sz="4" w:space="0" w:color="000000"/>
              <w:right w:val="single" w:sz="4" w:space="0" w:color="000000"/>
            </w:tcBorders>
            <w:hideMark/>
          </w:tcPr>
          <w:p w14:paraId="7CD44CFA"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Targeted communication, bin review or stronger controls</w:t>
            </w:r>
          </w:p>
        </w:tc>
      </w:tr>
      <w:tr w:rsidR="00E9201B" w:rsidRPr="001D6792" w14:paraId="247F7FA2" w14:textId="77777777">
        <w:tc>
          <w:tcPr>
            <w:tcW w:w="2340" w:type="dxa"/>
            <w:tcBorders>
              <w:top w:val="single" w:sz="4" w:space="0" w:color="000000"/>
              <w:left w:val="single" w:sz="4" w:space="0" w:color="000000"/>
              <w:bottom w:val="single" w:sz="4" w:space="0" w:color="000000"/>
              <w:right w:val="single" w:sz="4" w:space="0" w:color="000000"/>
            </w:tcBorders>
            <w:hideMark/>
          </w:tcPr>
          <w:p w14:paraId="6BD02AD2"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Wildlife</w:t>
            </w:r>
          </w:p>
        </w:tc>
        <w:tc>
          <w:tcPr>
            <w:tcW w:w="2340" w:type="dxa"/>
            <w:tcBorders>
              <w:top w:val="single" w:sz="4" w:space="0" w:color="000000"/>
              <w:left w:val="single" w:sz="4" w:space="0" w:color="000000"/>
              <w:bottom w:val="single" w:sz="4" w:space="0" w:color="000000"/>
              <w:right w:val="single" w:sz="4" w:space="0" w:color="000000"/>
            </w:tcBorders>
            <w:hideMark/>
          </w:tcPr>
          <w:p w14:paraId="2C07BC97"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Species/habitat indicators and disturbance</w:t>
            </w:r>
          </w:p>
        </w:tc>
        <w:tc>
          <w:tcPr>
            <w:tcW w:w="2340" w:type="dxa"/>
            <w:tcBorders>
              <w:top w:val="single" w:sz="4" w:space="0" w:color="000000"/>
              <w:left w:val="single" w:sz="4" w:space="0" w:color="000000"/>
              <w:bottom w:val="single" w:sz="4" w:space="0" w:color="000000"/>
              <w:right w:val="single" w:sz="4" w:space="0" w:color="000000"/>
            </w:tcBorders>
            <w:hideMark/>
          </w:tcPr>
          <w:p w14:paraId="3FDAC1E6"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Stable or improving</w:t>
            </w:r>
          </w:p>
        </w:tc>
        <w:tc>
          <w:tcPr>
            <w:tcW w:w="2340" w:type="dxa"/>
            <w:tcBorders>
              <w:top w:val="single" w:sz="4" w:space="0" w:color="000000"/>
              <w:left w:val="single" w:sz="4" w:space="0" w:color="000000"/>
              <w:bottom w:val="single" w:sz="4" w:space="0" w:color="000000"/>
              <w:right w:val="single" w:sz="4" w:space="0" w:color="000000"/>
            </w:tcBorders>
            <w:hideMark/>
          </w:tcPr>
          <w:p w14:paraId="464D749D"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Buffers, rerouting or seasonal/spatial restrictions</w:t>
            </w:r>
          </w:p>
        </w:tc>
      </w:tr>
      <w:tr w:rsidR="00E9201B" w:rsidRPr="001D6792" w14:paraId="314DECAC" w14:textId="77777777">
        <w:tc>
          <w:tcPr>
            <w:tcW w:w="2340" w:type="dxa"/>
            <w:tcBorders>
              <w:top w:val="single" w:sz="4" w:space="0" w:color="000000"/>
              <w:left w:val="single" w:sz="4" w:space="0" w:color="000000"/>
              <w:bottom w:val="single" w:sz="4" w:space="0" w:color="000000"/>
              <w:right w:val="single" w:sz="4" w:space="0" w:color="000000"/>
            </w:tcBorders>
            <w:hideMark/>
          </w:tcPr>
          <w:p w14:paraId="4A502019"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Mountain biking</w:t>
            </w:r>
          </w:p>
        </w:tc>
        <w:tc>
          <w:tcPr>
            <w:tcW w:w="2340" w:type="dxa"/>
            <w:tcBorders>
              <w:top w:val="single" w:sz="4" w:space="0" w:color="000000"/>
              <w:left w:val="single" w:sz="4" w:space="0" w:color="000000"/>
              <w:bottom w:val="single" w:sz="4" w:space="0" w:color="000000"/>
              <w:right w:val="single" w:sz="4" w:space="0" w:color="000000"/>
            </w:tcBorders>
            <w:hideMark/>
          </w:tcPr>
          <w:p w14:paraId="7EEC4C66"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Unauthorised trails and trail condition</w:t>
            </w:r>
          </w:p>
        </w:tc>
        <w:tc>
          <w:tcPr>
            <w:tcW w:w="2340" w:type="dxa"/>
            <w:tcBorders>
              <w:top w:val="single" w:sz="4" w:space="0" w:color="000000"/>
              <w:left w:val="single" w:sz="4" w:space="0" w:color="000000"/>
              <w:bottom w:val="single" w:sz="4" w:space="0" w:color="000000"/>
              <w:right w:val="single" w:sz="4" w:space="0" w:color="000000"/>
            </w:tcBorders>
            <w:hideMark/>
          </w:tcPr>
          <w:p w14:paraId="4A3BE5C8"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Use concentrated on sustainable routes</w:t>
            </w:r>
          </w:p>
        </w:tc>
        <w:tc>
          <w:tcPr>
            <w:tcW w:w="2340" w:type="dxa"/>
            <w:tcBorders>
              <w:top w:val="single" w:sz="4" w:space="0" w:color="000000"/>
              <w:left w:val="single" w:sz="4" w:space="0" w:color="000000"/>
              <w:bottom w:val="single" w:sz="4" w:space="0" w:color="000000"/>
              <w:right w:val="single" w:sz="4" w:space="0" w:color="000000"/>
            </w:tcBorders>
            <w:hideMark/>
          </w:tcPr>
          <w:p w14:paraId="76EB05E4"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Rider consultation or trail modification</w:t>
            </w:r>
          </w:p>
        </w:tc>
      </w:tr>
      <w:tr w:rsidR="00E9201B" w:rsidRPr="001D6792" w14:paraId="30725A53" w14:textId="77777777">
        <w:tc>
          <w:tcPr>
            <w:tcW w:w="2340" w:type="dxa"/>
            <w:tcBorders>
              <w:top w:val="single" w:sz="4" w:space="0" w:color="000000"/>
              <w:left w:val="single" w:sz="4" w:space="0" w:color="000000"/>
              <w:bottom w:val="single" w:sz="4" w:space="0" w:color="000000"/>
              <w:right w:val="single" w:sz="4" w:space="0" w:color="000000"/>
            </w:tcBorders>
            <w:hideMark/>
          </w:tcPr>
          <w:p w14:paraId="157D4B3E"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Accessibility</w:t>
            </w:r>
          </w:p>
        </w:tc>
        <w:tc>
          <w:tcPr>
            <w:tcW w:w="2340" w:type="dxa"/>
            <w:tcBorders>
              <w:top w:val="single" w:sz="4" w:space="0" w:color="000000"/>
              <w:left w:val="single" w:sz="4" w:space="0" w:color="000000"/>
              <w:bottom w:val="single" w:sz="4" w:space="0" w:color="000000"/>
              <w:right w:val="single" w:sz="4" w:space="0" w:color="000000"/>
            </w:tcBorders>
            <w:hideMark/>
          </w:tcPr>
          <w:p w14:paraId="02BC4B51"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Condition of designated accessible routes</w:t>
            </w:r>
          </w:p>
        </w:tc>
        <w:tc>
          <w:tcPr>
            <w:tcW w:w="2340" w:type="dxa"/>
            <w:tcBorders>
              <w:top w:val="single" w:sz="4" w:space="0" w:color="000000"/>
              <w:left w:val="single" w:sz="4" w:space="0" w:color="000000"/>
              <w:bottom w:val="single" w:sz="4" w:space="0" w:color="000000"/>
              <w:right w:val="single" w:sz="4" w:space="0" w:color="000000"/>
            </w:tcBorders>
            <w:hideMark/>
          </w:tcPr>
          <w:p w14:paraId="0CA201F9"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Access maintained</w:t>
            </w:r>
          </w:p>
        </w:tc>
        <w:tc>
          <w:tcPr>
            <w:tcW w:w="2340" w:type="dxa"/>
            <w:tcBorders>
              <w:top w:val="single" w:sz="4" w:space="0" w:color="000000"/>
              <w:left w:val="single" w:sz="4" w:space="0" w:color="000000"/>
              <w:bottom w:val="single" w:sz="4" w:space="0" w:color="000000"/>
              <w:right w:val="single" w:sz="4" w:space="0" w:color="000000"/>
            </w:tcBorders>
            <w:hideMark/>
          </w:tcPr>
          <w:p w14:paraId="3E3272FE"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Prioritised maintenance</w:t>
            </w:r>
          </w:p>
        </w:tc>
      </w:tr>
      <w:tr w:rsidR="00E9201B" w:rsidRPr="001D6792" w14:paraId="634DB7F5" w14:textId="77777777">
        <w:tc>
          <w:tcPr>
            <w:tcW w:w="2340" w:type="dxa"/>
            <w:tcBorders>
              <w:top w:val="single" w:sz="4" w:space="0" w:color="000000"/>
              <w:left w:val="single" w:sz="4" w:space="0" w:color="000000"/>
              <w:bottom w:val="single" w:sz="4" w:space="0" w:color="000000"/>
              <w:right w:val="single" w:sz="4" w:space="0" w:color="000000"/>
            </w:tcBorders>
            <w:hideMark/>
          </w:tcPr>
          <w:p w14:paraId="2DFFE776"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Visitor experience</w:t>
            </w:r>
          </w:p>
        </w:tc>
        <w:tc>
          <w:tcPr>
            <w:tcW w:w="2340" w:type="dxa"/>
            <w:tcBorders>
              <w:top w:val="single" w:sz="4" w:space="0" w:color="000000"/>
              <w:left w:val="single" w:sz="4" w:space="0" w:color="000000"/>
              <w:bottom w:val="single" w:sz="4" w:space="0" w:color="000000"/>
              <w:right w:val="single" w:sz="4" w:space="0" w:color="000000"/>
            </w:tcBorders>
            <w:hideMark/>
          </w:tcPr>
          <w:p w14:paraId="4D5F7461"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Crowding, conflict and satisfaction</w:t>
            </w:r>
          </w:p>
        </w:tc>
        <w:tc>
          <w:tcPr>
            <w:tcW w:w="2340" w:type="dxa"/>
            <w:tcBorders>
              <w:top w:val="single" w:sz="4" w:space="0" w:color="000000"/>
              <w:left w:val="single" w:sz="4" w:space="0" w:color="000000"/>
              <w:bottom w:val="single" w:sz="4" w:space="0" w:color="000000"/>
              <w:right w:val="single" w:sz="4" w:space="0" w:color="000000"/>
            </w:tcBorders>
            <w:hideMark/>
          </w:tcPr>
          <w:p w14:paraId="62009743"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Acceptable conditions</w:t>
            </w:r>
          </w:p>
        </w:tc>
        <w:tc>
          <w:tcPr>
            <w:tcW w:w="2340" w:type="dxa"/>
            <w:tcBorders>
              <w:top w:val="single" w:sz="4" w:space="0" w:color="000000"/>
              <w:left w:val="single" w:sz="4" w:space="0" w:color="000000"/>
              <w:bottom w:val="single" w:sz="4" w:space="0" w:color="000000"/>
              <w:right w:val="single" w:sz="4" w:space="0" w:color="000000"/>
            </w:tcBorders>
            <w:hideMark/>
          </w:tcPr>
          <w:p w14:paraId="4BB7C001"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Dispersal or routing changes</w:t>
            </w:r>
          </w:p>
        </w:tc>
      </w:tr>
    </w:tbl>
    <w:p w14:paraId="37972ACA"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Following baseline monitoring, Dinefwr could establish standards appropriate to each zone. Importantly, a level of environmental change acceptable within a heavily used visitor area may be unacceptable within a conservation refuge. This makes carrying capacity dependent upon conditions and management objectives rather than a single site-wide visitor number.</w:t>
      </w:r>
    </w:p>
    <w:p w14:paraId="3A525363" w14:textId="77777777" w:rsidR="00E9201B" w:rsidRPr="001D6792" w:rsidRDefault="00E9201B" w:rsidP="002E27C0">
      <w:pPr>
        <w:spacing w:after="0" w:line="360" w:lineRule="auto"/>
        <w:jc w:val="both"/>
        <w:rPr>
          <w:rFonts w:ascii="Times New Roman" w:eastAsia="Times New Roman" w:hAnsi="Times New Roman" w:cs="Times New Roman"/>
          <w:b/>
          <w:bCs/>
          <w:kern w:val="0"/>
          <w:sz w:val="28"/>
          <w:szCs w:val="28"/>
          <w:lang w:eastAsia="en-GB"/>
          <w14:ligatures w14:val="none"/>
        </w:rPr>
      </w:pPr>
    </w:p>
    <w:p w14:paraId="3D5159BB" w14:textId="15CB7BA0"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b/>
          <w:bCs/>
          <w:kern w:val="0"/>
          <w:sz w:val="28"/>
          <w:szCs w:val="28"/>
          <w:lang w:eastAsia="en-GB"/>
          <w14:ligatures w14:val="none"/>
        </w:rPr>
        <w:t>6. Reflection and Limitations</w:t>
      </w:r>
    </w:p>
    <w:p w14:paraId="74EC264F"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 xml:space="preserve">The field visit changed my understanding of sustainable recreation management. My initial experience was of a quiet and attractive landscape, but the timing of the visit meant that I did not personally experience the busy summer conditions described by the caretaker. Her perspective highlighted problems, including increasing footfall, limited funding and dog fouling, that were not necessarily obvious from a single visit. The mountain-bike issue was particularly significant. Informal trail construction could initially be interpreted simply as inappropriate behaviour, yet working with the </w:t>
      </w:r>
      <w:r w:rsidRPr="001D6792">
        <w:rPr>
          <w:rFonts w:ascii="Times New Roman" w:eastAsia="Times New Roman" w:hAnsi="Times New Roman" w:cs="Times New Roman"/>
          <w:kern w:val="0"/>
          <w:sz w:val="22"/>
          <w:szCs w:val="22"/>
          <w:lang w:eastAsia="en-GB"/>
          <w14:ligatures w14:val="none"/>
        </w:rPr>
        <w:lastRenderedPageBreak/>
        <w:t>young people demonstrated that managers can sometimes respond more effectively by understanding the recreational demand behind a problem rather than relying solely on exclusion.</w:t>
      </w:r>
    </w:p>
    <w:p w14:paraId="22869A90" w14:textId="7777777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The plan has limitations. Ecological surveys, visitor data and financial information are needed before final zone boundaries or numerical LAC standards can be set. Interventions may also have unintended consequences: a successful MTB facility could attract more users, while formalising a desire line could increase pressure on a sensitive area. Management should therefore remain adaptive rather than treating initial interventions as permanent solutions.</w:t>
      </w:r>
    </w:p>
    <w:p w14:paraId="0BEE133D" w14:textId="77777777" w:rsidR="00E9201B" w:rsidRPr="001D6792" w:rsidRDefault="00E9201B" w:rsidP="002E27C0">
      <w:pPr>
        <w:spacing w:after="0" w:line="360" w:lineRule="auto"/>
        <w:jc w:val="both"/>
        <w:rPr>
          <w:rFonts w:ascii="Times New Roman" w:eastAsia="Times New Roman" w:hAnsi="Times New Roman" w:cs="Times New Roman"/>
          <w:b/>
          <w:bCs/>
          <w:kern w:val="0"/>
          <w:sz w:val="28"/>
          <w:szCs w:val="28"/>
          <w:lang w:eastAsia="en-GB"/>
          <w14:ligatures w14:val="none"/>
        </w:rPr>
      </w:pPr>
    </w:p>
    <w:p w14:paraId="20E45584" w14:textId="0355C187" w:rsidR="00E9201B" w:rsidRPr="001D6792"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b/>
          <w:bCs/>
          <w:kern w:val="0"/>
          <w:sz w:val="28"/>
          <w:szCs w:val="28"/>
          <w:lang w:eastAsia="en-GB"/>
          <w14:ligatures w14:val="none"/>
        </w:rPr>
        <w:t>7. Conclusion</w:t>
      </w:r>
    </w:p>
    <w:p w14:paraId="72B15C34" w14:textId="77777777" w:rsidR="00E9201B" w:rsidRDefault="00E9201B" w:rsidP="002E27C0">
      <w:pPr>
        <w:spacing w:after="0" w:line="360" w:lineRule="auto"/>
        <w:jc w:val="both"/>
        <w:rPr>
          <w:rFonts w:ascii="Times New Roman" w:eastAsia="Times New Roman" w:hAnsi="Times New Roman" w:cs="Times New Roman"/>
          <w:kern w:val="0"/>
          <w:sz w:val="22"/>
          <w:szCs w:val="22"/>
          <w:lang w:eastAsia="en-GB"/>
          <w14:ligatures w14:val="none"/>
        </w:rPr>
      </w:pPr>
      <w:r w:rsidRPr="001D6792">
        <w:rPr>
          <w:rFonts w:ascii="Times New Roman" w:eastAsia="Times New Roman" w:hAnsi="Times New Roman" w:cs="Times New Roman"/>
          <w:kern w:val="0"/>
          <w:sz w:val="22"/>
          <w:szCs w:val="22"/>
          <w:lang w:eastAsia="en-GB"/>
          <w14:ligatures w14:val="none"/>
        </w:rPr>
        <w:t>Dinefwr demonstrates the challenge of balancing recreation, conservation, heritage and accessibility within a landscape with substantial ecological, social and cultural value. Increasing recreational use should not automatically be regarded either as a threat or as evidence of success; its acceptability depends upon the conditions it creates. Combining LAC with zoning and adaptive management provides a framework in which intensive recreation can be directed towards durable areas while sensitive habitats receive greater protection. Path management, targeted dog interventions, community involvement in mountain biking, accessibility improvements and habitat conservation provide practical responses to issues identified through fieldwork. Ultimately, success should not be judged by maximising visitor numbers, but by whether Dinefwr can protect its environmental and historic resources while providing meaningful recreational experiences and responding when monitoring demonstrates unacceptable change.</w:t>
      </w:r>
    </w:p>
    <w:p w14:paraId="32A86345" w14:textId="77777777" w:rsidR="00BF7161" w:rsidRDefault="00BF7161" w:rsidP="002E27C0">
      <w:pPr>
        <w:spacing w:after="0" w:line="360" w:lineRule="auto"/>
        <w:jc w:val="both"/>
        <w:rPr>
          <w:rFonts w:ascii="Times New Roman" w:eastAsia="Times New Roman" w:hAnsi="Times New Roman" w:cs="Times New Roman"/>
          <w:kern w:val="0"/>
          <w:sz w:val="22"/>
          <w:szCs w:val="22"/>
          <w:lang w:eastAsia="en-GB"/>
          <w14:ligatures w14:val="none"/>
        </w:rPr>
      </w:pPr>
    </w:p>
    <w:p w14:paraId="06AE76AA" w14:textId="5C461ECE" w:rsidR="00BF7161" w:rsidRPr="00BF7161" w:rsidRDefault="00BF7161" w:rsidP="002E27C0">
      <w:pPr>
        <w:spacing w:after="0" w:line="360" w:lineRule="auto"/>
        <w:jc w:val="both"/>
        <w:rPr>
          <w:rFonts w:ascii="Times New Roman" w:eastAsia="Times New Roman" w:hAnsi="Times New Roman" w:cs="Times New Roman"/>
          <w:b/>
          <w:bCs/>
          <w:kern w:val="0"/>
          <w:lang w:eastAsia="en-GB"/>
          <w14:ligatures w14:val="none"/>
        </w:rPr>
      </w:pPr>
      <w:r w:rsidRPr="00BF7161">
        <w:rPr>
          <w:rFonts w:ascii="Times New Roman" w:eastAsia="Times New Roman" w:hAnsi="Times New Roman" w:cs="Times New Roman"/>
          <w:b/>
          <w:bCs/>
          <w:kern w:val="0"/>
          <w:lang w:eastAsia="en-GB"/>
          <w14:ligatures w14:val="none"/>
        </w:rPr>
        <w:t>Word Count = 2691</w:t>
      </w:r>
    </w:p>
    <w:p w14:paraId="01CC640B" w14:textId="77777777" w:rsidR="00E9201B" w:rsidRPr="001D6792" w:rsidRDefault="00E9201B" w:rsidP="002E27C0">
      <w:pPr>
        <w:spacing w:line="360" w:lineRule="auto"/>
        <w:jc w:val="both"/>
        <w:rPr>
          <w:rFonts w:ascii="Times New Roman" w:eastAsia="Times New Roman" w:hAnsi="Times New Roman" w:cs="Times New Roman"/>
          <w:b/>
          <w:bCs/>
          <w:kern w:val="0"/>
          <w:sz w:val="28"/>
          <w:szCs w:val="28"/>
          <w:lang w:eastAsia="en-GB"/>
          <w14:ligatures w14:val="none"/>
        </w:rPr>
      </w:pPr>
      <w:r w:rsidRPr="001D6792">
        <w:rPr>
          <w:rFonts w:ascii="Times New Roman" w:eastAsia="Times New Roman" w:hAnsi="Times New Roman" w:cs="Times New Roman"/>
          <w:b/>
          <w:bCs/>
          <w:kern w:val="0"/>
          <w:sz w:val="28"/>
          <w:szCs w:val="28"/>
          <w:lang w:eastAsia="en-GB"/>
          <w14:ligatures w14:val="none"/>
        </w:rPr>
        <w:br w:type="page"/>
      </w:r>
    </w:p>
    <w:p w14:paraId="77F5A5D0" w14:textId="77777777" w:rsidR="00700256" w:rsidRPr="002E27C0" w:rsidRDefault="00700256" w:rsidP="002E27C0">
      <w:pPr>
        <w:spacing w:line="360" w:lineRule="auto"/>
        <w:jc w:val="both"/>
        <w:rPr>
          <w:rFonts w:ascii="Times New Roman" w:hAnsi="Times New Roman" w:cs="Times New Roman"/>
          <w:sz w:val="22"/>
          <w:szCs w:val="22"/>
        </w:rPr>
      </w:pPr>
      <w:r w:rsidRPr="002E27C0">
        <w:rPr>
          <w:rFonts w:ascii="Times New Roman" w:hAnsi="Times New Roman" w:cs="Times New Roman"/>
          <w:sz w:val="22"/>
          <w:szCs w:val="22"/>
        </w:rPr>
        <w:lastRenderedPageBreak/>
        <w:t xml:space="preserve">Aitchison, C., MacLeod, N.E. and Shaw, S.J. (2002) </w:t>
      </w:r>
      <w:r w:rsidRPr="002E27C0">
        <w:rPr>
          <w:rFonts w:ascii="Times New Roman" w:hAnsi="Times New Roman" w:cs="Times New Roman"/>
          <w:i/>
          <w:iCs/>
          <w:sz w:val="22"/>
          <w:szCs w:val="22"/>
        </w:rPr>
        <w:t>Leisure and Tourism Landscapes: Social and Cultural Geographies</w:t>
      </w:r>
      <w:r w:rsidRPr="002E27C0">
        <w:rPr>
          <w:rFonts w:ascii="Times New Roman" w:hAnsi="Times New Roman" w:cs="Times New Roman"/>
          <w:sz w:val="22"/>
          <w:szCs w:val="22"/>
        </w:rPr>
        <w:t>. London: Routledge.</w:t>
      </w:r>
    </w:p>
    <w:p w14:paraId="7B8431D3" w14:textId="77777777" w:rsidR="00700256" w:rsidRPr="002E27C0" w:rsidRDefault="00700256" w:rsidP="002E27C0">
      <w:pPr>
        <w:spacing w:line="360" w:lineRule="auto"/>
        <w:jc w:val="both"/>
        <w:rPr>
          <w:rFonts w:ascii="Times New Roman" w:hAnsi="Times New Roman" w:cs="Times New Roman"/>
          <w:sz w:val="22"/>
          <w:szCs w:val="22"/>
        </w:rPr>
      </w:pPr>
    </w:p>
    <w:p w14:paraId="25E720F6" w14:textId="6D0CD1A8" w:rsidR="00700256" w:rsidRPr="002E27C0" w:rsidRDefault="00700256" w:rsidP="002E27C0">
      <w:pPr>
        <w:spacing w:line="360" w:lineRule="auto"/>
        <w:jc w:val="both"/>
        <w:rPr>
          <w:rFonts w:ascii="Times New Roman" w:hAnsi="Times New Roman" w:cs="Times New Roman"/>
          <w:sz w:val="22"/>
          <w:szCs w:val="22"/>
        </w:rPr>
      </w:pPr>
      <w:r w:rsidRPr="002E27C0">
        <w:rPr>
          <w:rFonts w:ascii="Times New Roman" w:hAnsi="Times New Roman" w:cs="Times New Roman"/>
          <w:sz w:val="22"/>
          <w:szCs w:val="22"/>
        </w:rPr>
        <w:t xml:space="preserve">Ballantyne, M. and Pickering, C.M. (2015) ‘Differences in the impacts of formal and informal recreational trails on urban forest loss and tree structure’, </w:t>
      </w:r>
      <w:r w:rsidRPr="002E27C0">
        <w:rPr>
          <w:rFonts w:ascii="Times New Roman" w:hAnsi="Times New Roman" w:cs="Times New Roman"/>
          <w:i/>
          <w:iCs/>
          <w:sz w:val="22"/>
          <w:szCs w:val="22"/>
        </w:rPr>
        <w:t>Journal of Environmental Management</w:t>
      </w:r>
      <w:r w:rsidRPr="002E27C0">
        <w:rPr>
          <w:rFonts w:ascii="Times New Roman" w:hAnsi="Times New Roman" w:cs="Times New Roman"/>
          <w:sz w:val="22"/>
          <w:szCs w:val="22"/>
        </w:rPr>
        <w:t>, 159, pp. 94–105.</w:t>
      </w:r>
      <w:r w:rsidR="008A3404" w:rsidRPr="002E27C0">
        <w:rPr>
          <w:rFonts w:ascii="Times New Roman" w:hAnsi="Times New Roman" w:cs="Times New Roman"/>
          <w:sz w:val="22"/>
          <w:szCs w:val="22"/>
        </w:rPr>
        <w:t xml:space="preserve"> </w:t>
      </w:r>
      <w:hyperlink r:id="rId7" w:history="1">
        <w:r w:rsidR="008A3404" w:rsidRPr="002E27C0">
          <w:rPr>
            <w:rStyle w:val="Hyperlink"/>
            <w:rFonts w:ascii="Times New Roman" w:hAnsi="Times New Roman" w:cs="Times New Roman"/>
            <w:sz w:val="22"/>
            <w:szCs w:val="22"/>
          </w:rPr>
          <w:t>https://doiorg.uwtsd.idm.oclc.org/10.1016/j.jenvman.2015.05.007</w:t>
        </w:r>
      </w:hyperlink>
      <w:r w:rsidR="008A3404" w:rsidRPr="002E27C0">
        <w:rPr>
          <w:rFonts w:ascii="Times New Roman" w:hAnsi="Times New Roman" w:cs="Times New Roman"/>
          <w:sz w:val="22"/>
          <w:szCs w:val="22"/>
        </w:rPr>
        <w:t xml:space="preserve">. </w:t>
      </w:r>
    </w:p>
    <w:p w14:paraId="05881B62" w14:textId="77777777" w:rsidR="00700256" w:rsidRPr="002E27C0" w:rsidRDefault="00700256" w:rsidP="002E27C0">
      <w:pPr>
        <w:spacing w:line="360" w:lineRule="auto"/>
        <w:jc w:val="both"/>
        <w:rPr>
          <w:rFonts w:ascii="Times New Roman" w:hAnsi="Times New Roman" w:cs="Times New Roman"/>
          <w:sz w:val="22"/>
          <w:szCs w:val="22"/>
        </w:rPr>
      </w:pPr>
    </w:p>
    <w:p w14:paraId="5BA90096" w14:textId="4526A7F3" w:rsidR="00700256" w:rsidRPr="002E27C0" w:rsidRDefault="00700256" w:rsidP="002E27C0">
      <w:pPr>
        <w:spacing w:line="360" w:lineRule="auto"/>
        <w:jc w:val="both"/>
        <w:rPr>
          <w:rFonts w:ascii="Times New Roman" w:hAnsi="Times New Roman" w:cs="Times New Roman"/>
          <w:sz w:val="22"/>
          <w:szCs w:val="22"/>
        </w:rPr>
      </w:pPr>
      <w:r w:rsidRPr="002E27C0">
        <w:rPr>
          <w:rFonts w:ascii="Times New Roman" w:hAnsi="Times New Roman" w:cs="Times New Roman"/>
          <w:sz w:val="22"/>
          <w:szCs w:val="22"/>
        </w:rPr>
        <w:t xml:space="preserve">Banks, P.B. and Bryant, J.V. (2007) ‘Four-legged friend or foe? Dog walking displaces native birds from natural areas’, </w:t>
      </w:r>
      <w:r w:rsidRPr="002E27C0">
        <w:rPr>
          <w:rFonts w:ascii="Times New Roman" w:hAnsi="Times New Roman" w:cs="Times New Roman"/>
          <w:i/>
          <w:iCs/>
          <w:sz w:val="22"/>
          <w:szCs w:val="22"/>
        </w:rPr>
        <w:t>Biology Letters</w:t>
      </w:r>
      <w:r w:rsidRPr="002E27C0">
        <w:rPr>
          <w:rFonts w:ascii="Times New Roman" w:hAnsi="Times New Roman" w:cs="Times New Roman"/>
          <w:sz w:val="22"/>
          <w:szCs w:val="22"/>
        </w:rPr>
        <w:t xml:space="preserve">, 3(6), pp. 611–613. </w:t>
      </w:r>
      <w:hyperlink r:id="rId8" w:history="1">
        <w:r w:rsidR="00D93788" w:rsidRPr="002E27C0">
          <w:rPr>
            <w:rStyle w:val="Hyperlink"/>
            <w:rFonts w:ascii="Times New Roman" w:hAnsi="Times New Roman" w:cs="Times New Roman"/>
            <w:sz w:val="22"/>
            <w:szCs w:val="22"/>
          </w:rPr>
          <w:t>https://pmc.ncbi.nlm.nih.gov/articles/PMC2391219/pdf/rsbl20070374.pdf</w:t>
        </w:r>
      </w:hyperlink>
      <w:r w:rsidR="00D93788" w:rsidRPr="002E27C0">
        <w:rPr>
          <w:rFonts w:ascii="Times New Roman" w:hAnsi="Times New Roman" w:cs="Times New Roman"/>
          <w:sz w:val="22"/>
          <w:szCs w:val="22"/>
        </w:rPr>
        <w:t xml:space="preserve">. </w:t>
      </w:r>
    </w:p>
    <w:p w14:paraId="4CEC40BF" w14:textId="7495BEFC" w:rsidR="00700256" w:rsidRPr="002E27C0" w:rsidRDefault="00700256" w:rsidP="002E27C0">
      <w:pPr>
        <w:spacing w:line="360" w:lineRule="auto"/>
        <w:jc w:val="both"/>
        <w:rPr>
          <w:rFonts w:ascii="Times New Roman" w:hAnsi="Times New Roman" w:cs="Times New Roman"/>
          <w:sz w:val="22"/>
          <w:szCs w:val="22"/>
        </w:rPr>
      </w:pPr>
    </w:p>
    <w:p w14:paraId="1E7CB1CF" w14:textId="77777777" w:rsidR="00700256" w:rsidRPr="002E27C0" w:rsidRDefault="00700256" w:rsidP="002E27C0">
      <w:pPr>
        <w:spacing w:line="360" w:lineRule="auto"/>
        <w:jc w:val="both"/>
        <w:rPr>
          <w:rFonts w:ascii="Times New Roman" w:hAnsi="Times New Roman" w:cs="Times New Roman"/>
          <w:sz w:val="22"/>
          <w:szCs w:val="22"/>
        </w:rPr>
      </w:pPr>
      <w:r w:rsidRPr="002E27C0">
        <w:rPr>
          <w:rFonts w:ascii="Times New Roman" w:hAnsi="Times New Roman" w:cs="Times New Roman"/>
          <w:sz w:val="22"/>
          <w:szCs w:val="22"/>
        </w:rPr>
        <w:t xml:space="preserve">Daniels, S., DeLyser, D., Entrikin, J.N. and Richardson, D. (eds.) (2011) </w:t>
      </w:r>
      <w:r w:rsidRPr="002E27C0">
        <w:rPr>
          <w:rFonts w:ascii="Times New Roman" w:hAnsi="Times New Roman" w:cs="Times New Roman"/>
          <w:i/>
          <w:iCs/>
          <w:sz w:val="22"/>
          <w:szCs w:val="22"/>
        </w:rPr>
        <w:t>Envisioning Landscapes, Making Worlds: Geography and the Humanities</w:t>
      </w:r>
      <w:r w:rsidRPr="002E27C0">
        <w:rPr>
          <w:rFonts w:ascii="Times New Roman" w:hAnsi="Times New Roman" w:cs="Times New Roman"/>
          <w:sz w:val="22"/>
          <w:szCs w:val="22"/>
        </w:rPr>
        <w:t>. London: Routledge.</w:t>
      </w:r>
    </w:p>
    <w:p w14:paraId="5AD2859F" w14:textId="77777777" w:rsidR="00D93788" w:rsidRPr="002E27C0" w:rsidRDefault="00D93788" w:rsidP="002E27C0">
      <w:pPr>
        <w:spacing w:line="360" w:lineRule="auto"/>
        <w:jc w:val="both"/>
        <w:rPr>
          <w:rFonts w:ascii="Times New Roman" w:hAnsi="Times New Roman" w:cs="Times New Roman"/>
          <w:sz w:val="22"/>
          <w:szCs w:val="22"/>
        </w:rPr>
      </w:pPr>
    </w:p>
    <w:p w14:paraId="30BE248C" w14:textId="6B17D417" w:rsidR="00700256" w:rsidRPr="002E27C0" w:rsidRDefault="00700256" w:rsidP="002E27C0">
      <w:pPr>
        <w:spacing w:line="360" w:lineRule="auto"/>
        <w:jc w:val="both"/>
        <w:rPr>
          <w:rFonts w:ascii="Times New Roman" w:hAnsi="Times New Roman" w:cs="Times New Roman"/>
          <w:sz w:val="22"/>
          <w:szCs w:val="22"/>
        </w:rPr>
      </w:pPr>
      <w:r w:rsidRPr="002E27C0">
        <w:rPr>
          <w:rFonts w:ascii="Times New Roman" w:hAnsi="Times New Roman" w:cs="Times New Roman"/>
          <w:sz w:val="22"/>
          <w:szCs w:val="22"/>
        </w:rPr>
        <w:t xml:space="preserve">De Frenne, P., </w:t>
      </w:r>
      <w:proofErr w:type="spellStart"/>
      <w:r w:rsidRPr="002E27C0">
        <w:rPr>
          <w:rFonts w:ascii="Times New Roman" w:hAnsi="Times New Roman" w:cs="Times New Roman"/>
          <w:sz w:val="22"/>
          <w:szCs w:val="22"/>
        </w:rPr>
        <w:t>Cougnon</w:t>
      </w:r>
      <w:proofErr w:type="spellEnd"/>
      <w:r w:rsidRPr="002E27C0">
        <w:rPr>
          <w:rFonts w:ascii="Times New Roman" w:hAnsi="Times New Roman" w:cs="Times New Roman"/>
          <w:sz w:val="22"/>
          <w:szCs w:val="22"/>
        </w:rPr>
        <w:t xml:space="preserve">, M., Janssens, G.P.J. and </w:t>
      </w:r>
      <w:proofErr w:type="spellStart"/>
      <w:r w:rsidRPr="002E27C0">
        <w:rPr>
          <w:rFonts w:ascii="Times New Roman" w:hAnsi="Times New Roman" w:cs="Times New Roman"/>
          <w:sz w:val="22"/>
          <w:szCs w:val="22"/>
        </w:rPr>
        <w:t>Vangansbeke</w:t>
      </w:r>
      <w:proofErr w:type="spellEnd"/>
      <w:r w:rsidRPr="002E27C0">
        <w:rPr>
          <w:rFonts w:ascii="Times New Roman" w:hAnsi="Times New Roman" w:cs="Times New Roman"/>
          <w:sz w:val="22"/>
          <w:szCs w:val="22"/>
        </w:rPr>
        <w:t xml:space="preserve">, P. (2022) ‘Nutrient fertilization by dogs in peri-urban ecosystems’, </w:t>
      </w:r>
      <w:r w:rsidRPr="002E27C0">
        <w:rPr>
          <w:rFonts w:ascii="Times New Roman" w:hAnsi="Times New Roman" w:cs="Times New Roman"/>
          <w:i/>
          <w:iCs/>
          <w:sz w:val="22"/>
          <w:szCs w:val="22"/>
        </w:rPr>
        <w:t>Ecological Solutions and Evidence</w:t>
      </w:r>
      <w:r w:rsidRPr="002E27C0">
        <w:rPr>
          <w:rFonts w:ascii="Times New Roman" w:hAnsi="Times New Roman" w:cs="Times New Roman"/>
          <w:sz w:val="22"/>
          <w:szCs w:val="22"/>
        </w:rPr>
        <w:t xml:space="preserve">, 3(1), e12128. </w:t>
      </w:r>
      <w:hyperlink r:id="rId9" w:history="1">
        <w:r w:rsidR="003939C6" w:rsidRPr="002E27C0">
          <w:rPr>
            <w:rStyle w:val="Hyperlink"/>
            <w:rFonts w:ascii="Times New Roman" w:hAnsi="Times New Roman" w:cs="Times New Roman"/>
            <w:sz w:val="22"/>
            <w:szCs w:val="22"/>
          </w:rPr>
          <w:t>https://besjournals.onlinelibrary.wiley.com/doi/epdf/10.1002/2688-8319.12128</w:t>
        </w:r>
      </w:hyperlink>
      <w:r w:rsidR="003939C6" w:rsidRPr="002E27C0">
        <w:rPr>
          <w:rFonts w:ascii="Times New Roman" w:hAnsi="Times New Roman" w:cs="Times New Roman"/>
          <w:sz w:val="22"/>
          <w:szCs w:val="22"/>
        </w:rPr>
        <w:t xml:space="preserve">. </w:t>
      </w:r>
    </w:p>
    <w:p w14:paraId="4EBA27F6" w14:textId="3D09A725" w:rsidR="00700256" w:rsidRPr="002E27C0" w:rsidRDefault="00700256" w:rsidP="002E27C0">
      <w:pPr>
        <w:spacing w:line="360" w:lineRule="auto"/>
        <w:jc w:val="both"/>
        <w:rPr>
          <w:rFonts w:ascii="Times New Roman" w:hAnsi="Times New Roman" w:cs="Times New Roman"/>
          <w:sz w:val="22"/>
          <w:szCs w:val="22"/>
        </w:rPr>
      </w:pPr>
    </w:p>
    <w:p w14:paraId="569BEF9E" w14:textId="71900F7A" w:rsidR="00700256" w:rsidRPr="002E27C0" w:rsidRDefault="00700256" w:rsidP="002E27C0">
      <w:pPr>
        <w:spacing w:line="360" w:lineRule="auto"/>
        <w:jc w:val="both"/>
        <w:rPr>
          <w:rFonts w:ascii="Times New Roman" w:hAnsi="Times New Roman" w:cs="Times New Roman"/>
          <w:sz w:val="22"/>
          <w:szCs w:val="22"/>
        </w:rPr>
      </w:pPr>
      <w:r w:rsidRPr="002E27C0">
        <w:rPr>
          <w:rFonts w:ascii="Times New Roman" w:hAnsi="Times New Roman" w:cs="Times New Roman"/>
          <w:sz w:val="22"/>
          <w:szCs w:val="22"/>
        </w:rPr>
        <w:t xml:space="preserve">Evju, M., Hagen, D., </w:t>
      </w:r>
      <w:proofErr w:type="spellStart"/>
      <w:r w:rsidRPr="002E27C0">
        <w:rPr>
          <w:rFonts w:ascii="Times New Roman" w:hAnsi="Times New Roman" w:cs="Times New Roman"/>
          <w:sz w:val="22"/>
          <w:szCs w:val="22"/>
        </w:rPr>
        <w:t>Jokerud</w:t>
      </w:r>
      <w:proofErr w:type="spellEnd"/>
      <w:r w:rsidRPr="002E27C0">
        <w:rPr>
          <w:rFonts w:ascii="Times New Roman" w:hAnsi="Times New Roman" w:cs="Times New Roman"/>
          <w:sz w:val="22"/>
          <w:szCs w:val="22"/>
        </w:rPr>
        <w:t xml:space="preserve">, M., Olsen, S.L., Selvaag, S.K. and Vistad, O.I. (2021) ‘Effects of mountain biking versus hiking on trails under different environmental conditions’, </w:t>
      </w:r>
      <w:r w:rsidRPr="002E27C0">
        <w:rPr>
          <w:rFonts w:ascii="Times New Roman" w:hAnsi="Times New Roman" w:cs="Times New Roman"/>
          <w:i/>
          <w:iCs/>
          <w:sz w:val="22"/>
          <w:szCs w:val="22"/>
        </w:rPr>
        <w:t>Journal of Environmental Management</w:t>
      </w:r>
      <w:r w:rsidRPr="002E27C0">
        <w:rPr>
          <w:rFonts w:ascii="Times New Roman" w:hAnsi="Times New Roman" w:cs="Times New Roman"/>
          <w:sz w:val="22"/>
          <w:szCs w:val="22"/>
        </w:rPr>
        <w:t xml:space="preserve">, 278, 111554. </w:t>
      </w:r>
      <w:hyperlink r:id="rId10" w:history="1">
        <w:r w:rsidR="00F50E35" w:rsidRPr="002E27C0">
          <w:rPr>
            <w:rStyle w:val="Hyperlink"/>
            <w:rFonts w:ascii="Times New Roman" w:hAnsi="Times New Roman" w:cs="Times New Roman"/>
            <w:sz w:val="22"/>
            <w:szCs w:val="22"/>
          </w:rPr>
          <w:t>Effects of mountain biking versus hiking on trails under different environmental conditions</w:t>
        </w:r>
      </w:hyperlink>
      <w:r w:rsidR="00AA7475" w:rsidRPr="002E27C0">
        <w:rPr>
          <w:rFonts w:ascii="Times New Roman" w:hAnsi="Times New Roman" w:cs="Times New Roman"/>
          <w:sz w:val="22"/>
          <w:szCs w:val="22"/>
        </w:rPr>
        <w:t>.</w:t>
      </w:r>
    </w:p>
    <w:p w14:paraId="0931E605" w14:textId="52DE5276" w:rsidR="00700256" w:rsidRPr="002E27C0" w:rsidRDefault="00700256" w:rsidP="002E27C0">
      <w:pPr>
        <w:spacing w:line="360" w:lineRule="auto"/>
        <w:jc w:val="both"/>
        <w:rPr>
          <w:rFonts w:ascii="Times New Roman" w:hAnsi="Times New Roman" w:cs="Times New Roman"/>
          <w:sz w:val="22"/>
          <w:szCs w:val="22"/>
        </w:rPr>
      </w:pPr>
    </w:p>
    <w:p w14:paraId="5A521453" w14:textId="397718EB" w:rsidR="00700256" w:rsidRPr="002E27C0" w:rsidRDefault="00700256" w:rsidP="002E27C0">
      <w:pPr>
        <w:spacing w:line="360" w:lineRule="auto"/>
        <w:jc w:val="both"/>
        <w:rPr>
          <w:rFonts w:ascii="Times New Roman" w:hAnsi="Times New Roman" w:cs="Times New Roman"/>
          <w:sz w:val="22"/>
          <w:szCs w:val="22"/>
        </w:rPr>
      </w:pPr>
      <w:r w:rsidRPr="002E27C0">
        <w:rPr>
          <w:rFonts w:ascii="Times New Roman" w:hAnsi="Times New Roman" w:cs="Times New Roman"/>
          <w:sz w:val="22"/>
          <w:szCs w:val="22"/>
        </w:rPr>
        <w:t xml:space="preserve">Forestry Commission (2025) </w:t>
      </w:r>
      <w:r w:rsidRPr="002E27C0">
        <w:rPr>
          <w:rFonts w:ascii="Times New Roman" w:hAnsi="Times New Roman" w:cs="Times New Roman"/>
          <w:i/>
          <w:iCs/>
          <w:sz w:val="22"/>
          <w:szCs w:val="22"/>
        </w:rPr>
        <w:t>Managing dog walking in woodlands: survey results 2023</w:t>
      </w:r>
      <w:r w:rsidRPr="002E27C0">
        <w:rPr>
          <w:rFonts w:ascii="Times New Roman" w:hAnsi="Times New Roman" w:cs="Times New Roman"/>
          <w:sz w:val="22"/>
          <w:szCs w:val="22"/>
        </w:rPr>
        <w:t xml:space="preserve">. Available at: </w:t>
      </w:r>
      <w:hyperlink r:id="rId11" w:history="1">
        <w:r w:rsidR="00F34257" w:rsidRPr="002E27C0">
          <w:rPr>
            <w:rStyle w:val="Hyperlink"/>
            <w:rFonts w:ascii="Times New Roman" w:hAnsi="Times New Roman" w:cs="Times New Roman"/>
            <w:sz w:val="22"/>
            <w:szCs w:val="22"/>
          </w:rPr>
          <w:t>https://www.gov.uk/government/publications/managing-dog-walking-in-woodlands-survey-results/managing-dog-walking-in-woodlands-survey-results-2023?utm_</w:t>
        </w:r>
      </w:hyperlink>
      <w:r w:rsidR="00F34257" w:rsidRPr="002E27C0">
        <w:rPr>
          <w:rFonts w:ascii="Times New Roman" w:hAnsi="Times New Roman" w:cs="Times New Roman"/>
          <w:sz w:val="22"/>
          <w:szCs w:val="22"/>
        </w:rPr>
        <w:t xml:space="preserve">  </w:t>
      </w:r>
      <w:r w:rsidRPr="002E27C0">
        <w:rPr>
          <w:rFonts w:ascii="Times New Roman" w:hAnsi="Times New Roman" w:cs="Times New Roman"/>
          <w:sz w:val="22"/>
          <w:szCs w:val="22"/>
        </w:rPr>
        <w:t>(Accessed: 7 August 2026).</w:t>
      </w:r>
    </w:p>
    <w:p w14:paraId="5F0075FE" w14:textId="77777777" w:rsidR="00AA7475" w:rsidRPr="002E27C0" w:rsidRDefault="00AA7475" w:rsidP="002E27C0">
      <w:pPr>
        <w:spacing w:line="360" w:lineRule="auto"/>
        <w:jc w:val="both"/>
        <w:rPr>
          <w:rFonts w:ascii="Times New Roman" w:hAnsi="Times New Roman" w:cs="Times New Roman"/>
          <w:sz w:val="22"/>
          <w:szCs w:val="22"/>
        </w:rPr>
      </w:pPr>
    </w:p>
    <w:p w14:paraId="19E28B12" w14:textId="4327F711" w:rsidR="00700256" w:rsidRPr="002E27C0" w:rsidRDefault="00700256" w:rsidP="002E27C0">
      <w:pPr>
        <w:spacing w:line="360" w:lineRule="auto"/>
        <w:jc w:val="both"/>
        <w:rPr>
          <w:rFonts w:ascii="Times New Roman" w:hAnsi="Times New Roman" w:cs="Times New Roman"/>
          <w:sz w:val="22"/>
          <w:szCs w:val="22"/>
        </w:rPr>
      </w:pPr>
      <w:r w:rsidRPr="002E27C0">
        <w:rPr>
          <w:rFonts w:ascii="Times New Roman" w:hAnsi="Times New Roman" w:cs="Times New Roman"/>
          <w:sz w:val="22"/>
          <w:szCs w:val="22"/>
        </w:rPr>
        <w:t xml:space="preserve">Freshwater Habitats Trust (n.d.) </w:t>
      </w:r>
      <w:r w:rsidRPr="002E27C0">
        <w:rPr>
          <w:rFonts w:ascii="Times New Roman" w:hAnsi="Times New Roman" w:cs="Times New Roman"/>
          <w:i/>
          <w:iCs/>
          <w:sz w:val="22"/>
          <w:szCs w:val="22"/>
        </w:rPr>
        <w:t>Pond Creation Hub</w:t>
      </w:r>
      <w:r w:rsidRPr="002E27C0">
        <w:rPr>
          <w:rFonts w:ascii="Times New Roman" w:hAnsi="Times New Roman" w:cs="Times New Roman"/>
          <w:sz w:val="22"/>
          <w:szCs w:val="22"/>
        </w:rPr>
        <w:t xml:space="preserve">. Available at: </w:t>
      </w:r>
      <w:hyperlink r:id="rId12" w:history="1">
        <w:r w:rsidR="00DB6525" w:rsidRPr="002E27C0">
          <w:rPr>
            <w:rStyle w:val="Hyperlink"/>
            <w:rFonts w:ascii="Times New Roman" w:hAnsi="Times New Roman" w:cs="Times New Roman"/>
            <w:sz w:val="22"/>
            <w:szCs w:val="22"/>
          </w:rPr>
          <w:t>https://freshwaterhabitats.org.uk/advice-resources/pond-creation-hub/?utm_</w:t>
        </w:r>
      </w:hyperlink>
      <w:r w:rsidR="00DB6525" w:rsidRPr="002E27C0">
        <w:rPr>
          <w:rFonts w:ascii="Times New Roman" w:hAnsi="Times New Roman" w:cs="Times New Roman"/>
          <w:sz w:val="22"/>
          <w:szCs w:val="22"/>
        </w:rPr>
        <w:t xml:space="preserve"> </w:t>
      </w:r>
      <w:r w:rsidRPr="002E27C0">
        <w:rPr>
          <w:rFonts w:ascii="Times New Roman" w:hAnsi="Times New Roman" w:cs="Times New Roman"/>
          <w:sz w:val="22"/>
          <w:szCs w:val="22"/>
        </w:rPr>
        <w:t>(Accessed: 7 August 2026).</w:t>
      </w:r>
    </w:p>
    <w:p w14:paraId="28E180F1" w14:textId="77777777" w:rsidR="00DB6525" w:rsidRPr="002E27C0" w:rsidRDefault="00DB6525" w:rsidP="002E27C0">
      <w:pPr>
        <w:spacing w:line="360" w:lineRule="auto"/>
        <w:jc w:val="both"/>
        <w:rPr>
          <w:rFonts w:ascii="Times New Roman" w:hAnsi="Times New Roman" w:cs="Times New Roman"/>
          <w:sz w:val="22"/>
          <w:szCs w:val="22"/>
        </w:rPr>
      </w:pPr>
    </w:p>
    <w:p w14:paraId="22FDFFFE" w14:textId="36EE6A8A" w:rsidR="00700256" w:rsidRPr="002E27C0" w:rsidRDefault="00700256" w:rsidP="002E27C0">
      <w:pPr>
        <w:spacing w:line="360" w:lineRule="auto"/>
        <w:jc w:val="both"/>
        <w:rPr>
          <w:rFonts w:ascii="Times New Roman" w:hAnsi="Times New Roman" w:cs="Times New Roman"/>
          <w:sz w:val="22"/>
          <w:szCs w:val="22"/>
        </w:rPr>
      </w:pPr>
      <w:r w:rsidRPr="002E27C0">
        <w:rPr>
          <w:rFonts w:ascii="Times New Roman" w:hAnsi="Times New Roman" w:cs="Times New Roman"/>
          <w:sz w:val="22"/>
          <w:szCs w:val="22"/>
        </w:rPr>
        <w:t xml:space="preserve">Interagency Visitor Use Management Council (n.d.) </w:t>
      </w:r>
      <w:r w:rsidRPr="002E27C0">
        <w:rPr>
          <w:rFonts w:ascii="Times New Roman" w:hAnsi="Times New Roman" w:cs="Times New Roman"/>
          <w:i/>
          <w:iCs/>
          <w:sz w:val="22"/>
          <w:szCs w:val="22"/>
        </w:rPr>
        <w:t>Visitor Use Management Framework</w:t>
      </w:r>
      <w:r w:rsidRPr="002E27C0">
        <w:rPr>
          <w:rFonts w:ascii="Times New Roman" w:hAnsi="Times New Roman" w:cs="Times New Roman"/>
          <w:sz w:val="22"/>
          <w:szCs w:val="22"/>
        </w:rPr>
        <w:t xml:space="preserve">. Available at: </w:t>
      </w:r>
      <w:hyperlink r:id="rId13" w:history="1">
        <w:r w:rsidR="00F14499" w:rsidRPr="002E27C0">
          <w:rPr>
            <w:rStyle w:val="Hyperlink"/>
            <w:rFonts w:ascii="Times New Roman" w:hAnsi="Times New Roman" w:cs="Times New Roman"/>
            <w:sz w:val="22"/>
            <w:szCs w:val="22"/>
          </w:rPr>
          <w:t>https://visitorusemanagement.nps.gov/VUM/Framework?utm_</w:t>
        </w:r>
      </w:hyperlink>
      <w:r w:rsidR="00F14499" w:rsidRPr="002E27C0">
        <w:rPr>
          <w:rFonts w:ascii="Times New Roman" w:hAnsi="Times New Roman" w:cs="Times New Roman"/>
          <w:sz w:val="22"/>
          <w:szCs w:val="22"/>
        </w:rPr>
        <w:t xml:space="preserve"> </w:t>
      </w:r>
      <w:r w:rsidRPr="002E27C0">
        <w:rPr>
          <w:rFonts w:ascii="Times New Roman" w:hAnsi="Times New Roman" w:cs="Times New Roman"/>
          <w:sz w:val="22"/>
          <w:szCs w:val="22"/>
        </w:rPr>
        <w:t>(Accessed: 7 August 2026).</w:t>
      </w:r>
    </w:p>
    <w:p w14:paraId="05526D92" w14:textId="46C3F15E" w:rsidR="00700256" w:rsidRPr="002E27C0" w:rsidRDefault="00700256" w:rsidP="002E27C0">
      <w:pPr>
        <w:spacing w:line="360" w:lineRule="auto"/>
        <w:jc w:val="both"/>
        <w:rPr>
          <w:rFonts w:ascii="Times New Roman" w:hAnsi="Times New Roman" w:cs="Times New Roman"/>
          <w:sz w:val="22"/>
          <w:szCs w:val="22"/>
        </w:rPr>
      </w:pPr>
      <w:proofErr w:type="spellStart"/>
      <w:r w:rsidRPr="002E27C0">
        <w:rPr>
          <w:rFonts w:ascii="Times New Roman" w:hAnsi="Times New Roman" w:cs="Times New Roman"/>
          <w:sz w:val="22"/>
          <w:szCs w:val="22"/>
        </w:rPr>
        <w:t>Krettenauer</w:t>
      </w:r>
      <w:proofErr w:type="spellEnd"/>
      <w:r w:rsidRPr="002E27C0">
        <w:rPr>
          <w:rFonts w:ascii="Times New Roman" w:hAnsi="Times New Roman" w:cs="Times New Roman"/>
          <w:sz w:val="22"/>
          <w:szCs w:val="22"/>
        </w:rPr>
        <w:t xml:space="preserve">, T., Lefebvre, J.P. and Goddeeris, H. (2024) ‘Pro-environmental behaviour, connectedness with nature, and the endorsement of pro-environmental norms in youth: Longitudinal relations’, </w:t>
      </w:r>
      <w:r w:rsidRPr="002E27C0">
        <w:rPr>
          <w:rFonts w:ascii="Times New Roman" w:hAnsi="Times New Roman" w:cs="Times New Roman"/>
          <w:i/>
          <w:iCs/>
          <w:sz w:val="22"/>
          <w:szCs w:val="22"/>
        </w:rPr>
        <w:t>Journal of Environmental Psychology</w:t>
      </w:r>
      <w:r w:rsidRPr="002E27C0">
        <w:rPr>
          <w:rFonts w:ascii="Times New Roman" w:hAnsi="Times New Roman" w:cs="Times New Roman"/>
          <w:sz w:val="22"/>
          <w:szCs w:val="22"/>
        </w:rPr>
        <w:t xml:space="preserve">, 94, 102256. </w:t>
      </w:r>
      <w:hyperlink r:id="rId14" w:history="1">
        <w:r w:rsidR="00BA61FE" w:rsidRPr="002E27C0">
          <w:rPr>
            <w:rStyle w:val="Hyperlink"/>
            <w:rFonts w:ascii="Times New Roman" w:hAnsi="Times New Roman" w:cs="Times New Roman"/>
            <w:sz w:val="22"/>
            <w:szCs w:val="22"/>
          </w:rPr>
          <w:t>Pro-environmental behaviour, connectedness with nature, and the endorsement of pro-environmental norms in youth: Longitudinal relations</w:t>
        </w:r>
      </w:hyperlink>
      <w:r w:rsidR="00240C41" w:rsidRPr="002E27C0">
        <w:rPr>
          <w:rFonts w:ascii="Times New Roman" w:hAnsi="Times New Roman" w:cs="Times New Roman"/>
          <w:sz w:val="22"/>
          <w:szCs w:val="22"/>
        </w:rPr>
        <w:t>.</w:t>
      </w:r>
    </w:p>
    <w:p w14:paraId="331E001A" w14:textId="528CF869" w:rsidR="00700256" w:rsidRPr="002E27C0" w:rsidRDefault="00700256" w:rsidP="002E27C0">
      <w:pPr>
        <w:spacing w:line="360" w:lineRule="auto"/>
        <w:jc w:val="both"/>
        <w:rPr>
          <w:rFonts w:ascii="Times New Roman" w:hAnsi="Times New Roman" w:cs="Times New Roman"/>
          <w:sz w:val="22"/>
          <w:szCs w:val="22"/>
        </w:rPr>
      </w:pPr>
    </w:p>
    <w:p w14:paraId="20F6BD1D" w14:textId="17D8C022" w:rsidR="00700256" w:rsidRPr="002E27C0" w:rsidRDefault="00700256" w:rsidP="002E27C0">
      <w:pPr>
        <w:spacing w:line="360" w:lineRule="auto"/>
        <w:jc w:val="both"/>
        <w:rPr>
          <w:rFonts w:ascii="Times New Roman" w:hAnsi="Times New Roman" w:cs="Times New Roman"/>
          <w:sz w:val="22"/>
          <w:szCs w:val="22"/>
        </w:rPr>
      </w:pPr>
      <w:r w:rsidRPr="002E27C0">
        <w:rPr>
          <w:rFonts w:ascii="Times New Roman" w:hAnsi="Times New Roman" w:cs="Times New Roman"/>
          <w:sz w:val="22"/>
          <w:szCs w:val="22"/>
        </w:rPr>
        <w:t xml:space="preserve">Larson, C.L., Reed, S.E., </w:t>
      </w:r>
      <w:proofErr w:type="spellStart"/>
      <w:r w:rsidRPr="002E27C0">
        <w:rPr>
          <w:rFonts w:ascii="Times New Roman" w:hAnsi="Times New Roman" w:cs="Times New Roman"/>
          <w:sz w:val="22"/>
          <w:szCs w:val="22"/>
        </w:rPr>
        <w:t>Merenlender</w:t>
      </w:r>
      <w:proofErr w:type="spellEnd"/>
      <w:r w:rsidRPr="002E27C0">
        <w:rPr>
          <w:rFonts w:ascii="Times New Roman" w:hAnsi="Times New Roman" w:cs="Times New Roman"/>
          <w:sz w:val="22"/>
          <w:szCs w:val="22"/>
        </w:rPr>
        <w:t xml:space="preserve">, A.M. and Crooks, K.R. (2016) ‘Effects of recreation on animals revealed as widespread through a global systematic review’, </w:t>
      </w:r>
      <w:r w:rsidRPr="002E27C0">
        <w:rPr>
          <w:rFonts w:ascii="Times New Roman" w:hAnsi="Times New Roman" w:cs="Times New Roman"/>
          <w:i/>
          <w:iCs/>
          <w:sz w:val="22"/>
          <w:szCs w:val="22"/>
        </w:rPr>
        <w:t>PLOS ONE</w:t>
      </w:r>
      <w:r w:rsidRPr="002E27C0">
        <w:rPr>
          <w:rFonts w:ascii="Times New Roman" w:hAnsi="Times New Roman" w:cs="Times New Roman"/>
          <w:sz w:val="22"/>
          <w:szCs w:val="22"/>
        </w:rPr>
        <w:t xml:space="preserve">, 11(12), e0167259. </w:t>
      </w:r>
      <w:proofErr w:type="gramStart"/>
      <w:r w:rsidR="00A23FF3" w:rsidRPr="002E27C0">
        <w:rPr>
          <w:rFonts w:ascii="Times New Roman" w:hAnsi="Times New Roman" w:cs="Times New Roman"/>
          <w:sz w:val="22"/>
          <w:szCs w:val="22"/>
        </w:rPr>
        <w:t>DOI:10.1371/journal.pone</w:t>
      </w:r>
      <w:proofErr w:type="gramEnd"/>
      <w:r w:rsidR="00A23FF3" w:rsidRPr="002E27C0">
        <w:rPr>
          <w:rFonts w:ascii="Times New Roman" w:hAnsi="Times New Roman" w:cs="Times New Roman"/>
          <w:sz w:val="22"/>
          <w:szCs w:val="22"/>
        </w:rPr>
        <w:t>.0167259</w:t>
      </w:r>
      <w:r w:rsidR="00A23FF3" w:rsidRPr="002E27C0">
        <w:rPr>
          <w:rFonts w:ascii="Times New Roman" w:hAnsi="Times New Roman" w:cs="Times New Roman"/>
          <w:sz w:val="22"/>
          <w:szCs w:val="22"/>
        </w:rPr>
        <w:t xml:space="preserve">. </w:t>
      </w:r>
    </w:p>
    <w:p w14:paraId="76247297" w14:textId="6E3A9CE2" w:rsidR="00700256" w:rsidRPr="002E27C0" w:rsidRDefault="00700256" w:rsidP="002E27C0">
      <w:pPr>
        <w:spacing w:line="360" w:lineRule="auto"/>
        <w:jc w:val="both"/>
        <w:rPr>
          <w:rFonts w:ascii="Times New Roman" w:hAnsi="Times New Roman" w:cs="Times New Roman"/>
          <w:color w:val="467886" w:themeColor="hyperlink"/>
          <w:sz w:val="22"/>
          <w:szCs w:val="22"/>
          <w:u w:val="single"/>
        </w:rPr>
      </w:pPr>
      <w:hyperlink r:id="rId15" w:tgtFrame="_blank" w:history="1"/>
    </w:p>
    <w:p w14:paraId="6F4D1372" w14:textId="77777777" w:rsidR="00700256" w:rsidRPr="002E27C0" w:rsidRDefault="00700256" w:rsidP="002E27C0">
      <w:pPr>
        <w:spacing w:line="360" w:lineRule="auto"/>
        <w:jc w:val="both"/>
        <w:rPr>
          <w:rFonts w:ascii="Times New Roman" w:hAnsi="Times New Roman" w:cs="Times New Roman"/>
          <w:sz w:val="22"/>
          <w:szCs w:val="22"/>
        </w:rPr>
      </w:pPr>
      <w:r w:rsidRPr="002E27C0">
        <w:rPr>
          <w:rFonts w:ascii="Times New Roman" w:hAnsi="Times New Roman" w:cs="Times New Roman"/>
          <w:sz w:val="22"/>
          <w:szCs w:val="22"/>
        </w:rPr>
        <w:t xml:space="preserve">Manning, R.E., Anderson, L.E. and Pettengill, P.R. (2017) </w:t>
      </w:r>
      <w:r w:rsidRPr="002E27C0">
        <w:rPr>
          <w:rFonts w:ascii="Times New Roman" w:hAnsi="Times New Roman" w:cs="Times New Roman"/>
          <w:i/>
          <w:iCs/>
          <w:sz w:val="22"/>
          <w:szCs w:val="22"/>
        </w:rPr>
        <w:t>Managing Outdoor Recreation: Case Studies in the National Parks</w:t>
      </w:r>
      <w:r w:rsidRPr="002E27C0">
        <w:rPr>
          <w:rFonts w:ascii="Times New Roman" w:hAnsi="Times New Roman" w:cs="Times New Roman"/>
          <w:sz w:val="22"/>
          <w:szCs w:val="22"/>
        </w:rPr>
        <w:t xml:space="preserve">. 2nd </w:t>
      </w:r>
      <w:proofErr w:type="spellStart"/>
      <w:r w:rsidRPr="002E27C0">
        <w:rPr>
          <w:rFonts w:ascii="Times New Roman" w:hAnsi="Times New Roman" w:cs="Times New Roman"/>
          <w:sz w:val="22"/>
          <w:szCs w:val="22"/>
        </w:rPr>
        <w:t>edn</w:t>
      </w:r>
      <w:proofErr w:type="spellEnd"/>
      <w:r w:rsidRPr="002E27C0">
        <w:rPr>
          <w:rFonts w:ascii="Times New Roman" w:hAnsi="Times New Roman" w:cs="Times New Roman"/>
          <w:sz w:val="22"/>
          <w:szCs w:val="22"/>
        </w:rPr>
        <w:t xml:space="preserve">. Wallingford: CABI. </w:t>
      </w:r>
    </w:p>
    <w:p w14:paraId="215A6345" w14:textId="77777777" w:rsidR="00A23FF3" w:rsidRPr="002E27C0" w:rsidRDefault="00A23FF3" w:rsidP="002E27C0">
      <w:pPr>
        <w:spacing w:line="360" w:lineRule="auto"/>
        <w:jc w:val="both"/>
        <w:rPr>
          <w:rFonts w:ascii="Times New Roman" w:hAnsi="Times New Roman" w:cs="Times New Roman"/>
          <w:sz w:val="22"/>
          <w:szCs w:val="22"/>
        </w:rPr>
      </w:pPr>
    </w:p>
    <w:p w14:paraId="7AF001B5" w14:textId="77777777" w:rsidR="00700256" w:rsidRPr="002E27C0" w:rsidRDefault="00700256" w:rsidP="002E27C0">
      <w:pPr>
        <w:spacing w:line="360" w:lineRule="auto"/>
        <w:jc w:val="both"/>
        <w:rPr>
          <w:rFonts w:ascii="Times New Roman" w:hAnsi="Times New Roman" w:cs="Times New Roman"/>
          <w:sz w:val="22"/>
          <w:szCs w:val="22"/>
        </w:rPr>
      </w:pPr>
      <w:r w:rsidRPr="002E27C0">
        <w:rPr>
          <w:rFonts w:ascii="Times New Roman" w:hAnsi="Times New Roman" w:cs="Times New Roman"/>
          <w:sz w:val="22"/>
          <w:szCs w:val="22"/>
        </w:rPr>
        <w:t xml:space="preserve">Marion, J.L. and Leung, Y-F. (2011) ‘Indicators and protocols for monitoring impacts of formal and informal trails in protected areas’, </w:t>
      </w:r>
      <w:r w:rsidRPr="002E27C0">
        <w:rPr>
          <w:rFonts w:ascii="Times New Roman" w:hAnsi="Times New Roman" w:cs="Times New Roman"/>
          <w:i/>
          <w:iCs/>
          <w:sz w:val="22"/>
          <w:szCs w:val="22"/>
        </w:rPr>
        <w:t>Journal of Tourism and Leisure Studies</w:t>
      </w:r>
      <w:r w:rsidRPr="002E27C0">
        <w:rPr>
          <w:rFonts w:ascii="Times New Roman" w:hAnsi="Times New Roman" w:cs="Times New Roman"/>
          <w:sz w:val="22"/>
          <w:szCs w:val="22"/>
        </w:rPr>
        <w:t xml:space="preserve">, 17(2), pp. 215–236. </w:t>
      </w:r>
    </w:p>
    <w:p w14:paraId="052BAF3B" w14:textId="77777777" w:rsidR="00A23FF3" w:rsidRPr="002E27C0" w:rsidRDefault="00A23FF3" w:rsidP="002E27C0">
      <w:pPr>
        <w:spacing w:line="360" w:lineRule="auto"/>
        <w:jc w:val="both"/>
        <w:rPr>
          <w:rFonts w:ascii="Times New Roman" w:hAnsi="Times New Roman" w:cs="Times New Roman"/>
          <w:sz w:val="22"/>
          <w:szCs w:val="22"/>
        </w:rPr>
      </w:pPr>
    </w:p>
    <w:p w14:paraId="647E8259" w14:textId="2F971EBA" w:rsidR="00700256" w:rsidRPr="002E27C0" w:rsidRDefault="00700256" w:rsidP="002E27C0">
      <w:pPr>
        <w:spacing w:line="360" w:lineRule="auto"/>
        <w:jc w:val="both"/>
        <w:rPr>
          <w:rFonts w:ascii="Times New Roman" w:hAnsi="Times New Roman" w:cs="Times New Roman"/>
          <w:sz w:val="22"/>
          <w:szCs w:val="22"/>
        </w:rPr>
      </w:pPr>
      <w:r w:rsidRPr="002E27C0">
        <w:rPr>
          <w:rFonts w:ascii="Times New Roman" w:hAnsi="Times New Roman" w:cs="Times New Roman"/>
          <w:sz w:val="22"/>
          <w:szCs w:val="22"/>
        </w:rPr>
        <w:t xml:space="preserve">National Trust (n.d.-a) </w:t>
      </w:r>
      <w:r w:rsidRPr="002E27C0">
        <w:rPr>
          <w:rFonts w:ascii="Times New Roman" w:hAnsi="Times New Roman" w:cs="Times New Roman"/>
          <w:i/>
          <w:iCs/>
          <w:sz w:val="22"/>
          <w:szCs w:val="22"/>
        </w:rPr>
        <w:t>Dinefwr</w:t>
      </w:r>
      <w:r w:rsidRPr="002E27C0">
        <w:rPr>
          <w:rFonts w:ascii="Times New Roman" w:hAnsi="Times New Roman" w:cs="Times New Roman"/>
          <w:sz w:val="22"/>
          <w:szCs w:val="22"/>
        </w:rPr>
        <w:t xml:space="preserve">. Available at: </w:t>
      </w:r>
      <w:hyperlink r:id="rId16" w:history="1">
        <w:r w:rsidR="006B2665" w:rsidRPr="002E27C0">
          <w:rPr>
            <w:rStyle w:val="Hyperlink"/>
            <w:rFonts w:ascii="Times New Roman" w:hAnsi="Times New Roman" w:cs="Times New Roman"/>
            <w:sz w:val="22"/>
            <w:szCs w:val="22"/>
          </w:rPr>
          <w:t>https://www.nationaltrust.org.uk/visit/wales/dinefwr?utm_</w:t>
        </w:r>
      </w:hyperlink>
      <w:r w:rsidR="006B2665" w:rsidRPr="002E27C0">
        <w:rPr>
          <w:rFonts w:ascii="Times New Roman" w:hAnsi="Times New Roman" w:cs="Times New Roman"/>
          <w:sz w:val="22"/>
          <w:szCs w:val="22"/>
        </w:rPr>
        <w:t xml:space="preserve"> </w:t>
      </w:r>
      <w:r w:rsidRPr="002E27C0">
        <w:rPr>
          <w:rFonts w:ascii="Times New Roman" w:hAnsi="Times New Roman" w:cs="Times New Roman"/>
          <w:sz w:val="22"/>
          <w:szCs w:val="22"/>
        </w:rPr>
        <w:t>(Accessed: 7 August 2026).</w:t>
      </w:r>
    </w:p>
    <w:p w14:paraId="518FA75C" w14:textId="77777777" w:rsidR="00086FC2" w:rsidRPr="002E27C0" w:rsidRDefault="00086FC2" w:rsidP="002E27C0">
      <w:pPr>
        <w:spacing w:line="360" w:lineRule="auto"/>
        <w:jc w:val="both"/>
        <w:rPr>
          <w:rFonts w:ascii="Times New Roman" w:hAnsi="Times New Roman" w:cs="Times New Roman"/>
          <w:sz w:val="22"/>
          <w:szCs w:val="22"/>
        </w:rPr>
      </w:pPr>
    </w:p>
    <w:p w14:paraId="645B8B70" w14:textId="425853B2" w:rsidR="00700256" w:rsidRPr="002E27C0" w:rsidRDefault="00700256" w:rsidP="002E27C0">
      <w:pPr>
        <w:spacing w:line="360" w:lineRule="auto"/>
        <w:jc w:val="both"/>
        <w:rPr>
          <w:rFonts w:ascii="Times New Roman" w:hAnsi="Times New Roman" w:cs="Times New Roman"/>
          <w:sz w:val="22"/>
          <w:szCs w:val="22"/>
        </w:rPr>
      </w:pPr>
      <w:r w:rsidRPr="002E27C0">
        <w:rPr>
          <w:rFonts w:ascii="Times New Roman" w:hAnsi="Times New Roman" w:cs="Times New Roman"/>
          <w:sz w:val="22"/>
          <w:szCs w:val="22"/>
        </w:rPr>
        <w:t xml:space="preserve">National Trust (n.d.-b) </w:t>
      </w:r>
      <w:r w:rsidRPr="002E27C0">
        <w:rPr>
          <w:rFonts w:ascii="Times New Roman" w:hAnsi="Times New Roman" w:cs="Times New Roman"/>
          <w:i/>
          <w:iCs/>
          <w:sz w:val="22"/>
          <w:szCs w:val="22"/>
        </w:rPr>
        <w:t>History of Dinefwr</w:t>
      </w:r>
      <w:r w:rsidRPr="002E27C0">
        <w:rPr>
          <w:rFonts w:ascii="Times New Roman" w:hAnsi="Times New Roman" w:cs="Times New Roman"/>
          <w:sz w:val="22"/>
          <w:szCs w:val="22"/>
        </w:rPr>
        <w:t xml:space="preserve">. Available at: </w:t>
      </w:r>
      <w:hyperlink r:id="rId17" w:history="1">
        <w:r w:rsidR="00086FC2" w:rsidRPr="002E27C0">
          <w:rPr>
            <w:rStyle w:val="Hyperlink"/>
            <w:rFonts w:ascii="Times New Roman" w:hAnsi="Times New Roman" w:cs="Times New Roman"/>
            <w:sz w:val="22"/>
            <w:szCs w:val="22"/>
          </w:rPr>
          <w:t>https://www.nationaltrust.org.uk/visit/wales/dinefwr/history-of-dinefwr</w:t>
        </w:r>
      </w:hyperlink>
      <w:r w:rsidR="00086FC2" w:rsidRPr="002E27C0">
        <w:rPr>
          <w:rFonts w:ascii="Times New Roman" w:hAnsi="Times New Roman" w:cs="Times New Roman"/>
          <w:sz w:val="22"/>
          <w:szCs w:val="22"/>
        </w:rPr>
        <w:t>?</w:t>
      </w:r>
      <w:r w:rsidR="00086FC2" w:rsidRPr="002E27C0">
        <w:rPr>
          <w:rFonts w:ascii="Times New Roman" w:hAnsi="Times New Roman" w:cs="Times New Roman"/>
          <w:sz w:val="22"/>
          <w:szCs w:val="22"/>
        </w:rPr>
        <w:t xml:space="preserve"> </w:t>
      </w:r>
      <w:r w:rsidRPr="002E27C0">
        <w:rPr>
          <w:rFonts w:ascii="Times New Roman" w:hAnsi="Times New Roman" w:cs="Times New Roman"/>
          <w:sz w:val="22"/>
          <w:szCs w:val="22"/>
        </w:rPr>
        <w:t>(Accessed: 7 August 2026).</w:t>
      </w:r>
    </w:p>
    <w:p w14:paraId="186D1921" w14:textId="77777777" w:rsidR="00086FC2" w:rsidRPr="002E27C0" w:rsidRDefault="00086FC2" w:rsidP="002E27C0">
      <w:pPr>
        <w:spacing w:line="360" w:lineRule="auto"/>
        <w:jc w:val="both"/>
        <w:rPr>
          <w:rFonts w:ascii="Times New Roman" w:hAnsi="Times New Roman" w:cs="Times New Roman"/>
          <w:sz w:val="22"/>
          <w:szCs w:val="22"/>
        </w:rPr>
      </w:pPr>
    </w:p>
    <w:p w14:paraId="2701323D" w14:textId="1D230321" w:rsidR="00700256" w:rsidRPr="002E27C0" w:rsidRDefault="00700256" w:rsidP="002E27C0">
      <w:pPr>
        <w:spacing w:line="360" w:lineRule="auto"/>
        <w:jc w:val="both"/>
        <w:rPr>
          <w:rFonts w:ascii="Times New Roman" w:hAnsi="Times New Roman" w:cs="Times New Roman"/>
          <w:sz w:val="22"/>
          <w:szCs w:val="22"/>
        </w:rPr>
      </w:pPr>
      <w:r w:rsidRPr="002E27C0">
        <w:rPr>
          <w:rFonts w:ascii="Times New Roman" w:hAnsi="Times New Roman" w:cs="Times New Roman"/>
          <w:sz w:val="22"/>
          <w:szCs w:val="22"/>
        </w:rPr>
        <w:t xml:space="preserve">National Trust (n.d.-c) </w:t>
      </w:r>
      <w:r w:rsidRPr="002E27C0">
        <w:rPr>
          <w:rFonts w:ascii="Times New Roman" w:hAnsi="Times New Roman" w:cs="Times New Roman"/>
          <w:i/>
          <w:iCs/>
          <w:sz w:val="22"/>
          <w:szCs w:val="22"/>
        </w:rPr>
        <w:t>Dinefwr: accessibility information</w:t>
      </w:r>
      <w:r w:rsidRPr="002E27C0">
        <w:rPr>
          <w:rFonts w:ascii="Times New Roman" w:hAnsi="Times New Roman" w:cs="Times New Roman"/>
          <w:sz w:val="22"/>
          <w:szCs w:val="22"/>
        </w:rPr>
        <w:t xml:space="preserve">. Available at: </w:t>
      </w:r>
      <w:hyperlink r:id="rId18" w:history="1">
        <w:r w:rsidR="00F723EC" w:rsidRPr="002E27C0">
          <w:rPr>
            <w:rStyle w:val="Hyperlink"/>
            <w:rFonts w:ascii="Times New Roman" w:hAnsi="Times New Roman" w:cs="Times New Roman"/>
            <w:sz w:val="22"/>
            <w:szCs w:val="22"/>
          </w:rPr>
          <w:t>https://www.nationaltrust.org.uk/visit/wales/dinefwr</w:t>
        </w:r>
      </w:hyperlink>
      <w:r w:rsidR="00F723EC" w:rsidRPr="002E27C0">
        <w:rPr>
          <w:rFonts w:ascii="Times New Roman" w:hAnsi="Times New Roman" w:cs="Times New Roman"/>
          <w:sz w:val="22"/>
          <w:szCs w:val="22"/>
        </w:rPr>
        <w:t>?</w:t>
      </w:r>
      <w:r w:rsidR="00F723EC" w:rsidRPr="002E27C0">
        <w:rPr>
          <w:rFonts w:ascii="Times New Roman" w:hAnsi="Times New Roman" w:cs="Times New Roman"/>
          <w:sz w:val="22"/>
          <w:szCs w:val="22"/>
        </w:rPr>
        <w:t xml:space="preserve"> </w:t>
      </w:r>
      <w:r w:rsidRPr="002E27C0">
        <w:rPr>
          <w:rFonts w:ascii="Times New Roman" w:hAnsi="Times New Roman" w:cs="Times New Roman"/>
          <w:sz w:val="22"/>
          <w:szCs w:val="22"/>
        </w:rPr>
        <w:t>(Accessed: 7 August 2026).</w:t>
      </w:r>
    </w:p>
    <w:p w14:paraId="1D35D955" w14:textId="77777777" w:rsidR="00F723EC" w:rsidRPr="002E27C0" w:rsidRDefault="00F723EC" w:rsidP="002E27C0">
      <w:pPr>
        <w:spacing w:line="360" w:lineRule="auto"/>
        <w:jc w:val="both"/>
        <w:rPr>
          <w:rFonts w:ascii="Times New Roman" w:hAnsi="Times New Roman" w:cs="Times New Roman"/>
          <w:sz w:val="22"/>
          <w:szCs w:val="22"/>
        </w:rPr>
      </w:pPr>
    </w:p>
    <w:p w14:paraId="73F10CDF" w14:textId="2C7299F1" w:rsidR="00700256" w:rsidRPr="002E27C0" w:rsidRDefault="00700256" w:rsidP="002E27C0">
      <w:pPr>
        <w:spacing w:line="360" w:lineRule="auto"/>
        <w:jc w:val="both"/>
        <w:rPr>
          <w:rFonts w:ascii="Times New Roman" w:hAnsi="Times New Roman" w:cs="Times New Roman"/>
          <w:sz w:val="22"/>
          <w:szCs w:val="22"/>
        </w:rPr>
      </w:pPr>
      <w:r w:rsidRPr="002E27C0">
        <w:rPr>
          <w:rFonts w:ascii="Times New Roman" w:hAnsi="Times New Roman" w:cs="Times New Roman"/>
          <w:sz w:val="22"/>
          <w:szCs w:val="22"/>
        </w:rPr>
        <w:t xml:space="preserve">National Trust (n.d.-d) </w:t>
      </w:r>
      <w:r w:rsidRPr="002E27C0">
        <w:rPr>
          <w:rFonts w:ascii="Times New Roman" w:hAnsi="Times New Roman" w:cs="Times New Roman"/>
          <w:i/>
          <w:iCs/>
          <w:sz w:val="22"/>
          <w:szCs w:val="22"/>
        </w:rPr>
        <w:t>Explore the parkland at Dinefwr</w:t>
      </w:r>
      <w:r w:rsidRPr="002E27C0">
        <w:rPr>
          <w:rFonts w:ascii="Times New Roman" w:hAnsi="Times New Roman" w:cs="Times New Roman"/>
          <w:sz w:val="22"/>
          <w:szCs w:val="22"/>
        </w:rPr>
        <w:t xml:space="preserve">. Available at: </w:t>
      </w:r>
      <w:hyperlink r:id="rId19" w:history="1">
        <w:r w:rsidR="005D1E8E" w:rsidRPr="002E27C0">
          <w:rPr>
            <w:rStyle w:val="Hyperlink"/>
            <w:rFonts w:ascii="Times New Roman" w:hAnsi="Times New Roman" w:cs="Times New Roman"/>
            <w:sz w:val="22"/>
            <w:szCs w:val="22"/>
          </w:rPr>
          <w:t>https://www.nationaltrust.org.uk/visit/wales/dinefwr/parkland-at-dinefwr</w:t>
        </w:r>
      </w:hyperlink>
      <w:r w:rsidR="005D1E8E" w:rsidRPr="002E27C0">
        <w:rPr>
          <w:rFonts w:ascii="Times New Roman" w:hAnsi="Times New Roman" w:cs="Times New Roman"/>
          <w:sz w:val="22"/>
          <w:szCs w:val="22"/>
        </w:rPr>
        <w:t>?</w:t>
      </w:r>
      <w:r w:rsidR="005D1E8E" w:rsidRPr="002E27C0">
        <w:rPr>
          <w:rFonts w:ascii="Times New Roman" w:hAnsi="Times New Roman" w:cs="Times New Roman"/>
          <w:sz w:val="22"/>
          <w:szCs w:val="22"/>
        </w:rPr>
        <w:t xml:space="preserve"> </w:t>
      </w:r>
      <w:r w:rsidRPr="002E27C0">
        <w:rPr>
          <w:rFonts w:ascii="Times New Roman" w:hAnsi="Times New Roman" w:cs="Times New Roman"/>
          <w:sz w:val="22"/>
          <w:szCs w:val="22"/>
        </w:rPr>
        <w:t>(Accessed: 7 August 2026).</w:t>
      </w:r>
    </w:p>
    <w:p w14:paraId="3ED458A3" w14:textId="77777777" w:rsidR="005D1E8E" w:rsidRPr="002E27C0" w:rsidRDefault="005D1E8E" w:rsidP="002E27C0">
      <w:pPr>
        <w:spacing w:line="360" w:lineRule="auto"/>
        <w:jc w:val="both"/>
        <w:rPr>
          <w:rFonts w:ascii="Times New Roman" w:hAnsi="Times New Roman" w:cs="Times New Roman"/>
          <w:sz w:val="22"/>
          <w:szCs w:val="22"/>
        </w:rPr>
      </w:pPr>
    </w:p>
    <w:p w14:paraId="0187C87E" w14:textId="54561D29" w:rsidR="00700256" w:rsidRPr="002E27C0" w:rsidRDefault="00700256" w:rsidP="002E27C0">
      <w:pPr>
        <w:spacing w:line="360" w:lineRule="auto"/>
        <w:jc w:val="both"/>
        <w:rPr>
          <w:rFonts w:ascii="Times New Roman" w:hAnsi="Times New Roman" w:cs="Times New Roman"/>
          <w:sz w:val="22"/>
          <w:szCs w:val="22"/>
        </w:rPr>
      </w:pPr>
      <w:r w:rsidRPr="002E27C0">
        <w:rPr>
          <w:rFonts w:ascii="Times New Roman" w:hAnsi="Times New Roman" w:cs="Times New Roman"/>
          <w:sz w:val="22"/>
          <w:szCs w:val="22"/>
        </w:rPr>
        <w:t xml:space="preserve">Natural Resources Wales (n.d.) </w:t>
      </w:r>
      <w:r w:rsidRPr="002E27C0">
        <w:rPr>
          <w:rFonts w:ascii="Times New Roman" w:hAnsi="Times New Roman" w:cs="Times New Roman"/>
          <w:i/>
          <w:iCs/>
          <w:sz w:val="22"/>
          <w:szCs w:val="22"/>
        </w:rPr>
        <w:t>Improving access to the outdoors for all</w:t>
      </w:r>
      <w:r w:rsidRPr="002E27C0">
        <w:rPr>
          <w:rFonts w:ascii="Times New Roman" w:hAnsi="Times New Roman" w:cs="Times New Roman"/>
          <w:sz w:val="22"/>
          <w:szCs w:val="22"/>
        </w:rPr>
        <w:t xml:space="preserve">. Available at: </w:t>
      </w:r>
      <w:hyperlink r:id="rId20" w:history="1">
        <w:r w:rsidR="00F77193" w:rsidRPr="002E27C0">
          <w:rPr>
            <w:rStyle w:val="Hyperlink"/>
            <w:rFonts w:ascii="Times New Roman" w:hAnsi="Times New Roman" w:cs="Times New Roman"/>
            <w:sz w:val="22"/>
            <w:szCs w:val="22"/>
          </w:rPr>
          <w:t>https://naturalresources.wales/days-out/recreation-and-access-policy-advice-and-guidance/improving-access-to-the-outdoors-for-all/?lang=en&amp;</w:t>
        </w:r>
      </w:hyperlink>
      <w:r w:rsidR="00F77193" w:rsidRPr="002E27C0">
        <w:rPr>
          <w:rFonts w:ascii="Times New Roman" w:hAnsi="Times New Roman" w:cs="Times New Roman"/>
          <w:sz w:val="22"/>
          <w:szCs w:val="22"/>
        </w:rPr>
        <w:t xml:space="preserve"> </w:t>
      </w:r>
      <w:r w:rsidRPr="002E27C0">
        <w:rPr>
          <w:rFonts w:ascii="Times New Roman" w:hAnsi="Times New Roman" w:cs="Times New Roman"/>
          <w:sz w:val="22"/>
          <w:szCs w:val="22"/>
        </w:rPr>
        <w:t>(Accessed: 7 August 2026).</w:t>
      </w:r>
    </w:p>
    <w:p w14:paraId="23C0B6F3" w14:textId="77777777" w:rsidR="00F77193" w:rsidRPr="002E27C0" w:rsidRDefault="00F77193" w:rsidP="002E27C0">
      <w:pPr>
        <w:spacing w:line="360" w:lineRule="auto"/>
        <w:jc w:val="both"/>
        <w:rPr>
          <w:rFonts w:ascii="Times New Roman" w:hAnsi="Times New Roman" w:cs="Times New Roman"/>
          <w:sz w:val="22"/>
          <w:szCs w:val="22"/>
        </w:rPr>
      </w:pPr>
    </w:p>
    <w:p w14:paraId="51233874" w14:textId="4179DF0F" w:rsidR="00471427" w:rsidRPr="002E27C0" w:rsidRDefault="00700256" w:rsidP="002E27C0">
      <w:pPr>
        <w:spacing w:line="360" w:lineRule="auto"/>
        <w:jc w:val="both"/>
        <w:rPr>
          <w:rFonts w:ascii="Times New Roman" w:hAnsi="Times New Roman" w:cs="Times New Roman"/>
          <w:sz w:val="22"/>
          <w:szCs w:val="22"/>
        </w:rPr>
      </w:pPr>
      <w:proofErr w:type="spellStart"/>
      <w:r w:rsidRPr="002E27C0">
        <w:rPr>
          <w:rFonts w:ascii="Times New Roman" w:hAnsi="Times New Roman" w:cs="Times New Roman"/>
          <w:sz w:val="22"/>
          <w:szCs w:val="22"/>
        </w:rPr>
        <w:t>Pescott</w:t>
      </w:r>
      <w:proofErr w:type="spellEnd"/>
      <w:r w:rsidRPr="002E27C0">
        <w:rPr>
          <w:rFonts w:ascii="Times New Roman" w:hAnsi="Times New Roman" w:cs="Times New Roman"/>
          <w:sz w:val="22"/>
          <w:szCs w:val="22"/>
        </w:rPr>
        <w:t xml:space="preserve">, O.L. and Stewart, G.B. (2014) ‘Assessing the impact of human trampling on vegetation: a systematic review and meta-analysis of experimental evidence’, </w:t>
      </w:r>
      <w:proofErr w:type="spellStart"/>
      <w:r w:rsidRPr="002E27C0">
        <w:rPr>
          <w:rFonts w:ascii="Times New Roman" w:hAnsi="Times New Roman" w:cs="Times New Roman"/>
          <w:i/>
          <w:iCs/>
          <w:sz w:val="22"/>
          <w:szCs w:val="22"/>
        </w:rPr>
        <w:t>PeerJ</w:t>
      </w:r>
      <w:proofErr w:type="spellEnd"/>
      <w:r w:rsidRPr="002E27C0">
        <w:rPr>
          <w:rFonts w:ascii="Times New Roman" w:hAnsi="Times New Roman" w:cs="Times New Roman"/>
          <w:sz w:val="22"/>
          <w:szCs w:val="22"/>
        </w:rPr>
        <w:t xml:space="preserve">, 2, e360. </w:t>
      </w:r>
      <w:hyperlink r:id="rId21" w:history="1">
        <w:r w:rsidR="00471427" w:rsidRPr="002E27C0">
          <w:rPr>
            <w:rStyle w:val="Hyperlink"/>
            <w:rFonts w:ascii="Times New Roman" w:hAnsi="Times New Roman" w:cs="Times New Roman"/>
            <w:sz w:val="22"/>
            <w:szCs w:val="22"/>
          </w:rPr>
          <w:t>https://doi.org/10.7717/peerj.360</w:t>
        </w:r>
      </w:hyperlink>
      <w:r w:rsidR="00471427" w:rsidRPr="002E27C0">
        <w:rPr>
          <w:rFonts w:ascii="Times New Roman" w:hAnsi="Times New Roman" w:cs="Times New Roman"/>
          <w:sz w:val="22"/>
          <w:szCs w:val="22"/>
        </w:rPr>
        <w:t xml:space="preserve">. </w:t>
      </w:r>
    </w:p>
    <w:p w14:paraId="139D81AE" w14:textId="40565D41" w:rsidR="00700256" w:rsidRPr="002E27C0" w:rsidRDefault="00700256" w:rsidP="002E27C0">
      <w:pPr>
        <w:spacing w:line="360" w:lineRule="auto"/>
        <w:jc w:val="both"/>
        <w:rPr>
          <w:rFonts w:ascii="Times New Roman" w:hAnsi="Times New Roman" w:cs="Times New Roman"/>
          <w:sz w:val="22"/>
          <w:szCs w:val="22"/>
        </w:rPr>
      </w:pPr>
    </w:p>
    <w:p w14:paraId="1C84BE24" w14:textId="00A5F588" w:rsidR="00D8424C" w:rsidRPr="002E27C0" w:rsidRDefault="00700256" w:rsidP="002E27C0">
      <w:pPr>
        <w:spacing w:line="360" w:lineRule="auto"/>
        <w:jc w:val="both"/>
        <w:rPr>
          <w:rFonts w:ascii="Times New Roman" w:hAnsi="Times New Roman" w:cs="Times New Roman"/>
          <w:sz w:val="22"/>
          <w:szCs w:val="22"/>
        </w:rPr>
      </w:pPr>
      <w:r w:rsidRPr="002E27C0">
        <w:rPr>
          <w:rFonts w:ascii="Times New Roman" w:hAnsi="Times New Roman" w:cs="Times New Roman"/>
          <w:sz w:val="22"/>
          <w:szCs w:val="22"/>
        </w:rPr>
        <w:t xml:space="preserve">Pickering, C.M. (2010) ‘Ten factors that affect the severity of environmental impacts of visitors in protected areas’, </w:t>
      </w:r>
      <w:proofErr w:type="spellStart"/>
      <w:r w:rsidRPr="002E27C0">
        <w:rPr>
          <w:rFonts w:ascii="Times New Roman" w:hAnsi="Times New Roman" w:cs="Times New Roman"/>
          <w:i/>
          <w:iCs/>
          <w:sz w:val="22"/>
          <w:szCs w:val="22"/>
        </w:rPr>
        <w:t>Ambio</w:t>
      </w:r>
      <w:proofErr w:type="spellEnd"/>
      <w:r w:rsidRPr="002E27C0">
        <w:rPr>
          <w:rFonts w:ascii="Times New Roman" w:hAnsi="Times New Roman" w:cs="Times New Roman"/>
          <w:sz w:val="22"/>
          <w:szCs w:val="22"/>
        </w:rPr>
        <w:t xml:space="preserve">, 39(1), pp. 70–77. </w:t>
      </w:r>
      <w:r w:rsidR="00D8424C" w:rsidRPr="002E27C0">
        <w:rPr>
          <w:rFonts w:ascii="Times New Roman" w:hAnsi="Times New Roman" w:cs="Times New Roman"/>
          <w:sz w:val="22"/>
          <w:szCs w:val="22"/>
        </w:rPr>
        <w:t>DOI 10.1007/s13280-009-0007-6</w:t>
      </w:r>
      <w:r w:rsidR="00D8424C" w:rsidRPr="002E27C0">
        <w:rPr>
          <w:rFonts w:ascii="Times New Roman" w:hAnsi="Times New Roman" w:cs="Times New Roman"/>
          <w:sz w:val="22"/>
          <w:szCs w:val="22"/>
        </w:rPr>
        <w:t xml:space="preserve">. </w:t>
      </w:r>
    </w:p>
    <w:p w14:paraId="3842BAA4" w14:textId="0A69E814" w:rsidR="00700256" w:rsidRPr="002E27C0" w:rsidRDefault="00700256" w:rsidP="002E27C0">
      <w:pPr>
        <w:spacing w:line="360" w:lineRule="auto"/>
        <w:jc w:val="both"/>
        <w:rPr>
          <w:rFonts w:ascii="Times New Roman" w:hAnsi="Times New Roman" w:cs="Times New Roman"/>
          <w:sz w:val="22"/>
          <w:szCs w:val="22"/>
        </w:rPr>
      </w:pPr>
    </w:p>
    <w:p w14:paraId="27448937" w14:textId="180E81DC" w:rsidR="00700256" w:rsidRPr="002E27C0" w:rsidRDefault="00700256" w:rsidP="002E27C0">
      <w:pPr>
        <w:spacing w:line="360" w:lineRule="auto"/>
        <w:jc w:val="both"/>
        <w:rPr>
          <w:rFonts w:ascii="Times New Roman" w:hAnsi="Times New Roman" w:cs="Times New Roman"/>
          <w:sz w:val="22"/>
          <w:szCs w:val="22"/>
        </w:rPr>
      </w:pPr>
      <w:r w:rsidRPr="002E27C0">
        <w:rPr>
          <w:rFonts w:ascii="Times New Roman" w:hAnsi="Times New Roman" w:cs="Times New Roman"/>
          <w:sz w:val="22"/>
          <w:szCs w:val="22"/>
        </w:rPr>
        <w:t xml:space="preserve">Pickering, C.M., Hill, W., Newsome, D. and Leung, Y-F. (2010) ‘Comparing hiking, mountain biking and horse riding impacts on vegetation and soils in Australia and the United States of America’, </w:t>
      </w:r>
      <w:r w:rsidRPr="002E27C0">
        <w:rPr>
          <w:rFonts w:ascii="Times New Roman" w:hAnsi="Times New Roman" w:cs="Times New Roman"/>
          <w:i/>
          <w:iCs/>
          <w:sz w:val="22"/>
          <w:szCs w:val="22"/>
        </w:rPr>
        <w:t>Journal of Environmental Management</w:t>
      </w:r>
      <w:r w:rsidRPr="002E27C0">
        <w:rPr>
          <w:rFonts w:ascii="Times New Roman" w:hAnsi="Times New Roman" w:cs="Times New Roman"/>
          <w:sz w:val="22"/>
          <w:szCs w:val="22"/>
        </w:rPr>
        <w:t xml:space="preserve">, 91(3), pp. 551–562. </w:t>
      </w:r>
      <w:proofErr w:type="gramStart"/>
      <w:r w:rsidRPr="002E27C0">
        <w:rPr>
          <w:rFonts w:ascii="Times New Roman" w:hAnsi="Times New Roman" w:cs="Times New Roman"/>
          <w:sz w:val="22"/>
          <w:szCs w:val="22"/>
        </w:rPr>
        <w:t>doi:10.1016/j.jenvman</w:t>
      </w:r>
      <w:proofErr w:type="gramEnd"/>
      <w:r w:rsidRPr="002E27C0">
        <w:rPr>
          <w:rFonts w:ascii="Times New Roman" w:hAnsi="Times New Roman" w:cs="Times New Roman"/>
          <w:sz w:val="22"/>
          <w:szCs w:val="22"/>
        </w:rPr>
        <w:t xml:space="preserve">.2009.09.025. </w:t>
      </w:r>
    </w:p>
    <w:p w14:paraId="1CC35F8D" w14:textId="77777777" w:rsidR="00FE57F8" w:rsidRPr="002E27C0" w:rsidRDefault="00FE57F8" w:rsidP="002E27C0">
      <w:pPr>
        <w:spacing w:line="360" w:lineRule="auto"/>
        <w:jc w:val="both"/>
        <w:rPr>
          <w:rFonts w:ascii="Times New Roman" w:hAnsi="Times New Roman" w:cs="Times New Roman"/>
          <w:sz w:val="22"/>
          <w:szCs w:val="22"/>
        </w:rPr>
      </w:pPr>
    </w:p>
    <w:p w14:paraId="0B50D99A" w14:textId="77777777" w:rsidR="00700256" w:rsidRPr="002E27C0" w:rsidRDefault="00700256" w:rsidP="002E27C0">
      <w:pPr>
        <w:spacing w:line="360" w:lineRule="auto"/>
        <w:jc w:val="both"/>
        <w:rPr>
          <w:rFonts w:ascii="Times New Roman" w:hAnsi="Times New Roman" w:cs="Times New Roman"/>
          <w:sz w:val="22"/>
          <w:szCs w:val="22"/>
        </w:rPr>
      </w:pPr>
      <w:r w:rsidRPr="002E27C0">
        <w:rPr>
          <w:rFonts w:ascii="Times New Roman" w:hAnsi="Times New Roman" w:cs="Times New Roman"/>
          <w:sz w:val="22"/>
          <w:szCs w:val="22"/>
        </w:rPr>
        <w:t xml:space="preserve">Stankey, G.H., Cole, D.N., Lucas, R.C., Petersen, M.E. and Frissell, S.S. (1985) </w:t>
      </w:r>
      <w:r w:rsidRPr="002E27C0">
        <w:rPr>
          <w:rFonts w:ascii="Times New Roman" w:hAnsi="Times New Roman" w:cs="Times New Roman"/>
          <w:i/>
          <w:iCs/>
          <w:sz w:val="22"/>
          <w:szCs w:val="22"/>
        </w:rPr>
        <w:t>The Limits of Acceptable Change (LAC) System for Wilderness Planning</w:t>
      </w:r>
      <w:r w:rsidRPr="002E27C0">
        <w:rPr>
          <w:rFonts w:ascii="Times New Roman" w:hAnsi="Times New Roman" w:cs="Times New Roman"/>
          <w:sz w:val="22"/>
          <w:szCs w:val="22"/>
        </w:rPr>
        <w:t>. General Technical Report INT-176. Ogden, UT: U.S. Department of Agriculture, Forest Service, Intermountain Forest and Range Experiment Station.</w:t>
      </w:r>
    </w:p>
    <w:p w14:paraId="33E48C7D" w14:textId="77777777" w:rsidR="00FE57F8" w:rsidRPr="002E27C0" w:rsidRDefault="00FE57F8" w:rsidP="002E27C0">
      <w:pPr>
        <w:spacing w:line="360" w:lineRule="auto"/>
        <w:jc w:val="both"/>
        <w:rPr>
          <w:rFonts w:ascii="Times New Roman" w:hAnsi="Times New Roman" w:cs="Times New Roman"/>
          <w:sz w:val="22"/>
          <w:szCs w:val="22"/>
        </w:rPr>
      </w:pPr>
    </w:p>
    <w:p w14:paraId="37B89B86" w14:textId="77777777" w:rsidR="00700256" w:rsidRPr="002E27C0" w:rsidRDefault="00700256" w:rsidP="002E27C0">
      <w:pPr>
        <w:spacing w:line="360" w:lineRule="auto"/>
        <w:jc w:val="both"/>
        <w:rPr>
          <w:rFonts w:ascii="Times New Roman" w:hAnsi="Times New Roman" w:cs="Times New Roman"/>
          <w:sz w:val="22"/>
          <w:szCs w:val="22"/>
        </w:rPr>
      </w:pPr>
      <w:r w:rsidRPr="002E27C0">
        <w:rPr>
          <w:rFonts w:ascii="Times New Roman" w:hAnsi="Times New Roman" w:cs="Times New Roman"/>
          <w:sz w:val="22"/>
          <w:szCs w:val="22"/>
        </w:rPr>
        <w:t xml:space="preserve">Tuan, Y-F. (1974) </w:t>
      </w:r>
      <w:r w:rsidRPr="002E27C0">
        <w:rPr>
          <w:rFonts w:ascii="Times New Roman" w:hAnsi="Times New Roman" w:cs="Times New Roman"/>
          <w:i/>
          <w:iCs/>
          <w:sz w:val="22"/>
          <w:szCs w:val="22"/>
        </w:rPr>
        <w:t>Topophilia: A Study of Environmental Perception, Attitudes and Values</w:t>
      </w:r>
      <w:r w:rsidRPr="002E27C0">
        <w:rPr>
          <w:rFonts w:ascii="Times New Roman" w:hAnsi="Times New Roman" w:cs="Times New Roman"/>
          <w:sz w:val="22"/>
          <w:szCs w:val="22"/>
        </w:rPr>
        <w:t>. Englewood Cliffs, NJ: Prentice-Hall.</w:t>
      </w:r>
    </w:p>
    <w:p w14:paraId="1050DA65" w14:textId="77777777" w:rsidR="00FE57F8" w:rsidRPr="002E27C0" w:rsidRDefault="00FE57F8" w:rsidP="002E27C0">
      <w:pPr>
        <w:spacing w:line="360" w:lineRule="auto"/>
        <w:jc w:val="both"/>
        <w:rPr>
          <w:rFonts w:ascii="Times New Roman" w:hAnsi="Times New Roman" w:cs="Times New Roman"/>
          <w:sz w:val="22"/>
          <w:szCs w:val="22"/>
        </w:rPr>
      </w:pPr>
    </w:p>
    <w:p w14:paraId="40332E75" w14:textId="144ED686" w:rsidR="00700256" w:rsidRPr="002E27C0" w:rsidRDefault="00700256" w:rsidP="002E27C0">
      <w:pPr>
        <w:spacing w:line="360" w:lineRule="auto"/>
        <w:jc w:val="both"/>
        <w:rPr>
          <w:rFonts w:ascii="Times New Roman" w:hAnsi="Times New Roman" w:cs="Times New Roman"/>
          <w:sz w:val="22"/>
          <w:szCs w:val="22"/>
        </w:rPr>
      </w:pPr>
      <w:r w:rsidRPr="002E27C0">
        <w:rPr>
          <w:rFonts w:ascii="Times New Roman" w:hAnsi="Times New Roman" w:cs="Times New Roman"/>
          <w:sz w:val="22"/>
          <w:szCs w:val="22"/>
        </w:rPr>
        <w:t xml:space="preserve">Williams, P., Biggs, J., Stoate, C., Szczur, J., Brown, C. and Bonney, S. (2020) ‘Nature based measures increase freshwater biodiversity in agricultural catchments’, </w:t>
      </w:r>
      <w:r w:rsidRPr="002E27C0">
        <w:rPr>
          <w:rFonts w:ascii="Times New Roman" w:hAnsi="Times New Roman" w:cs="Times New Roman"/>
          <w:i/>
          <w:iCs/>
          <w:sz w:val="22"/>
          <w:szCs w:val="22"/>
        </w:rPr>
        <w:t>Biological Conservation</w:t>
      </w:r>
      <w:r w:rsidRPr="002E27C0">
        <w:rPr>
          <w:rFonts w:ascii="Times New Roman" w:hAnsi="Times New Roman" w:cs="Times New Roman"/>
          <w:sz w:val="22"/>
          <w:szCs w:val="22"/>
        </w:rPr>
        <w:t xml:space="preserve">, 244, 108515. </w:t>
      </w:r>
      <w:hyperlink r:id="rId22" w:history="1">
        <w:r w:rsidR="002E27C0" w:rsidRPr="002E27C0">
          <w:rPr>
            <w:rStyle w:val="Hyperlink"/>
            <w:rFonts w:ascii="Times New Roman" w:hAnsi="Times New Roman" w:cs="Times New Roman"/>
            <w:sz w:val="22"/>
            <w:szCs w:val="22"/>
          </w:rPr>
          <w:t>https://doi.org/10.1016/j.biocon.2020.108515</w:t>
        </w:r>
      </w:hyperlink>
      <w:r w:rsidR="002E27C0" w:rsidRPr="002E27C0">
        <w:rPr>
          <w:rFonts w:ascii="Times New Roman" w:hAnsi="Times New Roman" w:cs="Times New Roman"/>
          <w:sz w:val="22"/>
          <w:szCs w:val="22"/>
        </w:rPr>
        <w:t xml:space="preserve">. </w:t>
      </w:r>
    </w:p>
    <w:p w14:paraId="5EC0F22F" w14:textId="0A886E0D" w:rsidR="00700256" w:rsidRPr="002E27C0" w:rsidRDefault="00700256" w:rsidP="002E27C0">
      <w:pPr>
        <w:spacing w:line="360" w:lineRule="auto"/>
        <w:jc w:val="both"/>
        <w:rPr>
          <w:rFonts w:ascii="Times New Roman" w:hAnsi="Times New Roman" w:cs="Times New Roman"/>
          <w:sz w:val="22"/>
          <w:szCs w:val="22"/>
        </w:rPr>
      </w:pPr>
    </w:p>
    <w:p w14:paraId="2B17ECE3" w14:textId="5B2AC841" w:rsidR="00FE57F8" w:rsidRPr="002E27C0" w:rsidRDefault="00700256" w:rsidP="002E27C0">
      <w:pPr>
        <w:spacing w:line="360" w:lineRule="auto"/>
        <w:jc w:val="both"/>
        <w:rPr>
          <w:rFonts w:ascii="Times New Roman" w:hAnsi="Times New Roman" w:cs="Times New Roman"/>
          <w:sz w:val="22"/>
          <w:szCs w:val="22"/>
        </w:rPr>
      </w:pPr>
      <w:r w:rsidRPr="002E27C0">
        <w:rPr>
          <w:rFonts w:ascii="Times New Roman" w:hAnsi="Times New Roman" w:cs="Times New Roman"/>
          <w:sz w:val="22"/>
          <w:szCs w:val="22"/>
        </w:rPr>
        <w:lastRenderedPageBreak/>
        <w:t xml:space="preserve">Wimpey, J. and Marion, J.L. (2011) ‘A spatial exploration of informal trail networks within Great Falls Park, VA’, </w:t>
      </w:r>
      <w:r w:rsidRPr="002E27C0">
        <w:rPr>
          <w:rFonts w:ascii="Times New Roman" w:hAnsi="Times New Roman" w:cs="Times New Roman"/>
          <w:i/>
          <w:iCs/>
          <w:sz w:val="22"/>
          <w:szCs w:val="22"/>
        </w:rPr>
        <w:t>Journal of Environmental Management</w:t>
      </w:r>
      <w:r w:rsidRPr="002E27C0">
        <w:rPr>
          <w:rFonts w:ascii="Times New Roman" w:hAnsi="Times New Roman" w:cs="Times New Roman"/>
          <w:sz w:val="22"/>
          <w:szCs w:val="22"/>
        </w:rPr>
        <w:t xml:space="preserve">, 92(3), pp. 1012–1022. </w:t>
      </w:r>
      <w:proofErr w:type="gramStart"/>
      <w:r w:rsidR="00FE57F8" w:rsidRPr="002E27C0">
        <w:rPr>
          <w:rFonts w:ascii="Times New Roman" w:hAnsi="Times New Roman" w:cs="Times New Roman"/>
          <w:sz w:val="22"/>
          <w:szCs w:val="22"/>
        </w:rPr>
        <w:t>doi:10.1016/j.jenvman</w:t>
      </w:r>
      <w:proofErr w:type="gramEnd"/>
      <w:r w:rsidR="00FE57F8" w:rsidRPr="002E27C0">
        <w:rPr>
          <w:rFonts w:ascii="Times New Roman" w:hAnsi="Times New Roman" w:cs="Times New Roman"/>
          <w:sz w:val="22"/>
          <w:szCs w:val="22"/>
        </w:rPr>
        <w:t>.2010.11.015</w:t>
      </w:r>
      <w:r w:rsidR="00FE57F8" w:rsidRPr="002E27C0">
        <w:rPr>
          <w:rFonts w:ascii="Times New Roman" w:hAnsi="Times New Roman" w:cs="Times New Roman"/>
          <w:sz w:val="22"/>
          <w:szCs w:val="22"/>
        </w:rPr>
        <w:t xml:space="preserve">. </w:t>
      </w:r>
    </w:p>
    <w:p w14:paraId="0094E557" w14:textId="777C0F01" w:rsidR="00700256" w:rsidRPr="002E27C0" w:rsidRDefault="00700256" w:rsidP="002E27C0">
      <w:pPr>
        <w:spacing w:line="360" w:lineRule="auto"/>
        <w:jc w:val="both"/>
        <w:rPr>
          <w:rFonts w:ascii="Times New Roman" w:hAnsi="Times New Roman" w:cs="Times New Roman"/>
          <w:sz w:val="22"/>
          <w:szCs w:val="22"/>
        </w:rPr>
      </w:pPr>
    </w:p>
    <w:p w14:paraId="6B2EE649" w14:textId="77777777" w:rsidR="00700256" w:rsidRPr="002E27C0" w:rsidRDefault="00700256" w:rsidP="002E27C0">
      <w:pPr>
        <w:spacing w:line="360" w:lineRule="auto"/>
        <w:jc w:val="both"/>
        <w:rPr>
          <w:rFonts w:ascii="Times New Roman" w:hAnsi="Times New Roman" w:cs="Times New Roman"/>
          <w:sz w:val="22"/>
          <w:szCs w:val="22"/>
        </w:rPr>
      </w:pPr>
      <w:r w:rsidRPr="002E27C0">
        <w:rPr>
          <w:rFonts w:ascii="Times New Roman" w:hAnsi="Times New Roman" w:cs="Times New Roman"/>
          <w:sz w:val="22"/>
          <w:szCs w:val="22"/>
        </w:rPr>
        <w:t xml:space="preserve">Wylie, J. (2007) </w:t>
      </w:r>
      <w:r w:rsidRPr="002E27C0">
        <w:rPr>
          <w:rFonts w:ascii="Times New Roman" w:hAnsi="Times New Roman" w:cs="Times New Roman"/>
          <w:i/>
          <w:iCs/>
          <w:sz w:val="22"/>
          <w:szCs w:val="22"/>
        </w:rPr>
        <w:t>Landscape</w:t>
      </w:r>
      <w:r w:rsidRPr="002E27C0">
        <w:rPr>
          <w:rFonts w:ascii="Times New Roman" w:hAnsi="Times New Roman" w:cs="Times New Roman"/>
          <w:sz w:val="22"/>
          <w:szCs w:val="22"/>
        </w:rPr>
        <w:t xml:space="preserve">. London: Routledge. </w:t>
      </w:r>
    </w:p>
    <w:p w14:paraId="1F1A4058" w14:textId="77777777" w:rsidR="00E531CE" w:rsidRPr="001D6792" w:rsidRDefault="00E531CE" w:rsidP="002E27C0">
      <w:pPr>
        <w:spacing w:line="360" w:lineRule="auto"/>
        <w:jc w:val="both"/>
        <w:rPr>
          <w:rFonts w:ascii="Times New Roman" w:hAnsi="Times New Roman" w:cs="Times New Roman"/>
        </w:rPr>
      </w:pPr>
    </w:p>
    <w:sectPr w:rsidR="00E531CE" w:rsidRPr="001D6792">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7711F2" w14:textId="77777777" w:rsidR="008D2B91" w:rsidRDefault="008D2B91" w:rsidP="002E27C0">
      <w:pPr>
        <w:spacing w:after="0" w:line="240" w:lineRule="auto"/>
      </w:pPr>
      <w:r>
        <w:separator/>
      </w:r>
    </w:p>
  </w:endnote>
  <w:endnote w:type="continuationSeparator" w:id="0">
    <w:p w14:paraId="246781AC" w14:textId="77777777" w:rsidR="008D2B91" w:rsidRDefault="008D2B91" w:rsidP="002E27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21A98F" w14:textId="77777777" w:rsidR="008D2B91" w:rsidRDefault="008D2B91" w:rsidP="002E27C0">
      <w:pPr>
        <w:spacing w:after="0" w:line="240" w:lineRule="auto"/>
      </w:pPr>
      <w:r>
        <w:separator/>
      </w:r>
    </w:p>
  </w:footnote>
  <w:footnote w:type="continuationSeparator" w:id="0">
    <w:p w14:paraId="26B55D17" w14:textId="77777777" w:rsidR="008D2B91" w:rsidRDefault="008D2B91" w:rsidP="002E27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44482A" w14:textId="658299D1" w:rsidR="002E27C0" w:rsidRPr="00FD747E" w:rsidRDefault="002E27C0">
    <w:pPr>
      <w:pStyle w:val="Header"/>
    </w:pPr>
    <w:r w:rsidRPr="00FD747E">
      <w:t>2304969</w:t>
    </w:r>
    <w:r w:rsidRPr="00FD747E">
      <w:ptab w:relativeTo="margin" w:alignment="center" w:leader="none"/>
    </w:r>
    <w:r w:rsidR="00237605">
      <w:t>Landscape and Recreation</w:t>
    </w:r>
    <w:r w:rsidRPr="00FD747E">
      <w:ptab w:relativeTo="margin" w:alignment="right" w:leader="none"/>
    </w:r>
    <w:r w:rsidR="00FD747E" w:rsidRPr="00FD747E">
      <w:t>BMOE6003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2554"/>
    <w:rsid w:val="00086FC2"/>
    <w:rsid w:val="0011215F"/>
    <w:rsid w:val="00142554"/>
    <w:rsid w:val="001D6792"/>
    <w:rsid w:val="00237605"/>
    <w:rsid w:val="00240C41"/>
    <w:rsid w:val="002E27C0"/>
    <w:rsid w:val="00331AF6"/>
    <w:rsid w:val="00337BD1"/>
    <w:rsid w:val="003939C6"/>
    <w:rsid w:val="00471427"/>
    <w:rsid w:val="005D1E8E"/>
    <w:rsid w:val="006B2665"/>
    <w:rsid w:val="006D0316"/>
    <w:rsid w:val="00700256"/>
    <w:rsid w:val="0072126C"/>
    <w:rsid w:val="007F706D"/>
    <w:rsid w:val="008017E3"/>
    <w:rsid w:val="008A3404"/>
    <w:rsid w:val="008D2B91"/>
    <w:rsid w:val="0097177E"/>
    <w:rsid w:val="00974D51"/>
    <w:rsid w:val="009C2CB6"/>
    <w:rsid w:val="009D5E99"/>
    <w:rsid w:val="00A23FF3"/>
    <w:rsid w:val="00AA7475"/>
    <w:rsid w:val="00B71553"/>
    <w:rsid w:val="00BA61FE"/>
    <w:rsid w:val="00BF7161"/>
    <w:rsid w:val="00C50CA1"/>
    <w:rsid w:val="00D22D97"/>
    <w:rsid w:val="00D8424C"/>
    <w:rsid w:val="00D93788"/>
    <w:rsid w:val="00DA1318"/>
    <w:rsid w:val="00DB6525"/>
    <w:rsid w:val="00DF467F"/>
    <w:rsid w:val="00E531CE"/>
    <w:rsid w:val="00E9201B"/>
    <w:rsid w:val="00EC3DA0"/>
    <w:rsid w:val="00F14499"/>
    <w:rsid w:val="00F34257"/>
    <w:rsid w:val="00F50E35"/>
    <w:rsid w:val="00F723EC"/>
    <w:rsid w:val="00F77193"/>
    <w:rsid w:val="00FD747E"/>
    <w:rsid w:val="00FE57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B9A5A6"/>
  <w15:chartTrackingRefBased/>
  <w15:docId w15:val="{AD03598B-DE97-46BE-989F-CCA9D6A0FC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25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425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425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25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25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25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25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25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25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25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425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425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25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25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25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25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25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2554"/>
    <w:rPr>
      <w:rFonts w:eastAsiaTheme="majorEastAsia" w:cstheme="majorBidi"/>
      <w:color w:val="272727" w:themeColor="text1" w:themeTint="D8"/>
    </w:rPr>
  </w:style>
  <w:style w:type="paragraph" w:styleId="Title">
    <w:name w:val="Title"/>
    <w:basedOn w:val="Normal"/>
    <w:next w:val="Normal"/>
    <w:link w:val="TitleChar"/>
    <w:uiPriority w:val="10"/>
    <w:qFormat/>
    <w:rsid w:val="001425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25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25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25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2554"/>
    <w:pPr>
      <w:spacing w:before="160"/>
      <w:jc w:val="center"/>
    </w:pPr>
    <w:rPr>
      <w:i/>
      <w:iCs/>
      <w:color w:val="404040" w:themeColor="text1" w:themeTint="BF"/>
    </w:rPr>
  </w:style>
  <w:style w:type="character" w:customStyle="1" w:styleId="QuoteChar">
    <w:name w:val="Quote Char"/>
    <w:basedOn w:val="DefaultParagraphFont"/>
    <w:link w:val="Quote"/>
    <w:uiPriority w:val="29"/>
    <w:rsid w:val="00142554"/>
    <w:rPr>
      <w:i/>
      <w:iCs/>
      <w:color w:val="404040" w:themeColor="text1" w:themeTint="BF"/>
    </w:rPr>
  </w:style>
  <w:style w:type="paragraph" w:styleId="ListParagraph">
    <w:name w:val="List Paragraph"/>
    <w:basedOn w:val="Normal"/>
    <w:uiPriority w:val="34"/>
    <w:qFormat/>
    <w:rsid w:val="00142554"/>
    <w:pPr>
      <w:ind w:left="720"/>
      <w:contextualSpacing/>
    </w:pPr>
  </w:style>
  <w:style w:type="character" w:styleId="IntenseEmphasis">
    <w:name w:val="Intense Emphasis"/>
    <w:basedOn w:val="DefaultParagraphFont"/>
    <w:uiPriority w:val="21"/>
    <w:qFormat/>
    <w:rsid w:val="00142554"/>
    <w:rPr>
      <w:i/>
      <w:iCs/>
      <w:color w:val="0F4761" w:themeColor="accent1" w:themeShade="BF"/>
    </w:rPr>
  </w:style>
  <w:style w:type="paragraph" w:styleId="IntenseQuote">
    <w:name w:val="Intense Quote"/>
    <w:basedOn w:val="Normal"/>
    <w:next w:val="Normal"/>
    <w:link w:val="IntenseQuoteChar"/>
    <w:uiPriority w:val="30"/>
    <w:qFormat/>
    <w:rsid w:val="001425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2554"/>
    <w:rPr>
      <w:i/>
      <w:iCs/>
      <w:color w:val="0F4761" w:themeColor="accent1" w:themeShade="BF"/>
    </w:rPr>
  </w:style>
  <w:style w:type="character" w:styleId="IntenseReference">
    <w:name w:val="Intense Reference"/>
    <w:basedOn w:val="DefaultParagraphFont"/>
    <w:uiPriority w:val="32"/>
    <w:qFormat/>
    <w:rsid w:val="00142554"/>
    <w:rPr>
      <w:b/>
      <w:bCs/>
      <w:smallCaps/>
      <w:color w:val="0F4761" w:themeColor="accent1" w:themeShade="BF"/>
      <w:spacing w:val="5"/>
    </w:rPr>
  </w:style>
  <w:style w:type="character" w:styleId="Hyperlink">
    <w:name w:val="Hyperlink"/>
    <w:basedOn w:val="DefaultParagraphFont"/>
    <w:uiPriority w:val="99"/>
    <w:unhideWhenUsed/>
    <w:rsid w:val="00C50CA1"/>
    <w:rPr>
      <w:color w:val="467886" w:themeColor="hyperlink"/>
      <w:u w:val="single"/>
    </w:rPr>
  </w:style>
  <w:style w:type="character" w:styleId="UnresolvedMention">
    <w:name w:val="Unresolved Mention"/>
    <w:basedOn w:val="DefaultParagraphFont"/>
    <w:uiPriority w:val="99"/>
    <w:semiHidden/>
    <w:unhideWhenUsed/>
    <w:rsid w:val="00C50CA1"/>
    <w:rPr>
      <w:color w:val="605E5C"/>
      <w:shd w:val="clear" w:color="auto" w:fill="E1DFDD"/>
    </w:rPr>
  </w:style>
  <w:style w:type="character" w:styleId="FollowedHyperlink">
    <w:name w:val="FollowedHyperlink"/>
    <w:basedOn w:val="DefaultParagraphFont"/>
    <w:uiPriority w:val="99"/>
    <w:semiHidden/>
    <w:unhideWhenUsed/>
    <w:rsid w:val="00D93788"/>
    <w:rPr>
      <w:color w:val="96607D" w:themeColor="followedHyperlink"/>
      <w:u w:val="single"/>
    </w:rPr>
  </w:style>
  <w:style w:type="paragraph" w:styleId="Header">
    <w:name w:val="header"/>
    <w:basedOn w:val="Normal"/>
    <w:link w:val="HeaderChar"/>
    <w:uiPriority w:val="99"/>
    <w:unhideWhenUsed/>
    <w:rsid w:val="002E27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27C0"/>
  </w:style>
  <w:style w:type="paragraph" w:styleId="Footer">
    <w:name w:val="footer"/>
    <w:basedOn w:val="Normal"/>
    <w:link w:val="FooterChar"/>
    <w:uiPriority w:val="99"/>
    <w:unhideWhenUsed/>
    <w:rsid w:val="002E27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27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mc.ncbi.nlm.nih.gov/articles/PMC2391219/pdf/rsbl20070374.pdf" TargetMode="External"/><Relationship Id="rId13" Type="http://schemas.openxmlformats.org/officeDocument/2006/relationships/hyperlink" Target="https://visitorusemanagement.nps.gov/VUM/Framework?utm_" TargetMode="External"/><Relationship Id="rId18" Type="http://schemas.openxmlformats.org/officeDocument/2006/relationships/hyperlink" Target="https://www.nationaltrust.org.uk/visit/wales/dinefwr" TargetMode="External"/><Relationship Id="rId3" Type="http://schemas.openxmlformats.org/officeDocument/2006/relationships/settings" Target="settings.xml"/><Relationship Id="rId21" Type="http://schemas.openxmlformats.org/officeDocument/2006/relationships/hyperlink" Target="https://doi.org/10.7717/peerj.360" TargetMode="External"/><Relationship Id="rId7" Type="http://schemas.openxmlformats.org/officeDocument/2006/relationships/hyperlink" Target="https://doiorg.uwtsd.idm.oclc.org/10.1016/j.jenvman.2015.05.007" TargetMode="External"/><Relationship Id="rId12" Type="http://schemas.openxmlformats.org/officeDocument/2006/relationships/hyperlink" Target="https://freshwaterhabitats.org.uk/advice-resources/pond-creation-hub/?utm_" TargetMode="External"/><Relationship Id="rId17" Type="http://schemas.openxmlformats.org/officeDocument/2006/relationships/hyperlink" Target="https://www.nationaltrust.org.uk/visit/wales/dinefwr/history-of-dinefwr"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nationaltrust.org.uk/visit/wales/dinefwr?utm_" TargetMode="External"/><Relationship Id="rId20" Type="http://schemas.openxmlformats.org/officeDocument/2006/relationships/hyperlink" Target="https://naturalresources.wales/days-out/recreation-and-access-policy-advice-and-guidance/improving-access-to-the-outdoors-for-all/?lang=en&amp;"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v.uk/government/publications/managing-dog-walking-in-woodlands-survey-results/managing-dog-walking-in-woodlands-survey-results-2023?utm_"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libkey.io/libraries/1422/articles/61744290/full-text-file?utm_source=nomad" TargetMode="External"/><Relationship Id="rId23" Type="http://schemas.openxmlformats.org/officeDocument/2006/relationships/header" Target="header1.xml"/><Relationship Id="rId10" Type="http://schemas.openxmlformats.org/officeDocument/2006/relationships/hyperlink" Target="https://pdf.sciencedirectassets.com/272592/1-s2.0-S0301479720X00247/1-s2.0-S0301479720314791/main.pdf?X-Amz-Security-Token=IQoJb3JpZ2luX2VjEIz%2F%2F%2F%2F%2F%2F%2F%2F%2F%2FwEaCXVzLWVhc3QtMSJGMEQCIGZPG%2FDfT1nZZk%2BIaTZqyaWxPYgby3G%2F%2Fyy%2FRvCvn77uAiBX4b%2F3ExNgoSNDMfVBlVJpzl7gVNshWRurqPBmmNDFcSqzBQhVEAUaDDA1OTAwMzU0Njg2NSIM5pLncIdvnTamyArhKpAFHoY5yDNy9hIm4208jAizHdtyedYohOeBkHoqvjcL3xhr1RrBXeaFXEazuVQ%2BnEq%2BcKlUgkF%2FZ%2F5ZXYWfKPQAD4zsCX5SyYTe4OmsLvpeUk7fusb9hJMmwfrPLb%2BE7plRA%2BM%2F8mEmbeKTmWgHRlxOYP3sddcmNcaLUuT5j2zajRw5jxz4qWMVAb4DbUgbsFF0xySK1DDT7RzwzuKTKyy2lSNGwHXnfhJZMylb1SQFtDlqjqCHfZRc86q5YyAB7HXtPgqNpzML61clDsNzKEJL6mTaZf4siFMt4zlLi1Gn249VZEmAQ%2F%2FBQbik0HSjtrxCy5kNDpe1CokTzCTc%2BFiLo%2Bbr9h%2B4Cy62peCkzlJcRbxcph1rGhEJPMCvJi1eQ86%2BAVfiP8E7LjP24er52uz50SfeITufNM6iNq6Nn%2BWcmt7%2FBqNbHjnvQtuOsTkE072bx5MRj%2FKm0oxJlhh5VbHO%2Boyu4LukHAswyEaTgu%2FANXPylOAW0qrmqs%2BhMmG1%2FO4pi0ilX3xkAlCynGScKnUNxNLVYyLC66NdklKhDaNWUoRgR4Rvk3USncaZaGri5RaO88%2FnImy8qcqqyA28VTNNrbtu4q9JMAVb4%2FhhNyyhujed4%2BHijyvKAxdz%2FUBhqHNFSO0%2Bxnhv7S3D3koQTuDYoZ5kdRNWq85jINfvo5FIL3EnkDGhjQeo1q0CibMBeWexJ%2FzY9jJ7X86hCccxAWd7ndqAkHiFbb62amtliVoDdm9GN3wAuhva74IU9UfLDTuYlEGXHcqubCPxKRhtJ9%2FyEhR9bCRxuGU4S4uNWl5vm%2BkzJqDSPlFyfRFI9iXraWFvcezd5N%2FtI4upuGlMP9vfoG06iFcMMfpwVJIOrIBhfJUw%2BYnX0wY6sgFRm3%2B7fyDmNjQB5kieZJ8iIA9P2rE1TtDIH468AM2svw9SGMno4IShztPhfaWs2CGhEiWwYWz%2F9HTsYMYWfS8DE6Hw%2Fhd%2BLb7XFudj9EW9shChUdUm5iEE%2BoPz22aNxnq0PGmpgWeV%2BOojaCxpj%2BEhY0es9NstzOUjWy8q%2FdzUFFU%2FuQKTzUn5pneCQkthYsMqbhiqHgypdPLtISzy%2B03kBwfX1nKGwbJkR6pWQiH9HOKJ&amp;X-Amz-Algorithm=AWS4-HMAC-SHA256&amp;X-Amz-Date=20260807T123938Z&amp;X-Amz-SignedHeaders=host&amp;X-Amz-Expires=300&amp;X-Amz-Credential=ASIAQ3PHCVTYYF56TPIQ%2F20260807%2Fus-east-1%2Fs3%2Faws4_request&amp;X-Amz-Signature=5921fdb1280bd1c2a4604780e75b1fc1adda155b4f4ec0aa059194420f05a261&amp;hash=8e673362b29c3fb520a28deb263ba0c37acd9aeedef1aae93b7aeacdca8bfeef&amp;host=68042c943591013ac2b2430a89b270f6af2c76d8dfd086a07176afe7c76c2c61&amp;pii=S0301479720314791&amp;tid=spdf-5f306965-b479-4f7b-ab43-493266947446&amp;sid=4d61d6815ab9644751999ab7518a607cb6e8gxrqb&amp;type=client&amp;tsoh=d3d3LXNjaWVuY2VkaXJlY3QtY29tLnV3dHNkLmlkbS5vY2xjLm9yZw%3D%3D&amp;rh=d3d3LXNjaWVuY2VkaXJlY3QtY29tLnV3dHNkLmlkbS5vY2xjLm9yZw%3D%3D&amp;ua=080b065155535256515d&amp;rr=a2765862b87d1229&amp;cc=nl&amp;kca=eyJrZXkiOiJQa2c1clN2ZmYvMmIvQi83WEpsVjlZSHE5dk9McGY1S040bEV4RUU5eStaTzFNd3BaU25YWWUxOUwvTXFLbDBtZVJST0ZlVk8ySHVMd3o5Wnl0NW0vWjVuUDRodkpzWnF5aGM2UlkyVG5aS1dnZ0VpamVYK1BGa21jYUljZGxJaW50N1RwVnM4YndneFRiRW9jc1dQZ1g5NzBaK2lydVJCUEZYOEZZRW9FRWFSTW5YY1FRPT0iLCJpdiI6Ijc2MzBiYmZmOTQ0YjU2Y2U1YzE2MDUxNDE5ZTRlM2UxIn0=_1786106387332" TargetMode="External"/><Relationship Id="rId19" Type="http://schemas.openxmlformats.org/officeDocument/2006/relationships/hyperlink" Target="https://www.nationaltrust.org.uk/visit/wales/dinefwr/parkland-at-dinefwr" TargetMode="External"/><Relationship Id="rId4" Type="http://schemas.openxmlformats.org/officeDocument/2006/relationships/webSettings" Target="webSettings.xml"/><Relationship Id="rId9" Type="http://schemas.openxmlformats.org/officeDocument/2006/relationships/hyperlink" Target="https://besjournals.onlinelibrary.wiley.com/doi/epdf/10.1002/2688-8319.12128" TargetMode="External"/><Relationship Id="rId14" Type="http://schemas.openxmlformats.org/officeDocument/2006/relationships/hyperlink" Target="https://pdf.sciencedirectassets.com/272402/1-s2.0-S0272494424X0002X/1-s2.0-S027249442400029X/main.pdf?X-Amz-Security-Token=IQoJb3JpZ2luX2VjEIz%2F%2F%2F%2F%2F%2F%2F%2F%2F%2FwEaCXVzLWVhc3QtMSJHMEUCIB8%2FKc1gRtwW2D8WpbvGn7I1LiI1YVaOVVdDX7fLbbeQAiEAksKef7K8ax08bZ3BsydvJUJEAPpuTzkxZi1Se6hmKe4qswUIVRAFGgwwNTkwMDM1NDY4NjUiDPcLaQlKqhiT0%2FTMJSqQBRunuNT4fOHz8wacT0mZSUA0sbkDSYcdLCrF6kgrtgpOPDSwAPrIFOpjtEtpo%2FSNztcywbPTFM6fAe1z2%2BTN0wB5ts%2FTnrpnBBSpVWB30Vx1KLI%2FyqXiU7BR4m8byB6190zpKBbRc8s3giSRK%2FuYFozbvCOBb%2FidoYEXAgrj5zeW3hGccn0TAnrHvpdMzLarqCKWiiQlB7%2FhSSSd8ABJ5Ky0Dn0%2BAD31eRUMNT6alDvePP%2FilemZ2UrY5Z1%2BEKK4DR%2F21ERw1blUS7VvDmA5Fa2F3cj2iYt0DRi3uD3sKQfaDyMr16ZZdlCCGnsHKOPG2T9ogkYLu5R%2FcP3pcbDPBaZFoV0JDz7g%2FoxA6AIhARq0dQcYmhIxSZivnRSp%2BtoA1vw4kVc8UcGWJe4UjkT%2BZSKd52eOE%2BFDJXPrA3AjWhdO%2BSWQLalokgrq085oDJ18pNDTPcWgZnj6lHjzud80nb3XXgSKAm%2Fs4qK%2FjYeMYVFuAzaM5lD1nMcj6u5D9XDm0UHmG9CBF%2BXVlq00LJ%2BOmxciOy%2B5VQ6JIAz7ybu6kfSHAtyg5H4E3oa8AmW3FDyHTnpCB1lRq3WeeUnk2UotEK3KI3f0iACZHWVky%2BVU4ZyIg2I%2BvA5C87Jwcd6v0ZSftBv1TD26ZXCzzvOBcW4%2Fj1uwoueyCZC9AbnQSFX2G%2FYCPAemTtLJ%2BAKBSqTrvEKqKWyIWB4bef17b%2FROVIdqJEkfr%2FpUVHPrr6gcmbnfGJk5ApXR0y6O4PrX2ik78lDwHfvnhERD7uUoeeXuoK%2FFigPrfnu6JiXKzhEUDgQyj8uJae0x%2B6o8NIE1bsIvfuisoK2O3rSK%2BGYPjxPySYui%2FMsY5ibrGtIYSUPWW0EuDwg6MJGR19MGOrEB4Bx6iz%2Fiir%2FziBrnHEZhds0V12rdzOsuj1%2BXEi3AbTt2GwM8u6eYqV%2Bk%2FZPYBLX0sLp%2FRH8bejkjlf%2FCI31TNBpM99u7eV7XBvuvEX0uYDigq9gGyXf6t8XB7KkKxPjr0zcGU8ClhxbnsNHw6ackLOB8QvLeaBqV7Z1CHqPYOKVndNyRE0tFWF%2BQ3xvnsjKKJwoZPCUMf4uyJQYKTamuBrclBWbmskDoSS0l0tQfFr%2B%2F&amp;X-Amz-Algorithm=AWS4-HMAC-SHA256&amp;X-Amz-Date=20260807T124304Z&amp;X-Amz-SignedHeaders=host&amp;X-Amz-Expires=300&amp;X-Amz-Credential=ASIAQ3PHCVTY4AGLKIKJ%2F20260807%2Fus-east-1%2Fs3%2Faws4_request&amp;X-Amz-Signature=b077849af8377cff70fe4b4ba3d7f891730c94e15a632ea674f9c5116af0fa45&amp;hash=f6d6e7119865422ba98bd6cdb46473408d6a70053e1cf8abc29693f29c80d0fd&amp;host=68042c943591013ac2b2430a89b270f6af2c76d8dfd086a07176afe7c76c2c61&amp;pii=S027249442400029X&amp;tid=spdf-0fabae42-a431-451a-9b35-6ea47222f786&amp;sid=4d61d6815ab9644751999ab7518a607cb6e8gxrqb&amp;type=client&amp;tsoh=d3d3LXNjaWVuY2VkaXJlY3QtY29tLnV3dHNkLmlkbS5vY2xjLm9yZw%3D%3D&amp;rh=d3d3LXNjaWVuY2VkaXJlY3QtY29tLnV3dHNkLmlkbS5vY2xjLm9yZw%3D%3D&amp;ua=080b06515553520a5159&amp;rr=a2765d66aeca66fd&amp;cc=nl" TargetMode="External"/><Relationship Id="rId22" Type="http://schemas.openxmlformats.org/officeDocument/2006/relationships/hyperlink" Target="https://doi.org/10.1016/j.biocon.2020.1085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2A2D3C-DB9B-4E47-99DE-D9E6BED0FF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12</Pages>
  <Words>4778</Words>
  <Characters>27236</Characters>
  <Application>Microsoft Office Word</Application>
  <DocSecurity>0</DocSecurity>
  <Lines>226</Lines>
  <Paragraphs>63</Paragraphs>
  <ScaleCrop>false</ScaleCrop>
  <Company/>
  <LinksUpToDate>false</LinksUpToDate>
  <CharactersWithSpaces>31951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Ellis-Anthony Willis (2304969)</dc:creator>
  <cp:keywords/>
  <dc:description/>
  <cp:lastModifiedBy>Ellis-Anthony Willis (2304969)</cp:lastModifiedBy>
  <cp:revision>3</cp:revision>
  <cp:lastPrinted>2026-08-07T13:03:00Z</cp:lastPrinted>
  <dcterms:created xsi:type="dcterms:W3CDTF">2026-08-07T13:05:00Z</dcterms:created>
  <dcterms:modified xsi:type="dcterms:W3CDTF">2026-08-07T13:07:00Z</dcterms:modified>
</cp:coreProperties>
</file>