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752F" w:rsidRDefault="0068752F" w:rsidP="0068752F">
      <w:pPr>
        <w:jc w:val="center"/>
        <w:rPr>
          <w:sz w:val="32"/>
          <w:szCs w:val="32"/>
        </w:rPr>
      </w:pPr>
      <w:r w:rsidRPr="0068752F">
        <w:rPr>
          <w:sz w:val="32"/>
          <w:szCs w:val="32"/>
        </w:rPr>
        <w:t>Oil as a commodity or gift, exploring the interconnectivity within the Bronze Age eastern Mediterranean</w:t>
      </w:r>
    </w:p>
    <w:p w:rsidR="0068752F" w:rsidRDefault="0068752F" w:rsidP="0068752F">
      <w:pPr>
        <w:jc w:val="center"/>
        <w:rPr>
          <w:sz w:val="32"/>
          <w:szCs w:val="32"/>
        </w:rPr>
      </w:pPr>
    </w:p>
    <w:p w:rsidR="0068752F" w:rsidRDefault="0068752F" w:rsidP="0068752F">
      <w:pPr>
        <w:jc w:val="center"/>
      </w:pPr>
      <w:proofErr w:type="spellStart"/>
      <w:r>
        <w:t>Mandiza</w:t>
      </w:r>
      <w:proofErr w:type="spellEnd"/>
      <w:r>
        <w:t xml:space="preserve"> </w:t>
      </w:r>
      <w:proofErr w:type="spellStart"/>
      <w:r>
        <w:t>Landsmeer</w:t>
      </w:r>
      <w:proofErr w:type="spellEnd"/>
    </w:p>
    <w:p w:rsidR="0068752F" w:rsidRDefault="0068752F" w:rsidP="0068752F">
      <w:pPr>
        <w:jc w:val="center"/>
      </w:pPr>
    </w:p>
    <w:p w:rsidR="0068752F" w:rsidRDefault="0068752F" w:rsidP="0068752F">
      <w:pPr>
        <w:jc w:val="center"/>
      </w:pPr>
    </w:p>
    <w:p w:rsidR="0068752F" w:rsidRDefault="0068752F" w:rsidP="0068752F">
      <w:pPr>
        <w:jc w:val="center"/>
      </w:pPr>
    </w:p>
    <w:p w:rsidR="0068752F" w:rsidRDefault="0068752F" w:rsidP="0068752F">
      <w:pPr>
        <w:jc w:val="center"/>
      </w:pPr>
    </w:p>
    <w:p w:rsidR="0068752F" w:rsidRPr="0068752F" w:rsidRDefault="0068752F" w:rsidP="0068752F">
      <w:pPr>
        <w:jc w:val="center"/>
        <w:rPr>
          <w:sz w:val="28"/>
          <w:szCs w:val="28"/>
        </w:rPr>
      </w:pPr>
    </w:p>
    <w:p w:rsidR="0068752F" w:rsidRPr="0068752F" w:rsidRDefault="0068752F" w:rsidP="0068752F">
      <w:pPr>
        <w:jc w:val="center"/>
        <w:rPr>
          <w:sz w:val="28"/>
          <w:szCs w:val="28"/>
        </w:rPr>
      </w:pPr>
      <w:r w:rsidRPr="0068752F">
        <w:rPr>
          <w:sz w:val="28"/>
          <w:szCs w:val="28"/>
        </w:rPr>
        <w:t>AHAR5005</w:t>
      </w:r>
    </w:p>
    <w:p w:rsidR="0068752F" w:rsidRPr="0068752F" w:rsidRDefault="0068752F" w:rsidP="0068752F">
      <w:pPr>
        <w:jc w:val="center"/>
        <w:rPr>
          <w:sz w:val="28"/>
          <w:szCs w:val="28"/>
        </w:rPr>
      </w:pPr>
      <w:r w:rsidRPr="0068752F">
        <w:rPr>
          <w:sz w:val="28"/>
          <w:szCs w:val="28"/>
        </w:rPr>
        <w:t>Connected Worlds: Exploring Interactions between Egypt, the Aegean and the East</w:t>
      </w: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p>
    <w:p w:rsidR="00CB7544" w:rsidRDefault="00CB7544" w:rsidP="00527A9C">
      <w:pPr>
        <w:jc w:val="center"/>
        <w:rPr>
          <w:sz w:val="24"/>
          <w:szCs w:val="24"/>
        </w:rPr>
      </w:pPr>
      <w:r>
        <w:rPr>
          <w:sz w:val="24"/>
          <w:szCs w:val="24"/>
        </w:rPr>
        <w:lastRenderedPageBreak/>
        <w:t>Contents and Outline</w:t>
      </w:r>
    </w:p>
    <w:p w:rsidR="00CB7544" w:rsidRDefault="00CB7544" w:rsidP="00527A9C">
      <w:pPr>
        <w:jc w:val="center"/>
        <w:rPr>
          <w:sz w:val="24"/>
          <w:szCs w:val="24"/>
        </w:rPr>
      </w:pPr>
    </w:p>
    <w:p w:rsidR="0076111C" w:rsidRDefault="0076111C" w:rsidP="00527A9C">
      <w:pPr>
        <w:jc w:val="center"/>
        <w:rPr>
          <w:sz w:val="24"/>
          <w:szCs w:val="24"/>
        </w:rPr>
      </w:pPr>
    </w:p>
    <w:p w:rsidR="0076111C" w:rsidRDefault="0076111C" w:rsidP="00527A9C">
      <w:pPr>
        <w:jc w:val="center"/>
        <w:rPr>
          <w:sz w:val="24"/>
          <w:szCs w:val="24"/>
        </w:rPr>
      </w:pPr>
    </w:p>
    <w:p w:rsidR="00CB7544" w:rsidRDefault="00CB7544" w:rsidP="00CB7544">
      <w:pPr>
        <w:pStyle w:val="Listenabsatz"/>
        <w:numPr>
          <w:ilvl w:val="0"/>
          <w:numId w:val="2"/>
        </w:numPr>
        <w:rPr>
          <w:sz w:val="24"/>
          <w:szCs w:val="24"/>
        </w:rPr>
      </w:pPr>
      <w:r w:rsidRPr="00CB7544">
        <w:rPr>
          <w:sz w:val="24"/>
          <w:szCs w:val="24"/>
        </w:rPr>
        <w:t>Introducing trading patterns, oil-based products and exchange vessels frequently used for their transport</w:t>
      </w:r>
      <w:r>
        <w:rPr>
          <w:sz w:val="24"/>
          <w:szCs w:val="24"/>
        </w:rPr>
        <w:t xml:space="preserve"> </w:t>
      </w:r>
      <w:r w:rsidR="00805712">
        <w:rPr>
          <w:sz w:val="24"/>
          <w:szCs w:val="24"/>
        </w:rPr>
        <w:t xml:space="preserve"> </w:t>
      </w:r>
    </w:p>
    <w:p w:rsidR="007C7899" w:rsidRPr="00CB7544" w:rsidRDefault="007C7899" w:rsidP="007C7899">
      <w:pPr>
        <w:pStyle w:val="Listenabsatz"/>
        <w:rPr>
          <w:sz w:val="24"/>
          <w:szCs w:val="24"/>
        </w:rPr>
      </w:pPr>
    </w:p>
    <w:p w:rsidR="007C7899" w:rsidRDefault="007C7899" w:rsidP="007C7899">
      <w:pPr>
        <w:pStyle w:val="Listenabsatz"/>
        <w:numPr>
          <w:ilvl w:val="0"/>
          <w:numId w:val="2"/>
        </w:numPr>
        <w:rPr>
          <w:sz w:val="24"/>
          <w:szCs w:val="24"/>
        </w:rPr>
      </w:pPr>
      <w:r w:rsidRPr="007C7899">
        <w:rPr>
          <w:sz w:val="24"/>
          <w:szCs w:val="24"/>
        </w:rPr>
        <w:t>Presenting different views on the theories of gift exchange and commodity trade</w:t>
      </w:r>
    </w:p>
    <w:p w:rsidR="0076111C" w:rsidRPr="0076111C" w:rsidRDefault="0076111C" w:rsidP="0076111C">
      <w:pPr>
        <w:pStyle w:val="Listenabsatz"/>
        <w:rPr>
          <w:sz w:val="24"/>
          <w:szCs w:val="24"/>
        </w:rPr>
      </w:pPr>
    </w:p>
    <w:p w:rsidR="0076111C" w:rsidRPr="0076111C" w:rsidRDefault="0076111C" w:rsidP="0076111C">
      <w:pPr>
        <w:pStyle w:val="Listenabsatz"/>
        <w:rPr>
          <w:sz w:val="24"/>
          <w:szCs w:val="24"/>
        </w:rPr>
      </w:pPr>
    </w:p>
    <w:p w:rsidR="00CB7544" w:rsidRDefault="00714FB1" w:rsidP="00CB7544">
      <w:pPr>
        <w:pStyle w:val="Listenabsatz"/>
        <w:numPr>
          <w:ilvl w:val="0"/>
          <w:numId w:val="2"/>
        </w:numPr>
        <w:rPr>
          <w:sz w:val="24"/>
          <w:szCs w:val="24"/>
        </w:rPr>
      </w:pPr>
      <w:r w:rsidRPr="00714FB1">
        <w:rPr>
          <w:sz w:val="24"/>
          <w:szCs w:val="24"/>
        </w:rPr>
        <w:t>Presentation of Primary source material in chart and table chart form</w:t>
      </w:r>
    </w:p>
    <w:p w:rsidR="00990D39" w:rsidRPr="00A36FCD" w:rsidRDefault="00990D39" w:rsidP="00990D39">
      <w:pPr>
        <w:pStyle w:val="Listenabsatz"/>
        <w:rPr>
          <w:sz w:val="24"/>
          <w:szCs w:val="24"/>
        </w:rPr>
      </w:pPr>
    </w:p>
    <w:p w:rsidR="00A36FCD" w:rsidRDefault="00A36FCD" w:rsidP="00A36FCD">
      <w:pPr>
        <w:pStyle w:val="Listenabsatz"/>
        <w:numPr>
          <w:ilvl w:val="0"/>
          <w:numId w:val="2"/>
        </w:numPr>
        <w:rPr>
          <w:sz w:val="24"/>
          <w:szCs w:val="24"/>
        </w:rPr>
      </w:pPr>
      <w:r w:rsidRPr="00A36FCD">
        <w:rPr>
          <w:sz w:val="24"/>
          <w:szCs w:val="24"/>
        </w:rPr>
        <w:t>Evaluating the primary data and relating the evidence</w:t>
      </w:r>
    </w:p>
    <w:p w:rsidR="0076111C" w:rsidRPr="0076111C" w:rsidRDefault="0076111C" w:rsidP="0076111C">
      <w:pPr>
        <w:pStyle w:val="Listenabsatz"/>
        <w:rPr>
          <w:sz w:val="24"/>
          <w:szCs w:val="24"/>
        </w:rPr>
      </w:pPr>
    </w:p>
    <w:p w:rsidR="0076111C" w:rsidRPr="0076111C" w:rsidRDefault="0076111C" w:rsidP="0076111C">
      <w:pPr>
        <w:pStyle w:val="Listenabsatz"/>
        <w:numPr>
          <w:ilvl w:val="0"/>
          <w:numId w:val="2"/>
        </w:numPr>
      </w:pPr>
      <w:r w:rsidRPr="0076111C">
        <w:rPr>
          <w:sz w:val="24"/>
          <w:szCs w:val="24"/>
        </w:rPr>
        <w:t>Concluding thoughts on the significance of oil trade within the Bronze Age Mediterranean regarding Interconnectivity</w:t>
      </w:r>
    </w:p>
    <w:p w:rsidR="0076111C" w:rsidRDefault="0076111C" w:rsidP="0076111C">
      <w:pPr>
        <w:pStyle w:val="Listenabsatz"/>
        <w:rPr>
          <w:sz w:val="24"/>
          <w:szCs w:val="24"/>
        </w:rPr>
      </w:pPr>
    </w:p>
    <w:p w:rsidR="0076111C" w:rsidRDefault="0076111C" w:rsidP="0076111C">
      <w:pPr>
        <w:pStyle w:val="Listenabsatz"/>
        <w:numPr>
          <w:ilvl w:val="0"/>
          <w:numId w:val="2"/>
        </w:numPr>
        <w:rPr>
          <w:sz w:val="24"/>
          <w:szCs w:val="24"/>
        </w:rPr>
      </w:pPr>
      <w:r>
        <w:rPr>
          <w:sz w:val="24"/>
          <w:szCs w:val="24"/>
        </w:rPr>
        <w:t xml:space="preserve">References </w:t>
      </w:r>
    </w:p>
    <w:p w:rsidR="0076111C" w:rsidRPr="0076111C" w:rsidRDefault="0076111C" w:rsidP="0076111C">
      <w:pPr>
        <w:pStyle w:val="Listenabsatz"/>
        <w:rPr>
          <w:sz w:val="24"/>
          <w:szCs w:val="24"/>
        </w:rPr>
      </w:pPr>
    </w:p>
    <w:p w:rsidR="0076111C" w:rsidRPr="0076111C" w:rsidRDefault="0076111C" w:rsidP="0076111C">
      <w:pPr>
        <w:rPr>
          <w:sz w:val="24"/>
          <w:szCs w:val="24"/>
        </w:rPr>
      </w:pPr>
    </w:p>
    <w:p w:rsidR="00714FB1" w:rsidRDefault="00714FB1" w:rsidP="00714FB1">
      <w:pPr>
        <w:pStyle w:val="Listenabsatz"/>
      </w:pPr>
    </w:p>
    <w:p w:rsidR="00714FB1" w:rsidRPr="00714FB1" w:rsidRDefault="00714FB1" w:rsidP="00714FB1"/>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68752F" w:rsidRDefault="0068752F" w:rsidP="00527A9C">
      <w:pPr>
        <w:jc w:val="center"/>
        <w:rPr>
          <w:sz w:val="24"/>
          <w:szCs w:val="24"/>
        </w:rPr>
      </w:pPr>
    </w:p>
    <w:p w:rsidR="00527A9C" w:rsidRPr="007C7899" w:rsidRDefault="00CB7544" w:rsidP="00D519C0">
      <w:pPr>
        <w:jc w:val="center"/>
        <w:rPr>
          <w:b/>
          <w:sz w:val="24"/>
          <w:szCs w:val="24"/>
          <w:u w:val="single"/>
        </w:rPr>
      </w:pPr>
      <w:r w:rsidRPr="007C7899">
        <w:rPr>
          <w:b/>
          <w:sz w:val="24"/>
          <w:szCs w:val="24"/>
          <w:u w:val="single"/>
        </w:rPr>
        <w:lastRenderedPageBreak/>
        <w:t>Introducing trading patterns, oil-based products and exchange vessels frequently used for their transport</w:t>
      </w:r>
    </w:p>
    <w:p w:rsidR="00527A9C" w:rsidRDefault="00527A9C" w:rsidP="00527A9C"/>
    <w:p w:rsidR="006E1FA9" w:rsidRDefault="006E1FA9" w:rsidP="00527A9C">
      <w:r>
        <w:t>“The production, transport and consumption of (…)</w:t>
      </w:r>
      <w:r w:rsidR="00F9217A">
        <w:t xml:space="preserve"> </w:t>
      </w:r>
      <w:r>
        <w:t xml:space="preserve">bulk organic products is the unifying theme of the movement of goods and people throughout the Mediterranean…” (Knapp and </w:t>
      </w:r>
      <w:proofErr w:type="spellStart"/>
      <w:r>
        <w:t>Demesticha</w:t>
      </w:r>
      <w:proofErr w:type="spellEnd"/>
      <w:r>
        <w:t xml:space="preserve"> 2016).</w:t>
      </w:r>
    </w:p>
    <w:p w:rsidR="0062486A" w:rsidRDefault="008E2C18" w:rsidP="00527A9C">
      <w:r>
        <w:t>Exploring the nature of oil exchange within the Eastern Mediterranean, evaluating both commodity and gift excha</w:t>
      </w:r>
      <w:bookmarkStart w:id="0" w:name="_GoBack"/>
      <w:bookmarkEnd w:id="0"/>
      <w:r>
        <w:t>nge in that respect, while determining the extend in which oil contrib</w:t>
      </w:r>
      <w:r w:rsidR="00402B21">
        <w:t>uted</w:t>
      </w:r>
      <w:r>
        <w:t xml:space="preserve"> to the interconnectivity of the whole of the</w:t>
      </w:r>
      <w:r w:rsidR="00402B21">
        <w:t xml:space="preserve"> Bronze age, particularly the second millennium B.C., </w:t>
      </w:r>
      <w:r>
        <w:t xml:space="preserve"> Mediterranean, will </w:t>
      </w:r>
      <w:r w:rsidRPr="00DF2ADD">
        <w:t>be the aim and objective</w:t>
      </w:r>
      <w:r>
        <w:t xml:space="preserve"> of this report. In order to achieve set objective, I will take a look at the different theories and definitions of both commodity and gift exchange, </w:t>
      </w:r>
      <w:r w:rsidR="00402B21">
        <w:t xml:space="preserve">followed by a </w:t>
      </w:r>
      <w:r>
        <w:t>data collection</w:t>
      </w:r>
      <w:r w:rsidR="00402B21">
        <w:t xml:space="preserve"> of oil</w:t>
      </w:r>
      <w:r w:rsidR="00A1357C">
        <w:t>-based products being mentioned in textual sources and represented by ceramic</w:t>
      </w:r>
      <w:r w:rsidR="00402B21">
        <w:t xml:space="preserve"> material culture</w:t>
      </w:r>
      <w:r w:rsidR="00A1357C">
        <w:t>, as well as taking a look at the overall distribution of manufactured objects within the Eastern Mediterranean.</w:t>
      </w:r>
      <w:r w:rsidR="00402B21">
        <w:t xml:space="preserve"> Subsequently an</w:t>
      </w:r>
      <w:r>
        <w:t xml:space="preserve"> analysis</w:t>
      </w:r>
      <w:r w:rsidR="00402B21">
        <w:t xml:space="preserve"> follows</w:t>
      </w:r>
      <w:r>
        <w:t>, applying set theories to set data</w:t>
      </w:r>
      <w:r w:rsidR="00A1357C">
        <w:t xml:space="preserve"> in order to determine the significance of oil for</w:t>
      </w:r>
      <w:r>
        <w:t xml:space="preserve"> the continuous interconnectivi</w:t>
      </w:r>
      <w:r w:rsidR="00A1357C">
        <w:t xml:space="preserve">ty in </w:t>
      </w:r>
      <w:r w:rsidR="00402B21">
        <w:t>the eastern Mediterranean</w:t>
      </w:r>
      <w:r w:rsidR="00A1357C">
        <w:t xml:space="preserve"> during the</w:t>
      </w:r>
      <w:r w:rsidR="00402B21">
        <w:t xml:space="preserve"> Bronze Age.</w:t>
      </w:r>
      <w:r w:rsidR="00DF2ADD">
        <w:t xml:space="preserve"> </w:t>
      </w:r>
    </w:p>
    <w:p w:rsidR="00F9217A" w:rsidRDefault="0062486A" w:rsidP="00527A9C">
      <w:r>
        <w:t xml:space="preserve"> It</w:t>
      </w:r>
      <w:r w:rsidR="00F9217A">
        <w:t xml:space="preserve"> is essential to understand that the Bronze Age</w:t>
      </w:r>
      <w:r w:rsidR="00B80491">
        <w:t xml:space="preserve"> differs from r</w:t>
      </w:r>
      <w:r w:rsidR="00DF4940">
        <w:t>egion to region, with the overall</w:t>
      </w:r>
      <w:r w:rsidR="00B80491">
        <w:t xml:space="preserve"> Bronze Age </w:t>
      </w:r>
      <w:r w:rsidR="00DF4940">
        <w:t>in the Mediterranean spanning approximately from ca. 3300 B.C. to</w:t>
      </w:r>
      <w:r w:rsidR="00861669">
        <w:t xml:space="preserve"> 1100 B.C., while </w:t>
      </w:r>
      <w:r w:rsidR="00DF4940">
        <w:t>it should be mentioned that the approximate dates</w:t>
      </w:r>
      <w:r w:rsidR="00861669">
        <w:t xml:space="preserve"> for each different region in the eastern Medite</w:t>
      </w:r>
      <w:r w:rsidR="00A1357C">
        <w:t>rranean</w:t>
      </w:r>
      <w:r w:rsidR="00DF4940">
        <w:t xml:space="preserve"> differ slightly, with </w:t>
      </w:r>
      <w:r w:rsidR="00861669">
        <w:t xml:space="preserve">Cyprus </w:t>
      </w:r>
      <w:r w:rsidR="00DF4940">
        <w:t xml:space="preserve">experiencing its’ Bronze Age from ca.2500 to </w:t>
      </w:r>
      <w:r w:rsidR="00861669">
        <w:t xml:space="preserve">1100 B.C (Ancient History Encyclopaedia, Bronze Age timeline). </w:t>
      </w:r>
    </w:p>
    <w:p w:rsidR="00527A9C" w:rsidRDefault="003756E5" w:rsidP="00527A9C">
      <w:r>
        <w:t>When looking at the</w:t>
      </w:r>
      <w:r w:rsidR="00A1357C">
        <w:t xml:space="preserve"> overall trading patterns within</w:t>
      </w:r>
      <w:r>
        <w:t xml:space="preserve"> the eastern Mediterranean</w:t>
      </w:r>
      <w:r w:rsidR="00A1357C">
        <w:t xml:space="preserve"> during the</w:t>
      </w:r>
      <w:r>
        <w:t xml:space="preserve"> Bronze Age, Cline (2009.27) mentions that</w:t>
      </w:r>
      <w:r w:rsidR="00527A9C">
        <w:t xml:space="preserve"> particularly small o</w:t>
      </w:r>
      <w:r>
        <w:t>bjects resembled</w:t>
      </w:r>
      <w:r w:rsidR="00527A9C">
        <w:t xml:space="preserve"> the bulk of manufactured objec</w:t>
      </w:r>
      <w:r w:rsidR="00597B66">
        <w:t>t-trade</w:t>
      </w:r>
      <w:r w:rsidR="00527A9C">
        <w:t>, between the Aegean and Mesopotamia, as well as vice versa. The main focus</w:t>
      </w:r>
      <w:r>
        <w:t xml:space="preserve"> of exchange</w:t>
      </w:r>
      <w:r w:rsidR="00527A9C">
        <w:t xml:space="preserve"> however were raw produ</w:t>
      </w:r>
      <w:r>
        <w:t>cts, a category both well suited for oil, but also not</w:t>
      </w:r>
      <w:r w:rsidR="00527A9C">
        <w:t xml:space="preserve">, </w:t>
      </w:r>
      <w:r>
        <w:t>given that oil</w:t>
      </w:r>
      <w:r w:rsidR="00943130">
        <w:t xml:space="preserve"> is always transported and kept in a vessel, which was</w:t>
      </w:r>
      <w:r w:rsidR="00527A9C">
        <w:t xml:space="preserve"> often just as signif</w:t>
      </w:r>
      <w:r w:rsidR="00943130">
        <w:t>icant as the product it contained</w:t>
      </w:r>
      <w:r w:rsidR="00CF17B3">
        <w:t xml:space="preserve"> (</w:t>
      </w:r>
      <w:proofErr w:type="spellStart"/>
      <w:r w:rsidR="00CF17B3">
        <w:t>Wengrow</w:t>
      </w:r>
      <w:proofErr w:type="spellEnd"/>
      <w:r w:rsidR="00CF17B3">
        <w:t xml:space="preserve"> 2008:8</w:t>
      </w:r>
      <w:r w:rsidR="00527A9C">
        <w:t>).</w:t>
      </w:r>
    </w:p>
    <w:p w:rsidR="00527A9C" w:rsidRDefault="00AD5F2F" w:rsidP="00527A9C">
      <w:r>
        <w:t>Especially literary sources show that an important Bronze Age trade route, also for the exchange of</w:t>
      </w:r>
      <w:r w:rsidR="00527A9C">
        <w:t xml:space="preserve"> oil</w:t>
      </w:r>
      <w:r>
        <w:t xml:space="preserve">, reached </w:t>
      </w:r>
      <w:r w:rsidR="00527A9C">
        <w:t>from Minoan Crete to Mesopotamia, with a</w:t>
      </w:r>
      <w:r>
        <w:t>nother</w:t>
      </w:r>
      <w:r w:rsidR="00527A9C">
        <w:t xml:space="preserve"> major t</w:t>
      </w:r>
      <w:r>
        <w:t>rade route having been laid out from</w:t>
      </w:r>
      <w:r w:rsidR="00BA7B9C">
        <w:t xml:space="preserve"> Babylon over Mari and </w:t>
      </w:r>
      <w:r w:rsidR="00527A9C">
        <w:t>Ugarit u</w:t>
      </w:r>
      <w:r w:rsidR="00BA7B9C">
        <w:t>p to Crete</w:t>
      </w:r>
      <w:r w:rsidR="00A1357C">
        <w:t>, showing the significant distances the trade with oil could reach</w:t>
      </w:r>
      <w:r w:rsidR="00527A9C">
        <w:t xml:space="preserve"> (Cline 2009:27).</w:t>
      </w:r>
    </w:p>
    <w:p w:rsidR="005B6031" w:rsidRDefault="00527A9C" w:rsidP="00527A9C">
      <w:r>
        <w:t>When exploring the nature of oil exchange within the Bronze Age Mediterranean, ce</w:t>
      </w:r>
      <w:r w:rsidR="00EB62EA">
        <w:t>rtain problems arise;</w:t>
      </w:r>
      <w:r>
        <w:t xml:space="preserve"> oil cannot be transported by itself but always req</w:t>
      </w:r>
      <w:r w:rsidR="00EB62EA">
        <w:t>uires</w:t>
      </w:r>
      <w:r w:rsidR="004D32DF">
        <w:t xml:space="preserve"> a container,</w:t>
      </w:r>
      <w:r w:rsidR="00EB62EA">
        <w:t xml:space="preserve"> which makes it</w:t>
      </w:r>
      <w:r w:rsidR="009A0126">
        <w:t xml:space="preserve"> not alw</w:t>
      </w:r>
      <w:r w:rsidR="005B6031">
        <w:t>a</w:t>
      </w:r>
      <w:r w:rsidR="009A0126">
        <w:t>ys</w:t>
      </w:r>
      <w:r w:rsidR="00EB62EA">
        <w:t xml:space="preserve"> clear</w:t>
      </w:r>
      <w:r w:rsidR="009A0126">
        <w:t xml:space="preserve"> what so</w:t>
      </w:r>
      <w:r w:rsidR="00EB62EA">
        <w:t>rt of liquid was transported</w:t>
      </w:r>
      <w:r w:rsidR="009A0126">
        <w:t xml:space="preserve">, if it was reused for a different function and even if the oil itself was the primary focus of the trade, or rather the </w:t>
      </w:r>
      <w:r w:rsidR="005B6031">
        <w:t>possibly prestige vessel containing it</w:t>
      </w:r>
      <w:r w:rsidR="00C41DEF">
        <w:t xml:space="preserve"> (</w:t>
      </w:r>
      <w:proofErr w:type="spellStart"/>
      <w:r w:rsidR="00C41DEF">
        <w:t>Wengrow</w:t>
      </w:r>
      <w:proofErr w:type="spellEnd"/>
      <w:r w:rsidR="00C41DEF">
        <w:t xml:space="preserve"> 2008: 10</w:t>
      </w:r>
      <w:r w:rsidR="00EB62EA">
        <w:t>)</w:t>
      </w:r>
      <w:r w:rsidR="005B6031">
        <w:t xml:space="preserve">. An example for this would have been the </w:t>
      </w:r>
      <w:proofErr w:type="spellStart"/>
      <w:r w:rsidR="005B6031">
        <w:t>Koroni</w:t>
      </w:r>
      <w:proofErr w:type="spellEnd"/>
      <w:r w:rsidR="005B6031">
        <w:t xml:space="preserve"> storage jar, allegedly often used for carrying Olive oil, but also currants (Knapp an</w:t>
      </w:r>
      <w:r w:rsidR="00EB62EA">
        <w:t xml:space="preserve">d </w:t>
      </w:r>
      <w:proofErr w:type="spellStart"/>
      <w:r w:rsidR="00EB62EA">
        <w:t>Demesticha</w:t>
      </w:r>
      <w:proofErr w:type="spellEnd"/>
      <w:r w:rsidR="00EB62EA">
        <w:t xml:space="preserve"> 2016), which makes it indispensable to carry out a chemical analysis for </w:t>
      </w:r>
      <w:r w:rsidR="005B6031">
        <w:t>any possibly residu</w:t>
      </w:r>
      <w:r w:rsidR="00EB62EA">
        <w:t xml:space="preserve">e within the vessel. </w:t>
      </w:r>
      <w:r w:rsidR="006E1FA9">
        <w:t>Further, archaeologists from different regions use different ter</w:t>
      </w:r>
      <w:r w:rsidR="00EB62EA">
        <w:t>minology for the same types</w:t>
      </w:r>
      <w:r w:rsidR="006E1FA9">
        <w:t xml:space="preserve"> of pottery, making the </w:t>
      </w:r>
      <w:r w:rsidR="00EB62EA">
        <w:t xml:space="preserve">classification of any ceramic vessel </w:t>
      </w:r>
      <w:r w:rsidR="006E1FA9">
        <w:t xml:space="preserve">more complicated (Knapp and </w:t>
      </w:r>
      <w:proofErr w:type="spellStart"/>
      <w:r w:rsidR="006E1FA9">
        <w:t>Demesticha</w:t>
      </w:r>
      <w:proofErr w:type="spellEnd"/>
      <w:r w:rsidR="006E1FA9">
        <w:t xml:space="preserve"> 2016).</w:t>
      </w:r>
      <w:r w:rsidR="00C34E65">
        <w:t xml:space="preserve"> Inscriptions on storage jars such as stirrup jars found in the Aegean would only name their co</w:t>
      </w:r>
      <w:r w:rsidR="00A1357C">
        <w:t>ntents and sometimes their region</w:t>
      </w:r>
      <w:r w:rsidR="00C34E65">
        <w:t xml:space="preserve"> of origin, but not the vessels destination (Knapp and </w:t>
      </w:r>
      <w:proofErr w:type="spellStart"/>
      <w:r w:rsidR="00C34E65">
        <w:t>Demesticha</w:t>
      </w:r>
      <w:proofErr w:type="spellEnd"/>
      <w:r w:rsidR="00C34E65">
        <w:t xml:space="preserve"> 2016). </w:t>
      </w:r>
    </w:p>
    <w:p w:rsidR="00A1357C" w:rsidRDefault="00FF7076" w:rsidP="00527A9C">
      <w:r>
        <w:t xml:space="preserve">Different </w:t>
      </w:r>
      <w:r w:rsidR="00FE2103">
        <w:t>oil-based products</w:t>
      </w:r>
      <w:r w:rsidR="00A1357C">
        <w:t xml:space="preserve"> exchanged within the eastern Mediterranean</w:t>
      </w:r>
      <w:r w:rsidR="00FE2103">
        <w:t xml:space="preserve"> would have been unguents (Steel 2013:132), perfumed oils (Steel 2013:133</w:t>
      </w:r>
      <w:r w:rsidR="00A1357C">
        <w:t>),</w:t>
      </w:r>
      <w:r w:rsidR="00F5376F">
        <w:t xml:space="preserve"> oils</w:t>
      </w:r>
      <w:r w:rsidR="00A1357C">
        <w:t xml:space="preserve"> used</w:t>
      </w:r>
      <w:r w:rsidR="00F5376F">
        <w:t xml:space="preserve"> </w:t>
      </w:r>
      <w:r w:rsidR="00A1357C">
        <w:t xml:space="preserve">to anoint </w:t>
      </w:r>
      <w:r w:rsidR="00C12100">
        <w:t>g</w:t>
      </w:r>
      <w:r w:rsidR="00F5376F">
        <w:t xml:space="preserve">arments, </w:t>
      </w:r>
      <w:r w:rsidR="00A1357C">
        <w:t xml:space="preserve">as well as simple olive oil </w:t>
      </w:r>
      <w:r w:rsidR="00C12100">
        <w:t xml:space="preserve">being used in rituals </w:t>
      </w:r>
      <w:r w:rsidR="00F5376F">
        <w:t>and libations (</w:t>
      </w:r>
      <w:proofErr w:type="spellStart"/>
      <w:r w:rsidR="00C12100">
        <w:t>Hamilakis</w:t>
      </w:r>
      <w:proofErr w:type="spellEnd"/>
      <w:r w:rsidR="00C12100">
        <w:t xml:space="preserve"> 1996:19). </w:t>
      </w:r>
    </w:p>
    <w:p w:rsidR="005B6031" w:rsidRDefault="00C12100" w:rsidP="00527A9C">
      <w:r>
        <w:lastRenderedPageBreak/>
        <w:t>A</w:t>
      </w:r>
      <w:r w:rsidR="00FE2103">
        <w:t xml:space="preserve">ccording to Bevan (2007:146), oil was even celebrated in festivals. </w:t>
      </w:r>
      <w:r w:rsidR="00E210DB">
        <w:t xml:space="preserve">Being of so much value, olive oil had been plundered from docking ships by Egyptian soldiers when defeating the Hyksos at </w:t>
      </w:r>
      <w:proofErr w:type="spellStart"/>
      <w:r w:rsidR="00E210DB">
        <w:t>Avaris</w:t>
      </w:r>
      <w:proofErr w:type="spellEnd"/>
      <w:r w:rsidR="00944F2F">
        <w:t>, already indicating its desirability within the Mediterranean world</w:t>
      </w:r>
      <w:r w:rsidR="00E210DB">
        <w:t xml:space="preserve"> (Knapp and </w:t>
      </w:r>
      <w:proofErr w:type="spellStart"/>
      <w:r w:rsidR="00E210DB">
        <w:t>Demesticha</w:t>
      </w:r>
      <w:proofErr w:type="spellEnd"/>
      <w:r w:rsidR="00E210DB">
        <w:t xml:space="preserve"> 2016).</w:t>
      </w:r>
    </w:p>
    <w:p w:rsidR="005B6031" w:rsidRDefault="005E6A49" w:rsidP="00527A9C">
      <w:r>
        <w:t xml:space="preserve">Jars once containing oil were also found in Egyptian tombs, such as the one of the architect </w:t>
      </w:r>
      <w:proofErr w:type="spellStart"/>
      <w:r>
        <w:t>Kha</w:t>
      </w:r>
      <w:proofErr w:type="spellEnd"/>
      <w:r>
        <w:t xml:space="preserve">, while exotic oil containers and unguents were discovered in the so called tomb of the foreign wives (Bevan 2007:138). However, lower elite examples from Egypt exist as well, with travertine oil flasks having been buried with </w:t>
      </w:r>
      <w:r w:rsidR="00EE4DBF">
        <w:t>three provincial elite adults and a child (Bevan 2007:138).</w:t>
      </w:r>
      <w:r w:rsidR="00577447">
        <w:t xml:space="preserve"> Levantine tribute made to the pharaohs of Egypt allegedly included olive oil, which</w:t>
      </w:r>
      <w:r w:rsidR="00DF016A">
        <w:t xml:space="preserve"> would then have been offered in</w:t>
      </w:r>
      <w:r w:rsidR="00577447">
        <w:t xml:space="preserve"> the </w:t>
      </w:r>
      <w:proofErr w:type="spellStart"/>
      <w:r w:rsidR="00577447">
        <w:t>Karnak</w:t>
      </w:r>
      <w:proofErr w:type="spellEnd"/>
      <w:r w:rsidR="00577447">
        <w:t xml:space="preserve"> temple (Bevan 2007: 136).</w:t>
      </w:r>
    </w:p>
    <w:p w:rsidR="0054628A" w:rsidRDefault="00DF016A" w:rsidP="00527A9C">
      <w:r>
        <w:t xml:space="preserve">Pottery </w:t>
      </w:r>
      <w:r w:rsidR="005B6031">
        <w:t>vessels possibly used for oil</w:t>
      </w:r>
      <w:r>
        <w:t xml:space="preserve">-based products, </w:t>
      </w:r>
      <w:r w:rsidR="005B6031">
        <w:t>were the C</w:t>
      </w:r>
      <w:r w:rsidR="004D32DF">
        <w:t xml:space="preserve">retan short necked amphorae, south-west Anatolian red-brown burnished jugs or Cypriot </w:t>
      </w:r>
      <w:proofErr w:type="spellStart"/>
      <w:r w:rsidR="004D32DF" w:rsidRPr="00D01DEA">
        <w:rPr>
          <w:i/>
        </w:rPr>
        <w:t>Pithoi</w:t>
      </w:r>
      <w:proofErr w:type="spellEnd"/>
      <w:r w:rsidR="004D32DF">
        <w:t xml:space="preserve"> when</w:t>
      </w:r>
      <w:r>
        <w:t xml:space="preserve"> considering Oil being transported</w:t>
      </w:r>
      <w:r w:rsidR="004D32DF">
        <w:t xml:space="preserve"> in larger containers (Knapp and </w:t>
      </w:r>
      <w:proofErr w:type="spellStart"/>
      <w:r w:rsidR="004D32DF">
        <w:t>Demesticha</w:t>
      </w:r>
      <w:proofErr w:type="spellEnd"/>
      <w:r w:rsidR="004D32DF">
        <w:t xml:space="preserve"> 2016). </w:t>
      </w:r>
    </w:p>
    <w:p w:rsidR="00163B5A" w:rsidRDefault="00163B5A" w:rsidP="00527A9C">
      <w:proofErr w:type="spellStart"/>
      <w:r>
        <w:t>Alabastrons</w:t>
      </w:r>
      <w:proofErr w:type="spellEnd"/>
      <w:r>
        <w:t xml:space="preserve"> were especially designed to </w:t>
      </w:r>
      <w:r w:rsidR="001A3266">
        <w:t>distinguish elite products such as oil mixtures from other products (Bevan</w:t>
      </w:r>
      <w:r w:rsidR="004B22BC">
        <w:t xml:space="preserve"> 2007:135), while Canaanite jars functioned mainly for the transport of olive oil from the Levant</w:t>
      </w:r>
      <w:r w:rsidR="00F12E65">
        <w:t xml:space="preserve"> onwards</w:t>
      </w:r>
      <w:r w:rsidR="004B22BC">
        <w:t xml:space="preserve"> (Knapp and </w:t>
      </w:r>
      <w:proofErr w:type="spellStart"/>
      <w:r w:rsidR="004B22BC">
        <w:t>Demesticha</w:t>
      </w:r>
      <w:proofErr w:type="spellEnd"/>
      <w:r w:rsidR="004B22BC">
        <w:t xml:space="preserve"> 2016).</w:t>
      </w:r>
      <w:r w:rsidR="00777934">
        <w:t xml:space="preserve"> The smaller Pyxis containers might have contained small and precious amounts of thicker oil-based substances (Steel 2013:133). </w:t>
      </w:r>
    </w:p>
    <w:p w:rsidR="0054628A" w:rsidRDefault="0054628A" w:rsidP="00527A9C">
      <w:r>
        <w:t>Mycenaean Pottery especially seemed to have contained oil, examples found in Egypt were especially ring-handled jugs, stirrup jars and lentoid flasks</w:t>
      </w:r>
      <w:r w:rsidR="00A1185D">
        <w:t xml:space="preserve"> </w:t>
      </w:r>
      <w:r>
        <w:t>(Bevan 2007:138)</w:t>
      </w:r>
      <w:r w:rsidR="00A1185D">
        <w:t>, of which the third was mainly found in the Levant, Egypt and Cyprus (Steel 2013:132)</w:t>
      </w:r>
      <w:r>
        <w:t>. Within Tutankhamun’s funerary dis</w:t>
      </w:r>
      <w:r w:rsidR="00F12E65">
        <w:t xml:space="preserve">play, a sacred oil set </w:t>
      </w:r>
      <w:r w:rsidR="00D01DEA">
        <w:t xml:space="preserve">and elaborately inscribed </w:t>
      </w:r>
      <w:r w:rsidR="00F12E65">
        <w:t>oil jars were found</w:t>
      </w:r>
      <w:r>
        <w:t xml:space="preserve"> (Bevan 2007:138)</w:t>
      </w:r>
      <w:r w:rsidR="00F12E65">
        <w:t>, indicating the wide distribution of oil-based product exchange</w:t>
      </w:r>
      <w:r>
        <w:t xml:space="preserve">.  </w:t>
      </w:r>
    </w:p>
    <w:p w:rsidR="00527A9C" w:rsidRDefault="00D8139D" w:rsidP="00527A9C">
      <w:r>
        <w:t xml:space="preserve"> </w:t>
      </w:r>
      <w:proofErr w:type="spellStart"/>
      <w:r>
        <w:t>Koroni</w:t>
      </w:r>
      <w:proofErr w:type="spellEnd"/>
      <w:r>
        <w:t xml:space="preserve"> Type 1 jars were popular for olive oil trade</w:t>
      </w:r>
      <w:r w:rsidR="00F12E65">
        <w:t xml:space="preserve"> as well</w:t>
      </w:r>
      <w:r>
        <w:t>, as the demand for olive oil ro</w:t>
      </w:r>
      <w:r w:rsidR="00675171">
        <w:t xml:space="preserve">se within the Aegean and Crete (Knapp and </w:t>
      </w:r>
      <w:proofErr w:type="spellStart"/>
      <w:r w:rsidR="00675171">
        <w:t>Demesticha</w:t>
      </w:r>
      <w:proofErr w:type="spellEnd"/>
      <w:r w:rsidR="00675171">
        <w:t xml:space="preserve"> 2016). With originally </w:t>
      </w:r>
      <w:proofErr w:type="spellStart"/>
      <w:r w:rsidR="00675171">
        <w:t>Messinia</w:t>
      </w:r>
      <w:proofErr w:type="spellEnd"/>
      <w:r w:rsidR="00675171">
        <w:t xml:space="preserve"> being the main cultivator for olive oil, the </w:t>
      </w:r>
      <w:proofErr w:type="spellStart"/>
      <w:r w:rsidR="00675171">
        <w:t>Koroni</w:t>
      </w:r>
      <w:proofErr w:type="spellEnd"/>
      <w:r w:rsidR="00675171">
        <w:t xml:space="preserve"> port was the main port from which the filled vessels would have been shipped, until olive oil cultivation decreased in </w:t>
      </w:r>
      <w:proofErr w:type="spellStart"/>
      <w:r w:rsidR="00675171">
        <w:t>Messinia</w:t>
      </w:r>
      <w:proofErr w:type="spellEnd"/>
      <w:r w:rsidR="00675171">
        <w:t xml:space="preserve">, and the ports of </w:t>
      </w:r>
      <w:proofErr w:type="spellStart"/>
      <w:r w:rsidR="00675171">
        <w:t>Patras</w:t>
      </w:r>
      <w:proofErr w:type="spellEnd"/>
      <w:r w:rsidR="00675171">
        <w:t xml:space="preserve"> and Corinth took over its shipment, showing how changing cultivation centres can affect the importance of certain trading centres, such as ports (Knapp </w:t>
      </w:r>
      <w:proofErr w:type="spellStart"/>
      <w:r w:rsidR="00675171">
        <w:t>abd</w:t>
      </w:r>
      <w:proofErr w:type="spellEnd"/>
      <w:r w:rsidR="00675171">
        <w:t xml:space="preserve"> </w:t>
      </w:r>
      <w:proofErr w:type="spellStart"/>
      <w:r w:rsidR="00675171">
        <w:t>Demesticha</w:t>
      </w:r>
      <w:proofErr w:type="spellEnd"/>
      <w:r w:rsidR="00675171">
        <w:t xml:space="preserve"> 2016). </w:t>
      </w:r>
    </w:p>
    <w:p w:rsidR="00CF4539" w:rsidRDefault="00CF4539" w:rsidP="00CF4539"/>
    <w:p w:rsidR="00CF4539" w:rsidRDefault="00CF4539"/>
    <w:p w:rsidR="00CF4539" w:rsidRDefault="00CF4539"/>
    <w:p w:rsidR="00CF4539" w:rsidRDefault="00CF4539"/>
    <w:p w:rsidR="00CF4539" w:rsidRDefault="00CF4539"/>
    <w:p w:rsidR="00CF4539" w:rsidRDefault="00CF4539"/>
    <w:p w:rsidR="00CF4539" w:rsidRDefault="00CF4539"/>
    <w:p w:rsidR="007C7899" w:rsidRDefault="007C7899">
      <w:pPr>
        <w:rPr>
          <w:b/>
          <w:sz w:val="24"/>
          <w:szCs w:val="24"/>
          <w:u w:val="single"/>
        </w:rPr>
      </w:pPr>
    </w:p>
    <w:p w:rsidR="007C7899" w:rsidRDefault="007C7899">
      <w:pPr>
        <w:rPr>
          <w:b/>
          <w:sz w:val="24"/>
          <w:szCs w:val="24"/>
          <w:u w:val="single"/>
        </w:rPr>
      </w:pPr>
    </w:p>
    <w:p w:rsidR="007C7899" w:rsidRDefault="007C7899">
      <w:pPr>
        <w:rPr>
          <w:b/>
          <w:sz w:val="24"/>
          <w:szCs w:val="24"/>
          <w:u w:val="single"/>
        </w:rPr>
      </w:pPr>
    </w:p>
    <w:p w:rsidR="00D519C0" w:rsidRDefault="00D519C0">
      <w:pPr>
        <w:rPr>
          <w:b/>
          <w:sz w:val="24"/>
          <w:szCs w:val="24"/>
          <w:u w:val="single"/>
        </w:rPr>
      </w:pPr>
    </w:p>
    <w:p w:rsidR="00D519C0" w:rsidRDefault="00D519C0">
      <w:pPr>
        <w:rPr>
          <w:b/>
          <w:sz w:val="24"/>
          <w:szCs w:val="24"/>
          <w:u w:val="single"/>
        </w:rPr>
      </w:pPr>
    </w:p>
    <w:p w:rsidR="00BE087A" w:rsidRPr="007C7899" w:rsidRDefault="00BE087A">
      <w:pPr>
        <w:rPr>
          <w:b/>
          <w:sz w:val="24"/>
          <w:szCs w:val="24"/>
          <w:u w:val="single"/>
        </w:rPr>
      </w:pPr>
      <w:r w:rsidRPr="007C7899">
        <w:rPr>
          <w:b/>
          <w:sz w:val="24"/>
          <w:szCs w:val="24"/>
          <w:u w:val="single"/>
        </w:rPr>
        <w:lastRenderedPageBreak/>
        <w:t>Presenting different views on the theories of gift exchange and commodity trade</w:t>
      </w:r>
    </w:p>
    <w:p w:rsidR="00F12E65" w:rsidRDefault="00F12E65"/>
    <w:p w:rsidR="00BE087A" w:rsidRDefault="0098725D">
      <w:r>
        <w:t xml:space="preserve">According to </w:t>
      </w:r>
      <w:proofErr w:type="spellStart"/>
      <w:r>
        <w:t>Mauss</w:t>
      </w:r>
      <w:proofErr w:type="spellEnd"/>
      <w:r>
        <w:t xml:space="preserve"> (</w:t>
      </w:r>
      <w:r w:rsidR="005F121A">
        <w:t>2002</w:t>
      </w:r>
      <w:r>
        <w:t>)</w:t>
      </w:r>
      <w:r w:rsidR="009119FE">
        <w:t xml:space="preserve">, one of the obligations of being part of a community, presents itself as having </w:t>
      </w:r>
      <w:r w:rsidR="001C68BE">
        <w:t>“</w:t>
      </w:r>
      <w:r w:rsidR="009119FE">
        <w:t>to give</w:t>
      </w:r>
      <w:r w:rsidR="001C68BE">
        <w:t xml:space="preserve">, receive and reciprocate.” </w:t>
      </w:r>
    </w:p>
    <w:p w:rsidR="009C21CE" w:rsidRDefault="006B0037">
      <w:r>
        <w:t xml:space="preserve"> </w:t>
      </w:r>
      <w:proofErr w:type="spellStart"/>
      <w:r>
        <w:t>Gouldner</w:t>
      </w:r>
      <w:proofErr w:type="spellEnd"/>
      <w:r>
        <w:t xml:space="preserve"> (1960) suggests that gifts are important in order to maintain and strengthen a relat</w:t>
      </w:r>
      <w:r w:rsidR="0064062F">
        <w:t xml:space="preserve">ionship, </w:t>
      </w:r>
      <w:r w:rsidR="003B0763">
        <w:t>and are always an indicator for an existing relat</w:t>
      </w:r>
      <w:r w:rsidR="0064062F">
        <w:t>ionship</w:t>
      </w:r>
      <w:r w:rsidR="003B0763">
        <w:t>.</w:t>
      </w:r>
      <w:r w:rsidR="009C21CE">
        <w:t xml:space="preserve"> Also, gift exchange leads to the accumulation of wealth and social standing within a community (Steel 2013:92).</w:t>
      </w:r>
      <w:r w:rsidR="00962014">
        <w:t xml:space="preserve"> However, often the giving itself does increase social standing, rather than the accumulation of its consequential wealth (Steel 2013:99). </w:t>
      </w:r>
    </w:p>
    <w:p w:rsidR="00751538" w:rsidRDefault="00205ECA">
      <w:r>
        <w:t>Further, the gift always reflects the givers individuality, while also h</w:t>
      </w:r>
      <w:r w:rsidR="006C6AAF">
        <w:t>aving multiple values such as a</w:t>
      </w:r>
      <w:r>
        <w:t xml:space="preserve"> soci</w:t>
      </w:r>
      <w:r w:rsidR="00D4726A">
        <w:t xml:space="preserve">al, functional and economic ones </w:t>
      </w:r>
      <w:r>
        <w:t xml:space="preserve">(Sherry 1983). </w:t>
      </w:r>
      <w:r w:rsidR="0064062F">
        <w:t xml:space="preserve">Gift giving increasingly </w:t>
      </w:r>
      <w:proofErr w:type="spellStart"/>
      <w:r w:rsidR="00D4726A">
        <w:t>occured</w:t>
      </w:r>
      <w:proofErr w:type="spellEnd"/>
      <w:r w:rsidR="0064062F">
        <w:t xml:space="preserve"> at </w:t>
      </w:r>
      <w:r w:rsidR="00196367">
        <w:t>occasions</w:t>
      </w:r>
      <w:r w:rsidR="00D4726A">
        <w:t xml:space="preserve"> such as </w:t>
      </w:r>
      <w:r w:rsidR="00196367">
        <w:t>weddings, various kinds of ceremonies, as well as</w:t>
      </w:r>
      <w:r w:rsidR="00D4726A">
        <w:t xml:space="preserve"> functioning as sign</w:t>
      </w:r>
      <w:r w:rsidR="00196367">
        <w:t xml:space="preserve"> of an alliance celebration (Steel 2013: 92</w:t>
      </w:r>
      <w:r w:rsidR="0064062F">
        <w:t>).</w:t>
      </w:r>
      <w:r w:rsidR="006C6AAF">
        <w:t xml:space="preserve"> </w:t>
      </w:r>
      <w:proofErr w:type="spellStart"/>
      <w:r w:rsidR="0064062F">
        <w:t>Furher</w:t>
      </w:r>
      <w:proofErr w:type="spellEnd"/>
      <w:r w:rsidR="0064062F">
        <w:t xml:space="preserve">, </w:t>
      </w:r>
      <w:proofErr w:type="spellStart"/>
      <w:r w:rsidR="0064062F">
        <w:t>Mauss</w:t>
      </w:r>
      <w:proofErr w:type="spellEnd"/>
      <w:r w:rsidR="0064062F">
        <w:t xml:space="preserve"> (2002</w:t>
      </w:r>
      <w:r w:rsidR="001B5EED">
        <w:t xml:space="preserve">:6) argues that the obligation of exchange is not enforced by an individual, but always by groups. </w:t>
      </w:r>
      <w:r w:rsidR="00751538">
        <w:t xml:space="preserve">According to </w:t>
      </w:r>
      <w:r w:rsidR="00751538" w:rsidRPr="0064062F">
        <w:t>Weiner</w:t>
      </w:r>
      <w:r w:rsidR="00751538">
        <w:t xml:space="preserve"> (1992), the gift itself is inviolable, inalienable, marking a spiritual link between receiver and donor. </w:t>
      </w:r>
    </w:p>
    <w:p w:rsidR="00267FA0" w:rsidRDefault="00267FA0">
      <w:r>
        <w:t xml:space="preserve">Food however, and if we want to define oil as foodstuffs in certain cases, is </w:t>
      </w:r>
      <w:r w:rsidR="00527A9C">
        <w:t xml:space="preserve">one of the most ineligible inalienable possessions, given its primary function as nutrition giver, it expires and gets consumed and therefore leaves little trace in the archaeological record (Weiner 1992: 38), same is true for unguents or perfume oils, as they are produced to be consumed, not stored for eternity. </w:t>
      </w:r>
    </w:p>
    <w:p w:rsidR="00834D57" w:rsidRDefault="000A279D">
      <w:r>
        <w:t>In order to archaeologically prove the p</w:t>
      </w:r>
      <w:r w:rsidR="005F1FA2">
        <w:t>resence of</w:t>
      </w:r>
      <w:r w:rsidR="002532D1">
        <w:t xml:space="preserve"> a</w:t>
      </w:r>
      <w:r w:rsidR="005F1FA2">
        <w:t xml:space="preserve"> gift, the discovery of </w:t>
      </w:r>
      <w:r>
        <w:t>regionally unique objects classified as exotic</w:t>
      </w:r>
      <w:r w:rsidR="005F1FA2">
        <w:t xml:space="preserve"> proved itself to be a useful method</w:t>
      </w:r>
      <w:r>
        <w:t xml:space="preserve"> (Steel 2013:97). </w:t>
      </w:r>
    </w:p>
    <w:p w:rsidR="0096654A" w:rsidRDefault="0096654A">
      <w:r>
        <w:t>According to Steel (2013:98-99), the difference between gift exchange and barter are the consequential social structures evolving, whereby g</w:t>
      </w:r>
      <w:r w:rsidR="00E41F35">
        <w:t>ift exchange encourages more in</w:t>
      </w:r>
      <w:r>
        <w:t>tense, kin-like ties between the subjects involved.</w:t>
      </w:r>
    </w:p>
    <w:p w:rsidR="007B6392" w:rsidRDefault="00C41DEF">
      <w:r>
        <w:t>One can define</w:t>
      </w:r>
      <w:r w:rsidR="007B6392">
        <w:t xml:space="preserve"> commoditi</w:t>
      </w:r>
      <w:r w:rsidR="002532D1">
        <w:t xml:space="preserve">es </w:t>
      </w:r>
      <w:r w:rsidR="007B6392">
        <w:t>as objects with an economic value</w:t>
      </w:r>
      <w:r w:rsidR="005F1FA2">
        <w:t xml:space="preserve"> after </w:t>
      </w:r>
      <w:proofErr w:type="spellStart"/>
      <w:r w:rsidR="005F1FA2">
        <w:t>Simmels</w:t>
      </w:r>
      <w:proofErr w:type="spellEnd"/>
      <w:r w:rsidR="005F1FA2">
        <w:t>’ principle</w:t>
      </w:r>
      <w:r w:rsidR="007B6392">
        <w:t>, whereas items difficult to acquire, have the highest value, therefore, value being a highly subjective term</w:t>
      </w:r>
      <w:r w:rsidR="002532D1">
        <w:t xml:space="preserve"> (</w:t>
      </w:r>
      <w:proofErr w:type="spellStart"/>
      <w:r w:rsidR="002532D1">
        <w:t>Appadurai</w:t>
      </w:r>
      <w:proofErr w:type="spellEnd"/>
      <w:r w:rsidR="002532D1">
        <w:t xml:space="preserve"> 1988:3-4)</w:t>
      </w:r>
      <w:r w:rsidR="007B6392">
        <w:t>. Items however low in value, are still</w:t>
      </w:r>
      <w:r w:rsidR="005F1FA2">
        <w:t xml:space="preserve"> a commodity after Simmel</w:t>
      </w:r>
      <w:r w:rsidR="007B6392">
        <w:t>, with an economic val</w:t>
      </w:r>
      <w:r w:rsidR="00B82D16">
        <w:t>u</w:t>
      </w:r>
      <w:r w:rsidR="007B6392">
        <w:t>e being created</w:t>
      </w:r>
      <w:r w:rsidR="00B82D16">
        <w:t xml:space="preserve"> by societies, </w:t>
      </w:r>
      <w:r w:rsidR="007B6392">
        <w:t>having to sacrifice something in order</w:t>
      </w:r>
      <w:r w:rsidR="005276A6">
        <w:t xml:space="preserve"> to obtain an item, therefore </w:t>
      </w:r>
      <w:r w:rsidR="00B82D16">
        <w:t>constructing the principle that demand is creating</w:t>
      </w:r>
      <w:r w:rsidR="005276A6">
        <w:t xml:space="preserve"> value (</w:t>
      </w:r>
      <w:proofErr w:type="spellStart"/>
      <w:r w:rsidR="005276A6">
        <w:t>Appadurai</w:t>
      </w:r>
      <w:proofErr w:type="spellEnd"/>
      <w:r w:rsidR="005276A6">
        <w:t xml:space="preserve"> 1988: 3-4). </w:t>
      </w:r>
    </w:p>
    <w:p w:rsidR="004E3FD7" w:rsidRPr="005276A6" w:rsidRDefault="00037598">
      <w:r>
        <w:t xml:space="preserve">What defines a commodity can change, weather it </w:t>
      </w:r>
      <w:r w:rsidR="00357153">
        <w:t>is viewed through the lens of a</w:t>
      </w:r>
      <w:r>
        <w:t xml:space="preserve"> socialist, economic historian or anthropologist (</w:t>
      </w:r>
      <w:proofErr w:type="spellStart"/>
      <w:r>
        <w:t>Appadurai</w:t>
      </w:r>
      <w:proofErr w:type="spellEnd"/>
      <w:r>
        <w:t xml:space="preserve"> 1988:5). </w:t>
      </w:r>
    </w:p>
    <w:p w:rsidR="007B6392" w:rsidRDefault="00E74354">
      <w:r>
        <w:t xml:space="preserve">With most of the commodity trade having been taking place between merchants </w:t>
      </w:r>
      <w:r w:rsidRPr="00C41DEF">
        <w:t>(</w:t>
      </w:r>
      <w:proofErr w:type="spellStart"/>
      <w:r w:rsidRPr="00C41DEF">
        <w:t>She</w:t>
      </w:r>
      <w:r w:rsidR="00C41DEF" w:rsidRPr="00C41DEF">
        <w:t>r</w:t>
      </w:r>
      <w:r w:rsidRPr="00C41DEF">
        <w:t>ratt</w:t>
      </w:r>
      <w:proofErr w:type="spellEnd"/>
      <w:r>
        <w:t xml:space="preserve"> </w:t>
      </w:r>
      <w:r w:rsidR="00C41DEF">
        <w:t xml:space="preserve">and </w:t>
      </w:r>
      <w:proofErr w:type="spellStart"/>
      <w:r w:rsidR="00C41DEF">
        <w:t>Sherratt</w:t>
      </w:r>
      <w:proofErr w:type="spellEnd"/>
      <w:r w:rsidR="00C41DEF">
        <w:t xml:space="preserve"> </w:t>
      </w:r>
      <w:r>
        <w:t>1991).</w:t>
      </w:r>
    </w:p>
    <w:p w:rsidR="00504225" w:rsidRPr="00E74354" w:rsidRDefault="00504225">
      <w:r>
        <w:t>Commodities are supposed to be heavily embedded in a communities social life but perceived as alienable objects at the same time that can change their owners frequently without any obligations attached to them</w:t>
      </w:r>
      <w:r w:rsidR="00F14DBD">
        <w:t xml:space="preserve"> (Steel 2013:123). At the point of transitioning from one owner to the next, the commodity is an alienable object, however, detaching any social ties from commodity trade would assume that no commodity could have a noticeable effect on the social lives of the people involved in its exchange (Steel 2013:123).  </w:t>
      </w:r>
      <w:r w:rsidR="0064062F">
        <w:t>It was Bourdieu (1972</w:t>
      </w:r>
      <w:r w:rsidR="00684590">
        <w:t>) who fundamentally changed the anthropological view on the impact a commodity would have on society, arguing that both commodity objects and the people associated with it always have been heavily intertwined in what is called the material culture, created through commodity exchange (Steel 2013:123).</w:t>
      </w:r>
    </w:p>
    <w:p w:rsidR="00F90417" w:rsidRDefault="00F90417">
      <w:r>
        <w:lastRenderedPageBreak/>
        <w:t>However, the distinction between a gift and a commodity is not always that simple</w:t>
      </w:r>
      <w:r w:rsidR="00EF7463">
        <w:t>, such a differentiation in the Eastern Mediterranean 2</w:t>
      </w:r>
      <w:r w:rsidR="00EF7463" w:rsidRPr="00EF7463">
        <w:rPr>
          <w:vertAlign w:val="superscript"/>
        </w:rPr>
        <w:t>nd</w:t>
      </w:r>
      <w:r w:rsidR="00EF7463">
        <w:t xml:space="preserve"> Mil. B.C., is often blurred</w:t>
      </w:r>
      <w:r w:rsidR="007A71F8">
        <w:t>, as many raw materials were considered gifts</w:t>
      </w:r>
      <w:r w:rsidR="00EF7463">
        <w:t xml:space="preserve"> (Steel 2013:96). </w:t>
      </w:r>
      <w:r w:rsidR="00B94259">
        <w:t>Commodities can become gifts and vice versa, given that every object possesses a bibliography, as it goes through different stages throughout its existence, acquiring different value depending on its o</w:t>
      </w:r>
      <w:r w:rsidR="002532D1">
        <w:t>wner</w:t>
      </w:r>
      <w:r w:rsidR="00B94259">
        <w:t xml:space="preserve">, the social context it is established in and how rare it is in itself compared to how easy it is to acquire </w:t>
      </w:r>
      <w:r w:rsidR="00CA5BE7">
        <w:t xml:space="preserve">(Steel 2013:93 and 134). </w:t>
      </w:r>
    </w:p>
    <w:p w:rsidR="00EF7463" w:rsidRPr="00F90417" w:rsidRDefault="00EF7463"/>
    <w:p w:rsidR="00100DA5" w:rsidRDefault="00100DA5"/>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E04B0E" w:rsidRDefault="00E04B0E"/>
    <w:p w:rsidR="00693B80" w:rsidRDefault="00693B80">
      <w:pPr>
        <w:rPr>
          <w:u w:val="single"/>
        </w:rPr>
      </w:pPr>
    </w:p>
    <w:p w:rsidR="00C562EE" w:rsidRPr="00100DA5" w:rsidRDefault="00C562EE">
      <w:pPr>
        <w:rPr>
          <w:u w:val="single"/>
        </w:rPr>
      </w:pPr>
    </w:p>
    <w:p w:rsidR="00C562EE" w:rsidRDefault="00C562EE" w:rsidP="00527A9C">
      <w:pPr>
        <w:rPr>
          <w:u w:val="single"/>
        </w:rPr>
      </w:pPr>
    </w:p>
    <w:p w:rsidR="00C562EE" w:rsidRDefault="00C562EE" w:rsidP="00527A9C">
      <w:pPr>
        <w:rPr>
          <w:u w:val="single"/>
        </w:rPr>
      </w:pPr>
    </w:p>
    <w:p w:rsidR="0059741A" w:rsidRDefault="0059741A" w:rsidP="00527A9C">
      <w:pPr>
        <w:rPr>
          <w:u w:val="single"/>
        </w:rPr>
      </w:pPr>
    </w:p>
    <w:p w:rsidR="0059741A" w:rsidRDefault="0059741A" w:rsidP="00527A9C">
      <w:pPr>
        <w:rPr>
          <w:u w:val="single"/>
        </w:rPr>
      </w:pPr>
    </w:p>
    <w:p w:rsidR="0059741A" w:rsidRDefault="0059741A" w:rsidP="00527A9C">
      <w:pPr>
        <w:rPr>
          <w:u w:val="single"/>
        </w:rPr>
      </w:pPr>
    </w:p>
    <w:p w:rsidR="0059741A" w:rsidRDefault="0059741A" w:rsidP="00527A9C">
      <w:pPr>
        <w:rPr>
          <w:u w:val="single"/>
        </w:rPr>
      </w:pPr>
    </w:p>
    <w:p w:rsidR="0059741A" w:rsidRDefault="0059741A" w:rsidP="00527A9C">
      <w:pPr>
        <w:rPr>
          <w:u w:val="single"/>
        </w:rPr>
      </w:pPr>
    </w:p>
    <w:p w:rsidR="00C562EE" w:rsidRDefault="00C562EE" w:rsidP="00527A9C">
      <w:pPr>
        <w:rPr>
          <w:u w:val="single"/>
        </w:rPr>
      </w:pPr>
    </w:p>
    <w:p w:rsidR="00C562EE" w:rsidRDefault="00C562EE" w:rsidP="00527A9C">
      <w:pPr>
        <w:rPr>
          <w:u w:val="single"/>
        </w:rPr>
      </w:pPr>
    </w:p>
    <w:p w:rsidR="007C7899" w:rsidRDefault="007C7899" w:rsidP="00527A9C">
      <w:pPr>
        <w:rPr>
          <w:u w:val="single"/>
        </w:rPr>
      </w:pPr>
    </w:p>
    <w:p w:rsidR="00527A9C" w:rsidRPr="007C7899" w:rsidRDefault="007C7899" w:rsidP="0076111C">
      <w:pPr>
        <w:jc w:val="center"/>
        <w:rPr>
          <w:b/>
          <w:sz w:val="24"/>
          <w:szCs w:val="24"/>
          <w:u w:val="single"/>
        </w:rPr>
      </w:pPr>
      <w:r w:rsidRPr="007C7899">
        <w:rPr>
          <w:b/>
          <w:sz w:val="24"/>
          <w:szCs w:val="24"/>
          <w:u w:val="single"/>
        </w:rPr>
        <w:lastRenderedPageBreak/>
        <w:t>Presentation of Primary source material in chart and table chart form</w:t>
      </w:r>
    </w:p>
    <w:p w:rsidR="00527A9C" w:rsidRDefault="00527A9C" w:rsidP="00527A9C">
      <w:r>
        <w:rPr>
          <w:noProof/>
          <w:lang w:val="de-DE" w:eastAsia="de-DE"/>
        </w:rPr>
        <w:drawing>
          <wp:inline distT="0" distB="0" distL="0" distR="0" wp14:anchorId="3A3D66EC" wp14:editId="60A23623">
            <wp:extent cx="5486400" cy="3200400"/>
            <wp:effectExtent l="0" t="0" r="0" b="0"/>
            <wp:docPr id="1" name="Diagram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14232" w:rsidRDefault="00527A9C" w:rsidP="00527A9C">
      <w:r>
        <w:t xml:space="preserve">Fig. 1. Chart direct copy from Cline (2009:28). </w:t>
      </w:r>
    </w:p>
    <w:p w:rsidR="00F14232" w:rsidRDefault="00F14232" w:rsidP="00527A9C"/>
    <w:tbl>
      <w:tblPr>
        <w:tblStyle w:val="Tabellenraster"/>
        <w:tblW w:w="9062" w:type="dxa"/>
        <w:tblLook w:val="04A0" w:firstRow="1" w:lastRow="0" w:firstColumn="1" w:lastColumn="0" w:noHBand="0" w:noVBand="1"/>
      </w:tblPr>
      <w:tblGrid>
        <w:gridCol w:w="1551"/>
        <w:gridCol w:w="1528"/>
        <w:gridCol w:w="1742"/>
        <w:gridCol w:w="1473"/>
        <w:gridCol w:w="1427"/>
        <w:gridCol w:w="1341"/>
      </w:tblGrid>
      <w:tr w:rsidR="00DA4F94" w:rsidTr="00990D39">
        <w:tc>
          <w:tcPr>
            <w:tcW w:w="1551" w:type="dxa"/>
          </w:tcPr>
          <w:p w:rsidR="00DA4F94" w:rsidRPr="0074281C" w:rsidRDefault="00DA4F94">
            <w:pPr>
              <w:rPr>
                <w:b/>
              </w:rPr>
            </w:pPr>
            <w:r w:rsidRPr="0074281C">
              <w:rPr>
                <w:b/>
              </w:rPr>
              <w:t>Region</w:t>
            </w:r>
          </w:p>
        </w:tc>
        <w:tc>
          <w:tcPr>
            <w:tcW w:w="1528" w:type="dxa"/>
          </w:tcPr>
          <w:p w:rsidR="00DA4F94" w:rsidRPr="0074281C" w:rsidRDefault="00DA4F94">
            <w:pPr>
              <w:rPr>
                <w:b/>
              </w:rPr>
            </w:pPr>
            <w:r w:rsidRPr="0074281C">
              <w:rPr>
                <w:b/>
              </w:rPr>
              <w:t>who</w:t>
            </w:r>
          </w:p>
        </w:tc>
        <w:tc>
          <w:tcPr>
            <w:tcW w:w="1742" w:type="dxa"/>
          </w:tcPr>
          <w:p w:rsidR="00DA4F94" w:rsidRPr="0074281C" w:rsidRDefault="00DA4F94">
            <w:pPr>
              <w:rPr>
                <w:b/>
              </w:rPr>
            </w:pPr>
            <w:r w:rsidRPr="0074281C">
              <w:rPr>
                <w:b/>
              </w:rPr>
              <w:t>The name of the document</w:t>
            </w:r>
          </w:p>
        </w:tc>
        <w:tc>
          <w:tcPr>
            <w:tcW w:w="1473" w:type="dxa"/>
          </w:tcPr>
          <w:p w:rsidR="00DA4F94" w:rsidRPr="0074281C" w:rsidRDefault="00DA4F94">
            <w:pPr>
              <w:rPr>
                <w:b/>
              </w:rPr>
            </w:pPr>
            <w:r w:rsidRPr="0074281C">
              <w:rPr>
                <w:b/>
              </w:rPr>
              <w:t>Further information</w:t>
            </w:r>
          </w:p>
        </w:tc>
        <w:tc>
          <w:tcPr>
            <w:tcW w:w="1427" w:type="dxa"/>
          </w:tcPr>
          <w:p w:rsidR="00DA4F94" w:rsidRPr="0074281C" w:rsidRDefault="00DA4F94">
            <w:pPr>
              <w:rPr>
                <w:b/>
              </w:rPr>
            </w:pPr>
            <w:r w:rsidRPr="0074281C">
              <w:rPr>
                <w:b/>
              </w:rPr>
              <w:t>content</w:t>
            </w:r>
          </w:p>
        </w:tc>
        <w:tc>
          <w:tcPr>
            <w:tcW w:w="1341" w:type="dxa"/>
          </w:tcPr>
          <w:p w:rsidR="00DA4F94" w:rsidRPr="0074281C" w:rsidRDefault="00DA4F94">
            <w:pPr>
              <w:rPr>
                <w:b/>
              </w:rPr>
            </w:pPr>
            <w:r w:rsidRPr="0074281C">
              <w:rPr>
                <w:b/>
              </w:rPr>
              <w:t>Reference</w:t>
            </w:r>
          </w:p>
        </w:tc>
      </w:tr>
      <w:tr w:rsidR="00DA4F94" w:rsidTr="00990D39">
        <w:tc>
          <w:tcPr>
            <w:tcW w:w="1551" w:type="dxa"/>
          </w:tcPr>
          <w:p w:rsidR="00DA4F94" w:rsidRDefault="00DA4F94">
            <w:r>
              <w:t>Ugarit</w:t>
            </w:r>
          </w:p>
        </w:tc>
        <w:tc>
          <w:tcPr>
            <w:tcW w:w="1528" w:type="dxa"/>
          </w:tcPr>
          <w:p w:rsidR="00DA4F94" w:rsidRDefault="00DA4F94">
            <w:r>
              <w:t>The Ugaritic king</w:t>
            </w:r>
          </w:p>
        </w:tc>
        <w:tc>
          <w:tcPr>
            <w:tcW w:w="1742" w:type="dxa"/>
          </w:tcPr>
          <w:p w:rsidR="00DA4F94" w:rsidRDefault="00DA4F94">
            <w:r>
              <w:t>RS 16.238+254</w:t>
            </w:r>
          </w:p>
        </w:tc>
        <w:tc>
          <w:tcPr>
            <w:tcW w:w="1473" w:type="dxa"/>
          </w:tcPr>
          <w:p w:rsidR="00DA4F94" w:rsidRDefault="00DA4F94">
            <w:proofErr w:type="spellStart"/>
            <w:r>
              <w:t>Ras</w:t>
            </w:r>
            <w:proofErr w:type="spellEnd"/>
            <w:r>
              <w:t xml:space="preserve"> </w:t>
            </w:r>
            <w:proofErr w:type="spellStart"/>
            <w:r>
              <w:t>Shamra</w:t>
            </w:r>
            <w:proofErr w:type="spellEnd"/>
            <w:r>
              <w:t xml:space="preserve"> excavations</w:t>
            </w:r>
          </w:p>
        </w:tc>
        <w:tc>
          <w:tcPr>
            <w:tcW w:w="1427" w:type="dxa"/>
          </w:tcPr>
          <w:p w:rsidR="00DA4F94" w:rsidRDefault="00DA4F94">
            <w:r>
              <w:t xml:space="preserve">The king exempted the merchant </w:t>
            </w:r>
            <w:proofErr w:type="spellStart"/>
            <w:r>
              <w:t>Sinaranu</w:t>
            </w:r>
            <w:proofErr w:type="spellEnd"/>
            <w:r>
              <w:t xml:space="preserve"> from having to share  any tribute from his imported oil from Crete </w:t>
            </w:r>
          </w:p>
        </w:tc>
        <w:tc>
          <w:tcPr>
            <w:tcW w:w="1341" w:type="dxa"/>
          </w:tcPr>
          <w:p w:rsidR="00DA4F94" w:rsidRDefault="00DA4F94">
            <w:r>
              <w:t xml:space="preserve">(Knapp and </w:t>
            </w:r>
            <w:proofErr w:type="spellStart"/>
            <w:r>
              <w:t>Demesticha</w:t>
            </w:r>
            <w:proofErr w:type="spellEnd"/>
            <w:r>
              <w:t xml:space="preserve"> 2016)</w:t>
            </w:r>
          </w:p>
        </w:tc>
      </w:tr>
      <w:tr w:rsidR="00DA4F94" w:rsidTr="00990D39">
        <w:tc>
          <w:tcPr>
            <w:tcW w:w="1551" w:type="dxa"/>
          </w:tcPr>
          <w:p w:rsidR="00DA4F94" w:rsidRDefault="00103906">
            <w:r>
              <w:t>Knossos, Crete</w:t>
            </w:r>
          </w:p>
        </w:tc>
        <w:tc>
          <w:tcPr>
            <w:tcW w:w="1528" w:type="dxa"/>
          </w:tcPr>
          <w:p w:rsidR="00DA4F94" w:rsidRDefault="00103906">
            <w:r>
              <w:t>unknown</w:t>
            </w:r>
          </w:p>
        </w:tc>
        <w:tc>
          <w:tcPr>
            <w:tcW w:w="1742" w:type="dxa"/>
          </w:tcPr>
          <w:p w:rsidR="00DA4F94" w:rsidRDefault="00103906">
            <w:proofErr w:type="spellStart"/>
            <w:r>
              <w:t>Kn</w:t>
            </w:r>
            <w:proofErr w:type="spellEnd"/>
            <w:r>
              <w:t xml:space="preserve"> K 700</w:t>
            </w:r>
          </w:p>
        </w:tc>
        <w:tc>
          <w:tcPr>
            <w:tcW w:w="1473" w:type="dxa"/>
          </w:tcPr>
          <w:p w:rsidR="00DA4F94" w:rsidRDefault="00103906">
            <w:r>
              <w:t>Linear B tablet</w:t>
            </w:r>
          </w:p>
        </w:tc>
        <w:tc>
          <w:tcPr>
            <w:tcW w:w="1427" w:type="dxa"/>
          </w:tcPr>
          <w:p w:rsidR="00DA4F94" w:rsidRDefault="00103906">
            <w:r>
              <w:t>Listing 1800 stirrup jars having potentially contained oil</w:t>
            </w:r>
          </w:p>
        </w:tc>
        <w:tc>
          <w:tcPr>
            <w:tcW w:w="1341" w:type="dxa"/>
          </w:tcPr>
          <w:p w:rsidR="00DA4F94" w:rsidRDefault="00103906">
            <w:r>
              <w:t xml:space="preserve">(Knapp and </w:t>
            </w:r>
            <w:proofErr w:type="spellStart"/>
            <w:r>
              <w:t>Demesticha</w:t>
            </w:r>
            <w:proofErr w:type="spellEnd"/>
            <w:r>
              <w:t xml:space="preserve"> 2016)</w:t>
            </w:r>
          </w:p>
        </w:tc>
      </w:tr>
      <w:tr w:rsidR="00DA4F94" w:rsidTr="00990D39">
        <w:tc>
          <w:tcPr>
            <w:tcW w:w="1551" w:type="dxa"/>
          </w:tcPr>
          <w:p w:rsidR="00DA4F94" w:rsidRDefault="00D0099D">
            <w:r>
              <w:t xml:space="preserve">Egypt and </w:t>
            </w:r>
            <w:proofErr w:type="spellStart"/>
            <w:r>
              <w:t>Mittani</w:t>
            </w:r>
            <w:proofErr w:type="spellEnd"/>
          </w:p>
        </w:tc>
        <w:tc>
          <w:tcPr>
            <w:tcW w:w="1528" w:type="dxa"/>
          </w:tcPr>
          <w:p w:rsidR="00DA4F94" w:rsidRDefault="00D0099D">
            <w:r>
              <w:t xml:space="preserve">King of Mitanni to </w:t>
            </w:r>
            <w:proofErr w:type="spellStart"/>
            <w:r>
              <w:t>Nimmureya</w:t>
            </w:r>
            <w:proofErr w:type="spellEnd"/>
            <w:r>
              <w:t xml:space="preserve"> king of Egypt</w:t>
            </w:r>
          </w:p>
        </w:tc>
        <w:tc>
          <w:tcPr>
            <w:tcW w:w="1742" w:type="dxa"/>
          </w:tcPr>
          <w:p w:rsidR="00DA4F94" w:rsidRDefault="00D0099D">
            <w:r>
              <w:t>Amarna letter</w:t>
            </w:r>
            <w:r w:rsidR="00F14232">
              <w:t xml:space="preserve">, Inventory </w:t>
            </w:r>
            <w:r w:rsidR="007743E5">
              <w:t xml:space="preserve">of gifts from </w:t>
            </w:r>
            <w:proofErr w:type="spellStart"/>
            <w:r w:rsidR="007743E5">
              <w:t>Tusrata</w:t>
            </w:r>
            <w:proofErr w:type="spellEnd"/>
            <w:r>
              <w:t>, EA 22, VAT 395, 29-36</w:t>
            </w:r>
          </w:p>
        </w:tc>
        <w:tc>
          <w:tcPr>
            <w:tcW w:w="1473" w:type="dxa"/>
          </w:tcPr>
          <w:p w:rsidR="00DA4F94" w:rsidRDefault="00D0099D">
            <w:r>
              <w:t xml:space="preserve">The kings in question were related, </w:t>
            </w:r>
            <w:proofErr w:type="spellStart"/>
            <w:r>
              <w:t>Nimmureya</w:t>
            </w:r>
            <w:proofErr w:type="spellEnd"/>
            <w:r>
              <w:t xml:space="preserve"> having been the brother and son-in law</w:t>
            </w:r>
          </w:p>
        </w:tc>
        <w:tc>
          <w:tcPr>
            <w:tcW w:w="1427" w:type="dxa"/>
          </w:tcPr>
          <w:p w:rsidR="00DA4F94" w:rsidRDefault="00D0099D">
            <w:r>
              <w:t xml:space="preserve">Listing wedding gifts of 6 different sorts of scented oils and one sweet oil mix, kept in scented containers </w:t>
            </w:r>
          </w:p>
        </w:tc>
        <w:tc>
          <w:tcPr>
            <w:tcW w:w="1341" w:type="dxa"/>
          </w:tcPr>
          <w:p w:rsidR="00DA4F94" w:rsidRDefault="00D0099D">
            <w:r>
              <w:t>(Moran 1987: 55)</w:t>
            </w:r>
          </w:p>
        </w:tc>
      </w:tr>
      <w:tr w:rsidR="00DA4F94" w:rsidTr="00990D39">
        <w:tc>
          <w:tcPr>
            <w:tcW w:w="1551" w:type="dxa"/>
          </w:tcPr>
          <w:p w:rsidR="00DA4F94" w:rsidRDefault="003E55A4">
            <w:r>
              <w:lastRenderedPageBreak/>
              <w:t>Ugarit and Egypt</w:t>
            </w:r>
          </w:p>
        </w:tc>
        <w:tc>
          <w:tcPr>
            <w:tcW w:w="1528" w:type="dxa"/>
          </w:tcPr>
          <w:p w:rsidR="00DA4F94" w:rsidRDefault="003E55A4">
            <w:r>
              <w:t xml:space="preserve">The queen of Ugarit, </w:t>
            </w:r>
            <w:proofErr w:type="spellStart"/>
            <w:r>
              <w:t>Pudu</w:t>
            </w:r>
            <w:proofErr w:type="spellEnd"/>
            <w:r>
              <w:t xml:space="preserve"> </w:t>
            </w:r>
            <w:proofErr w:type="spellStart"/>
            <w:r>
              <w:t>Heba</w:t>
            </w:r>
            <w:proofErr w:type="spellEnd"/>
            <w:r>
              <w:t xml:space="preserve"> to the queen of Egypt</w:t>
            </w:r>
          </w:p>
        </w:tc>
        <w:tc>
          <w:tcPr>
            <w:tcW w:w="1742" w:type="dxa"/>
          </w:tcPr>
          <w:p w:rsidR="00DA4F94" w:rsidRDefault="003E55A4">
            <w:r>
              <w:t>Amarna letter, A jar of balsam for my lady, EA 48, VAT 1690</w:t>
            </w:r>
          </w:p>
        </w:tc>
        <w:tc>
          <w:tcPr>
            <w:tcW w:w="1473" w:type="dxa"/>
          </w:tcPr>
          <w:p w:rsidR="00DA4F94" w:rsidRDefault="003E55A4">
            <w:r>
              <w:t>A jar of aromatic balsam is requested for the queen of Egypt</w:t>
            </w:r>
          </w:p>
        </w:tc>
        <w:tc>
          <w:tcPr>
            <w:tcW w:w="1427" w:type="dxa"/>
          </w:tcPr>
          <w:p w:rsidR="00DA4F94" w:rsidRDefault="003E55A4">
            <w:r>
              <w:t>A jar of aromatic balsam</w:t>
            </w:r>
          </w:p>
        </w:tc>
        <w:tc>
          <w:tcPr>
            <w:tcW w:w="1341" w:type="dxa"/>
          </w:tcPr>
          <w:p w:rsidR="00DA4F94" w:rsidRDefault="003E55A4">
            <w:r>
              <w:t>(Moran 1987: 120)</w:t>
            </w:r>
          </w:p>
        </w:tc>
      </w:tr>
      <w:tr w:rsidR="00DA4F94" w:rsidTr="00990D39">
        <w:tc>
          <w:tcPr>
            <w:tcW w:w="1551" w:type="dxa"/>
          </w:tcPr>
          <w:p w:rsidR="00DA4F94" w:rsidRDefault="00100345">
            <w:r>
              <w:t>Pylos, Aegean</w:t>
            </w:r>
            <w:r w:rsidR="00FC6B49">
              <w:t>,</w:t>
            </w:r>
          </w:p>
          <w:p w:rsidR="00FC6B49" w:rsidRDefault="00FC6B49">
            <w:r>
              <w:t>Rooms: 20,23,24,32,38 and the courtyard 63</w:t>
            </w:r>
          </w:p>
        </w:tc>
        <w:tc>
          <w:tcPr>
            <w:tcW w:w="1528" w:type="dxa"/>
          </w:tcPr>
          <w:p w:rsidR="00DA4F94" w:rsidRDefault="00FC6B49">
            <w:r>
              <w:t xml:space="preserve">Scribes: </w:t>
            </w:r>
          </w:p>
          <w:p w:rsidR="00FC6B49" w:rsidRDefault="00FC6B49">
            <w:r>
              <w:t xml:space="preserve">-H2,H44,S1217 Cii,S1219 </w:t>
            </w:r>
            <w:proofErr w:type="spellStart"/>
            <w:r>
              <w:t>Cii</w:t>
            </w:r>
            <w:proofErr w:type="spellEnd"/>
            <w:r>
              <w:t xml:space="preserve">, H34,S1203 Cii,H4, H41 and </w:t>
            </w:r>
            <w:proofErr w:type="spellStart"/>
            <w:r>
              <w:t>Ua</w:t>
            </w:r>
            <w:proofErr w:type="spellEnd"/>
            <w:r>
              <w:t xml:space="preserve"> 1252 </w:t>
            </w:r>
            <w:proofErr w:type="spellStart"/>
            <w:r>
              <w:t>Cii</w:t>
            </w:r>
            <w:proofErr w:type="spellEnd"/>
          </w:p>
        </w:tc>
        <w:tc>
          <w:tcPr>
            <w:tcW w:w="1742" w:type="dxa"/>
          </w:tcPr>
          <w:p w:rsidR="00DA4F94" w:rsidRDefault="00FC6B49">
            <w:r>
              <w:t xml:space="preserve">Pylos archives </w:t>
            </w:r>
          </w:p>
        </w:tc>
        <w:tc>
          <w:tcPr>
            <w:tcW w:w="1473" w:type="dxa"/>
          </w:tcPr>
          <w:p w:rsidR="00DA4F94" w:rsidRDefault="00FC6B49">
            <w:r>
              <w:t>-</w:t>
            </w:r>
          </w:p>
        </w:tc>
        <w:tc>
          <w:tcPr>
            <w:tcW w:w="1427" w:type="dxa"/>
          </w:tcPr>
          <w:p w:rsidR="00DA4F94" w:rsidRDefault="00FC6B49">
            <w:r>
              <w:t>Mention “oil”</w:t>
            </w:r>
          </w:p>
        </w:tc>
        <w:tc>
          <w:tcPr>
            <w:tcW w:w="1341" w:type="dxa"/>
          </w:tcPr>
          <w:p w:rsidR="00DA4F94" w:rsidRDefault="00FC6B49">
            <w:r>
              <w:t>(</w:t>
            </w:r>
            <w:proofErr w:type="spellStart"/>
            <w:r>
              <w:t>Palaima</w:t>
            </w:r>
            <w:proofErr w:type="spellEnd"/>
            <w:r>
              <w:t xml:space="preserve"> and Wright 1985: 257)</w:t>
            </w:r>
          </w:p>
        </w:tc>
      </w:tr>
    </w:tbl>
    <w:p w:rsidR="00693B80" w:rsidRDefault="004625B9">
      <w:r>
        <w:t>Fig.2 Chart displays primary textual sources and their content regarding oil.</w:t>
      </w:r>
    </w:p>
    <w:p w:rsidR="00100DA5" w:rsidRDefault="00100DA5"/>
    <w:tbl>
      <w:tblPr>
        <w:tblStyle w:val="Tabellenraster"/>
        <w:tblW w:w="0" w:type="auto"/>
        <w:tblLook w:val="04A0" w:firstRow="1" w:lastRow="0" w:firstColumn="1" w:lastColumn="0" w:noHBand="0" w:noVBand="1"/>
      </w:tblPr>
      <w:tblGrid>
        <w:gridCol w:w="2864"/>
        <w:gridCol w:w="2868"/>
        <w:gridCol w:w="1685"/>
        <w:gridCol w:w="1645"/>
      </w:tblGrid>
      <w:tr w:rsidR="0074281C" w:rsidTr="0074281C">
        <w:tc>
          <w:tcPr>
            <w:tcW w:w="2864" w:type="dxa"/>
          </w:tcPr>
          <w:p w:rsidR="0074281C" w:rsidRPr="0074281C" w:rsidRDefault="0074281C">
            <w:pPr>
              <w:rPr>
                <w:b/>
              </w:rPr>
            </w:pPr>
            <w:r w:rsidRPr="0074281C">
              <w:rPr>
                <w:b/>
              </w:rPr>
              <w:t>Vessel</w:t>
            </w:r>
          </w:p>
        </w:tc>
        <w:tc>
          <w:tcPr>
            <w:tcW w:w="2868" w:type="dxa"/>
          </w:tcPr>
          <w:p w:rsidR="0074281C" w:rsidRPr="0074281C" w:rsidRDefault="0074281C">
            <w:pPr>
              <w:rPr>
                <w:b/>
              </w:rPr>
            </w:pPr>
            <w:r w:rsidRPr="0074281C">
              <w:rPr>
                <w:b/>
              </w:rPr>
              <w:t>Excavated in</w:t>
            </w:r>
          </w:p>
        </w:tc>
        <w:tc>
          <w:tcPr>
            <w:tcW w:w="1685" w:type="dxa"/>
          </w:tcPr>
          <w:p w:rsidR="0074281C" w:rsidRPr="0074281C" w:rsidRDefault="0074281C">
            <w:pPr>
              <w:rPr>
                <w:b/>
              </w:rPr>
            </w:pPr>
            <w:r w:rsidRPr="0074281C">
              <w:rPr>
                <w:b/>
              </w:rPr>
              <w:t>Time period</w:t>
            </w:r>
          </w:p>
        </w:tc>
        <w:tc>
          <w:tcPr>
            <w:tcW w:w="1645" w:type="dxa"/>
          </w:tcPr>
          <w:p w:rsidR="0074281C" w:rsidRPr="0074281C" w:rsidRDefault="0074281C">
            <w:pPr>
              <w:rPr>
                <w:b/>
              </w:rPr>
            </w:pPr>
            <w:r w:rsidRPr="0074281C">
              <w:rPr>
                <w:b/>
              </w:rPr>
              <w:t>Reference</w:t>
            </w:r>
          </w:p>
        </w:tc>
      </w:tr>
      <w:tr w:rsidR="0074281C" w:rsidTr="0074281C">
        <w:tc>
          <w:tcPr>
            <w:tcW w:w="2864" w:type="dxa"/>
          </w:tcPr>
          <w:p w:rsidR="0074281C" w:rsidRDefault="0074281C">
            <w:r>
              <w:t>Transport stirrup Jar</w:t>
            </w:r>
          </w:p>
        </w:tc>
        <w:tc>
          <w:tcPr>
            <w:tcW w:w="2868" w:type="dxa"/>
          </w:tcPr>
          <w:p w:rsidR="0074281C" w:rsidRDefault="0074281C">
            <w:proofErr w:type="spellStart"/>
            <w:r>
              <w:t>Episkopi</w:t>
            </w:r>
            <w:proofErr w:type="spellEnd"/>
            <w:r>
              <w:t xml:space="preserve"> </w:t>
            </w:r>
            <w:proofErr w:type="spellStart"/>
            <w:r>
              <w:t>Bamboula</w:t>
            </w:r>
            <w:proofErr w:type="spellEnd"/>
            <w:r w:rsidR="00E85F04">
              <w:t>, Cyprus</w:t>
            </w:r>
          </w:p>
        </w:tc>
        <w:tc>
          <w:tcPr>
            <w:tcW w:w="1685" w:type="dxa"/>
          </w:tcPr>
          <w:p w:rsidR="0074281C" w:rsidRDefault="0074281C">
            <w:r>
              <w:t>Late Minoan III</w:t>
            </w:r>
          </w:p>
        </w:tc>
        <w:tc>
          <w:tcPr>
            <w:tcW w:w="1645" w:type="dxa"/>
          </w:tcPr>
          <w:p w:rsidR="0074281C" w:rsidRDefault="0074281C">
            <w:r>
              <w:t xml:space="preserve">(Knapp and </w:t>
            </w:r>
            <w:proofErr w:type="spellStart"/>
            <w:r>
              <w:t>Demesticha</w:t>
            </w:r>
            <w:proofErr w:type="spellEnd"/>
            <w:r>
              <w:t xml:space="preserve"> 2016)</w:t>
            </w:r>
          </w:p>
        </w:tc>
      </w:tr>
      <w:tr w:rsidR="0074281C" w:rsidTr="0074281C">
        <w:tc>
          <w:tcPr>
            <w:tcW w:w="2864" w:type="dxa"/>
          </w:tcPr>
          <w:p w:rsidR="0074281C" w:rsidRDefault="00E1010B">
            <w:r>
              <w:t>Transport stirrup Jars</w:t>
            </w:r>
            <w:r w:rsidR="003E479F">
              <w:t>, no.KW 255</w:t>
            </w:r>
          </w:p>
        </w:tc>
        <w:tc>
          <w:tcPr>
            <w:tcW w:w="2868" w:type="dxa"/>
          </w:tcPr>
          <w:p w:rsidR="0074281C" w:rsidRDefault="00E1010B">
            <w:proofErr w:type="spellStart"/>
            <w:r>
              <w:t>Uluburun</w:t>
            </w:r>
            <w:proofErr w:type="spellEnd"/>
            <w:r>
              <w:t xml:space="preserve"> Shipwreck, point </w:t>
            </w:r>
            <w:proofErr w:type="spellStart"/>
            <w:r>
              <w:t>Iria</w:t>
            </w:r>
            <w:proofErr w:type="spellEnd"/>
            <w:r>
              <w:t xml:space="preserve"> wreck deposit </w:t>
            </w:r>
          </w:p>
        </w:tc>
        <w:tc>
          <w:tcPr>
            <w:tcW w:w="1685" w:type="dxa"/>
          </w:tcPr>
          <w:p w:rsidR="0074281C" w:rsidRDefault="00E1010B">
            <w:r>
              <w:t>unknown</w:t>
            </w:r>
          </w:p>
        </w:tc>
        <w:tc>
          <w:tcPr>
            <w:tcW w:w="1645" w:type="dxa"/>
          </w:tcPr>
          <w:p w:rsidR="0074281C" w:rsidRDefault="00E1010B">
            <w:r>
              <w:t xml:space="preserve">(Knapp and </w:t>
            </w:r>
            <w:proofErr w:type="spellStart"/>
            <w:r>
              <w:t>Demesticha</w:t>
            </w:r>
            <w:proofErr w:type="spellEnd"/>
            <w:r>
              <w:t xml:space="preserve"> 2016)</w:t>
            </w:r>
          </w:p>
        </w:tc>
      </w:tr>
      <w:tr w:rsidR="0074281C" w:rsidTr="0074281C">
        <w:tc>
          <w:tcPr>
            <w:tcW w:w="2864" w:type="dxa"/>
          </w:tcPr>
          <w:p w:rsidR="0074281C" w:rsidRDefault="00E85F04">
            <w:r>
              <w:t>Small oil containers, deposit 213</w:t>
            </w:r>
          </w:p>
        </w:tc>
        <w:tc>
          <w:tcPr>
            <w:tcW w:w="2868" w:type="dxa"/>
          </w:tcPr>
          <w:p w:rsidR="0074281C" w:rsidRDefault="00E85F04">
            <w:proofErr w:type="spellStart"/>
            <w:r>
              <w:t>Minet</w:t>
            </w:r>
            <w:proofErr w:type="spellEnd"/>
            <w:r>
              <w:t xml:space="preserve"> el-</w:t>
            </w:r>
            <w:proofErr w:type="spellStart"/>
            <w:r>
              <w:t>Beida</w:t>
            </w:r>
            <w:proofErr w:type="spellEnd"/>
            <w:r>
              <w:t>, Syria</w:t>
            </w:r>
          </w:p>
        </w:tc>
        <w:tc>
          <w:tcPr>
            <w:tcW w:w="1685" w:type="dxa"/>
          </w:tcPr>
          <w:p w:rsidR="0074281C" w:rsidRDefault="00E85F04">
            <w:r>
              <w:t>Amarna period</w:t>
            </w:r>
          </w:p>
        </w:tc>
        <w:tc>
          <w:tcPr>
            <w:tcW w:w="1645" w:type="dxa"/>
          </w:tcPr>
          <w:p w:rsidR="0074281C" w:rsidRDefault="00E85F04">
            <w:r>
              <w:t>(Bevan 2007: 148)</w:t>
            </w:r>
          </w:p>
        </w:tc>
      </w:tr>
    </w:tbl>
    <w:p w:rsidR="00100DA5" w:rsidRDefault="004625B9">
      <w:r>
        <w:t>Fig.3 Chart shows various ceramic vessels, likely to have carried oil</w:t>
      </w:r>
      <w:r w:rsidR="00AE09A7">
        <w:t xml:space="preserve"> or olive oil (Knapp and </w:t>
      </w:r>
      <w:proofErr w:type="spellStart"/>
      <w:r w:rsidR="00AE09A7">
        <w:t>Demesticha</w:t>
      </w:r>
      <w:proofErr w:type="spellEnd"/>
      <w:r w:rsidR="00AE09A7">
        <w:t xml:space="preserve"> 2016)</w:t>
      </w:r>
      <w:r>
        <w:t xml:space="preserve">. </w:t>
      </w:r>
    </w:p>
    <w:p w:rsidR="00100DA5" w:rsidRDefault="00100DA5"/>
    <w:p w:rsidR="00D63109" w:rsidRDefault="00D63109"/>
    <w:p w:rsidR="00D63109" w:rsidRDefault="00D63109"/>
    <w:p w:rsidR="00D63109" w:rsidRDefault="00D63109"/>
    <w:p w:rsidR="00D63109" w:rsidRDefault="00D63109"/>
    <w:p w:rsidR="00D63109" w:rsidRDefault="00D63109"/>
    <w:p w:rsidR="00D63109" w:rsidRDefault="00D63109"/>
    <w:p w:rsidR="00D63109" w:rsidRDefault="00D63109"/>
    <w:p w:rsidR="00D63109" w:rsidRDefault="00D63109"/>
    <w:p w:rsidR="00D63109" w:rsidRDefault="00D63109"/>
    <w:p w:rsidR="00D63109" w:rsidRDefault="00D63109"/>
    <w:p w:rsidR="00C562EE" w:rsidRPr="00A36FCD" w:rsidRDefault="00C562EE" w:rsidP="00A36FCD">
      <w:pPr>
        <w:jc w:val="center"/>
        <w:rPr>
          <w:b/>
        </w:rPr>
      </w:pPr>
    </w:p>
    <w:p w:rsidR="00D519C0" w:rsidRDefault="00D519C0" w:rsidP="00A36FCD">
      <w:pPr>
        <w:jc w:val="center"/>
        <w:rPr>
          <w:b/>
          <w:sz w:val="24"/>
          <w:szCs w:val="24"/>
          <w:u w:val="single"/>
        </w:rPr>
      </w:pPr>
    </w:p>
    <w:p w:rsidR="00D519C0" w:rsidRDefault="00D519C0" w:rsidP="00A36FCD">
      <w:pPr>
        <w:jc w:val="center"/>
        <w:rPr>
          <w:b/>
          <w:sz w:val="24"/>
          <w:szCs w:val="24"/>
          <w:u w:val="single"/>
        </w:rPr>
      </w:pPr>
    </w:p>
    <w:p w:rsidR="00693B80" w:rsidRPr="0076111C" w:rsidRDefault="00A36FCD" w:rsidP="00A36FCD">
      <w:pPr>
        <w:jc w:val="center"/>
        <w:rPr>
          <w:b/>
          <w:sz w:val="24"/>
          <w:szCs w:val="24"/>
          <w:u w:val="single"/>
        </w:rPr>
      </w:pPr>
      <w:r w:rsidRPr="0076111C">
        <w:rPr>
          <w:b/>
          <w:sz w:val="24"/>
          <w:szCs w:val="24"/>
          <w:u w:val="single"/>
        </w:rPr>
        <w:lastRenderedPageBreak/>
        <w:t>Evaluating the primary data and relating the evidence</w:t>
      </w:r>
    </w:p>
    <w:p w:rsidR="00100345" w:rsidRDefault="00100345">
      <w:r>
        <w:t>Cline (2009:28) obviously shows us that the bulk of traded Mesopotamian objects was imported to the mainland Aegean, which might mean that in exchange, the Aegean had desirable products to be traded into Mesopotamia, given that the Aegean mainland increasingly played a major role in olive oil and perfumed oil production because of its increased export of oil-containing Mycenaean vessels (</w:t>
      </w:r>
      <w:r>
        <w:t>Steel 2013:133</w:t>
      </w:r>
      <w:r>
        <w:t>), leading to a possibility of Mycenaean oil-product containing vessels into Mesopotamia.</w:t>
      </w:r>
    </w:p>
    <w:p w:rsidR="00493240" w:rsidRDefault="00551BCA" w:rsidP="00493240">
      <w:proofErr w:type="spellStart"/>
      <w:r>
        <w:t>Excempting</w:t>
      </w:r>
      <w:proofErr w:type="spellEnd"/>
      <w:r>
        <w:t xml:space="preserve"> a merchant from having to pay a share of his traded oil to the Ugaritic king</w:t>
      </w:r>
      <w:r w:rsidR="00E61ED9">
        <w:t xml:space="preserve"> </w:t>
      </w:r>
      <w:r w:rsidR="00E61ED9">
        <w:t xml:space="preserve">(Knapp and </w:t>
      </w:r>
      <w:proofErr w:type="spellStart"/>
      <w:r w:rsidR="00E61ED9">
        <w:t>Demesticha</w:t>
      </w:r>
      <w:proofErr w:type="spellEnd"/>
      <w:r w:rsidR="00E61ED9">
        <w:t xml:space="preserve"> 2016)</w:t>
      </w:r>
      <w:r w:rsidR="00E61ED9">
        <w:t xml:space="preserve"> </w:t>
      </w:r>
      <w:r>
        <w:t>, would</w:t>
      </w:r>
      <w:r w:rsidR="00E61ED9">
        <w:t xml:space="preserve"> make oil function as a commodity in this instance, confirming </w:t>
      </w:r>
      <w:r>
        <w:t xml:space="preserve"> </w:t>
      </w:r>
      <w:proofErr w:type="spellStart"/>
      <w:r>
        <w:t>Sherrat</w:t>
      </w:r>
      <w:proofErr w:type="spellEnd"/>
      <w:r>
        <w:t xml:space="preserve"> and </w:t>
      </w:r>
      <w:proofErr w:type="spellStart"/>
      <w:r>
        <w:t>Sherrats</w:t>
      </w:r>
      <w:proofErr w:type="spellEnd"/>
      <w:r>
        <w:t xml:space="preserve">’ </w:t>
      </w:r>
      <w:r w:rsidR="00E61ED9">
        <w:t xml:space="preserve">( 1991) </w:t>
      </w:r>
      <w:r>
        <w:t xml:space="preserve">assumption that </w:t>
      </w:r>
      <w:r w:rsidR="00E61ED9">
        <w:t>commodities were most frequently exchanged between merchants. Also suggesting that oil would have been a commodity in certain instances, are the findings from the Pylos archives (</w:t>
      </w:r>
      <w:proofErr w:type="spellStart"/>
      <w:r w:rsidR="00E61ED9">
        <w:t>Palaima</w:t>
      </w:r>
      <w:proofErr w:type="spellEnd"/>
      <w:r w:rsidR="00E61ED9">
        <w:t xml:space="preserve"> and Wright 1985: 257)</w:t>
      </w:r>
      <w:r w:rsidR="00E61ED9">
        <w:t xml:space="preserve">, as they solely mention “oil”, but no receiver or giver of said product as would have been expected if gift exchange would involve an already existing, close-kin like relationship (Steel 2013: 98-99). </w:t>
      </w:r>
      <w:r w:rsidR="00C801EF">
        <w:t xml:space="preserve">Also, 1800 stirrup jars having been stored at Knossos as mentioned by a </w:t>
      </w:r>
      <w:proofErr w:type="gramStart"/>
      <w:r w:rsidR="00C801EF">
        <w:t>linear</w:t>
      </w:r>
      <w:proofErr w:type="gramEnd"/>
      <w:r w:rsidR="00C801EF">
        <w:t xml:space="preserve"> B tablet </w:t>
      </w:r>
      <w:r w:rsidR="00C801EF">
        <w:t xml:space="preserve">(Knapp and </w:t>
      </w:r>
      <w:proofErr w:type="spellStart"/>
      <w:r w:rsidR="00C801EF">
        <w:t>Demesticha</w:t>
      </w:r>
      <w:proofErr w:type="spellEnd"/>
      <w:r w:rsidR="00C801EF">
        <w:t xml:space="preserve"> 2016)</w:t>
      </w:r>
      <w:r w:rsidR="00C801EF">
        <w:t xml:space="preserve">, suggest that those were not a rarity, given their large number. However, </w:t>
      </w:r>
      <w:r w:rsidR="0069402F">
        <w:t xml:space="preserve">gifts would have often been identified by having been luxurious and special (Steel 2013:97). </w:t>
      </w:r>
      <w:r w:rsidR="00493240">
        <w:t xml:space="preserve">Further, findings from the </w:t>
      </w:r>
      <w:proofErr w:type="spellStart"/>
      <w:r w:rsidR="00493240">
        <w:t>Uluburun</w:t>
      </w:r>
      <w:proofErr w:type="spellEnd"/>
      <w:r w:rsidR="00493240">
        <w:t xml:space="preserve"> shipwreck suggest that oil-based products were part of mercantile trade and possibly a commodity (Knapp and </w:t>
      </w:r>
      <w:proofErr w:type="spellStart"/>
      <w:r w:rsidR="00493240">
        <w:t>Demesticha</w:t>
      </w:r>
      <w:proofErr w:type="spellEnd"/>
      <w:r w:rsidR="00493240">
        <w:t xml:space="preserve"> 2016)</w:t>
      </w:r>
      <w:r w:rsidR="00522B8E">
        <w:t xml:space="preserve">, as would possible oil contents having been within the storage </w:t>
      </w:r>
      <w:r w:rsidR="00474C5B">
        <w:t xml:space="preserve">stirrup jars on Cyprus suggest, given the size of the vessel and its contents’  consequential availability </w:t>
      </w:r>
      <w:r w:rsidR="00474C5B">
        <w:t xml:space="preserve">(Knapp and </w:t>
      </w:r>
      <w:proofErr w:type="spellStart"/>
      <w:r w:rsidR="00474C5B">
        <w:t>Demesticha</w:t>
      </w:r>
      <w:proofErr w:type="spellEnd"/>
      <w:r w:rsidR="00474C5B">
        <w:t xml:space="preserve"> 2016)</w:t>
      </w:r>
      <w:r w:rsidR="00474C5B">
        <w:t>.</w:t>
      </w:r>
    </w:p>
    <w:p w:rsidR="000D286E" w:rsidRDefault="000D286E">
      <w:r>
        <w:t xml:space="preserve">The </w:t>
      </w:r>
      <w:r>
        <w:t xml:space="preserve">Amarna letter, Inventory of gifts from </w:t>
      </w:r>
      <w:proofErr w:type="spellStart"/>
      <w:r>
        <w:t>Tusrata</w:t>
      </w:r>
      <w:proofErr w:type="spellEnd"/>
      <w:r>
        <w:t xml:space="preserve"> (</w:t>
      </w:r>
      <w:r>
        <w:t>Moran 1987: 55)</w:t>
      </w:r>
      <w:r>
        <w:t>, show a kinship relationship between the people exchanging gifts, a confirmation of the theory that kin-like relationships are often involving gift exchange (Steel 2013:98-99).</w:t>
      </w:r>
      <w:r w:rsidR="00493240">
        <w:t xml:space="preserve"> The assumption, that a relationship has to be already in existence before gift exchange can take place ( </w:t>
      </w:r>
      <w:proofErr w:type="spellStart"/>
      <w:r w:rsidR="00493240">
        <w:t>Goulder</w:t>
      </w:r>
      <w:proofErr w:type="spellEnd"/>
      <w:r w:rsidR="00493240">
        <w:t xml:space="preserve"> 1960), would find support in the letter of the queen of Ugarit to the Egyptian queen (</w:t>
      </w:r>
      <w:r w:rsidR="00493240">
        <w:t>Moran 1987: 120)</w:t>
      </w:r>
      <w:r w:rsidR="00493240">
        <w:t xml:space="preserve">, as they have been addressing each other in a manner evoking familiarity. </w:t>
      </w:r>
    </w:p>
    <w:p w:rsidR="00493240" w:rsidRDefault="00493240">
      <w:r>
        <w:t>Given the size of the small oil containers found in Syria (</w:t>
      </w:r>
      <w:r>
        <w:t>Bevan 2007: 148)</w:t>
      </w:r>
      <w:r>
        <w:t xml:space="preserve">, would suggest that the content must have been valuable and not easily available </w:t>
      </w:r>
      <w:proofErr w:type="spellStart"/>
      <w:r>
        <w:t>en</w:t>
      </w:r>
      <w:proofErr w:type="spellEnd"/>
      <w:r>
        <w:t xml:space="preserve"> masse, making it certainly either a highly valued commodity or a gift. </w:t>
      </w:r>
    </w:p>
    <w:p w:rsidR="00474C5B" w:rsidRDefault="00474C5B" w:rsidP="00474C5B">
      <w:r>
        <w:t xml:space="preserve">To give further context, I will elaborate on the then contemporary developments regarding oil-product exchange within the Bronze Age Mediterranean. </w:t>
      </w:r>
      <w:r w:rsidR="000C606A">
        <w:t>Mycenaean vessels tend</w:t>
      </w:r>
      <w:r>
        <w:t>ed</w:t>
      </w:r>
      <w:r w:rsidR="000C606A">
        <w:t xml:space="preserve"> to be rather seldom during the fifteenth century B.C., suggesting that </w:t>
      </w:r>
      <w:proofErr w:type="gramStart"/>
      <w:r w:rsidR="000C606A">
        <w:t>they</w:t>
      </w:r>
      <w:proofErr w:type="gramEnd"/>
      <w:r w:rsidR="000C606A">
        <w:t xml:space="preserve"> were a desired rarity with the Aegean and Levantine elite (Steel 2013:131).</w:t>
      </w:r>
      <w:r w:rsidR="004279AB">
        <w:t xml:space="preserve"> During the following two centuries, such vessels become more common (Steel 2013:131), which would lead to the conclusion that whatever was transported within said vessels was becoming widely available, not exclusively to the elite. Given that olive oil might have been exchanged within Mycenaean vessels such as stirrup jars (Bevan 2007:138), olive oil could have made the transition from a general rarity and gift, to a more inclusive commodity. </w:t>
      </w:r>
      <w:r w:rsidR="00A1185D">
        <w:t xml:space="preserve"> </w:t>
      </w:r>
    </w:p>
    <w:p w:rsidR="008D2AC8" w:rsidRDefault="008D2AC8"/>
    <w:p w:rsidR="00474C5B" w:rsidRDefault="00474C5B" w:rsidP="0076111C">
      <w:pPr>
        <w:jc w:val="center"/>
        <w:rPr>
          <w:b/>
          <w:sz w:val="24"/>
          <w:szCs w:val="24"/>
          <w:u w:val="single"/>
        </w:rPr>
      </w:pPr>
    </w:p>
    <w:p w:rsidR="00474C5B" w:rsidRDefault="00474C5B" w:rsidP="0076111C">
      <w:pPr>
        <w:jc w:val="center"/>
        <w:rPr>
          <w:b/>
          <w:sz w:val="24"/>
          <w:szCs w:val="24"/>
          <w:u w:val="single"/>
        </w:rPr>
      </w:pPr>
    </w:p>
    <w:p w:rsidR="00474C5B" w:rsidRDefault="00474C5B" w:rsidP="0076111C">
      <w:pPr>
        <w:jc w:val="center"/>
        <w:rPr>
          <w:b/>
          <w:sz w:val="24"/>
          <w:szCs w:val="24"/>
          <w:u w:val="single"/>
        </w:rPr>
      </w:pPr>
    </w:p>
    <w:p w:rsidR="0076111C" w:rsidRPr="0076111C" w:rsidRDefault="0076111C" w:rsidP="0076111C">
      <w:pPr>
        <w:jc w:val="center"/>
        <w:rPr>
          <w:b/>
          <w:sz w:val="24"/>
          <w:szCs w:val="24"/>
          <w:u w:val="single"/>
        </w:rPr>
      </w:pPr>
      <w:r w:rsidRPr="0076111C">
        <w:rPr>
          <w:b/>
          <w:sz w:val="24"/>
          <w:szCs w:val="24"/>
          <w:u w:val="single"/>
        </w:rPr>
        <w:lastRenderedPageBreak/>
        <w:t xml:space="preserve">Concluding thoughts on the significance of oil trade within the Bronze Age Mediterranean </w:t>
      </w:r>
      <w:proofErr w:type="gramStart"/>
      <w:r w:rsidRPr="0076111C">
        <w:rPr>
          <w:b/>
          <w:sz w:val="24"/>
          <w:szCs w:val="24"/>
          <w:u w:val="single"/>
        </w:rPr>
        <w:t>regarding</w:t>
      </w:r>
      <w:proofErr w:type="gramEnd"/>
      <w:r w:rsidRPr="0076111C">
        <w:rPr>
          <w:b/>
          <w:sz w:val="24"/>
          <w:szCs w:val="24"/>
          <w:u w:val="single"/>
        </w:rPr>
        <w:t xml:space="preserve"> Interconnectivity</w:t>
      </w:r>
    </w:p>
    <w:p w:rsidR="0059741A" w:rsidRDefault="0059741A">
      <w:pPr>
        <w:rPr>
          <w:b/>
        </w:rPr>
      </w:pPr>
    </w:p>
    <w:p w:rsidR="0076111C" w:rsidRPr="0076111C" w:rsidRDefault="0076111C"/>
    <w:p w:rsidR="0059741A" w:rsidRPr="00474C5B" w:rsidRDefault="00474C5B">
      <w:r>
        <w:t xml:space="preserve">In conclusion, oil-based products were first, during the fifteenth century B.C, more rare to obtain, given that the main centre of oil-based products has firstly been within the Mycenaean world (Steel 2013:133), and consequential not as distributed between the non-elite, but rather used for gift exchange. Continuing down the Bronze Age, oil cultivation seemingly increased and its products became more widely available, stored, shipped and distributed perhaps in </w:t>
      </w:r>
      <w:proofErr w:type="spellStart"/>
      <w:r>
        <w:t>Meopotamia</w:t>
      </w:r>
      <w:proofErr w:type="spellEnd"/>
      <w:r>
        <w:t xml:space="preserve"> (Cline 2009:28), </w:t>
      </w:r>
      <w:r w:rsidR="0081392B">
        <w:t xml:space="preserve">on Cyprus </w:t>
      </w:r>
      <w:r w:rsidR="0081392B">
        <w:t xml:space="preserve">(Knapp and </w:t>
      </w:r>
      <w:proofErr w:type="spellStart"/>
      <w:r w:rsidR="0081392B">
        <w:t>Demesticha</w:t>
      </w:r>
      <w:proofErr w:type="spellEnd"/>
      <w:r w:rsidR="0081392B">
        <w:t xml:space="preserve"> 2016)</w:t>
      </w:r>
      <w:r w:rsidR="0081392B">
        <w:t xml:space="preserve">, fell victim to the sea </w:t>
      </w:r>
      <w:r w:rsidR="0081392B">
        <w:t xml:space="preserve">(Knapp and </w:t>
      </w:r>
      <w:proofErr w:type="spellStart"/>
      <w:r w:rsidR="0081392B">
        <w:t>Demesticha</w:t>
      </w:r>
      <w:proofErr w:type="spellEnd"/>
      <w:r w:rsidR="0081392B">
        <w:t xml:space="preserve"> 2016)</w:t>
      </w:r>
      <w:r w:rsidR="0081392B">
        <w:t>, indicating a wider demand for it, stored at Mycenaean palaces such as Pylos (</w:t>
      </w:r>
      <w:proofErr w:type="spellStart"/>
      <w:r w:rsidR="0081392B">
        <w:t>Palaima</w:t>
      </w:r>
      <w:proofErr w:type="spellEnd"/>
      <w:r w:rsidR="0081392B">
        <w:t xml:space="preserve"> and Wright 1985: 257</w:t>
      </w:r>
      <w:r w:rsidR="0081392B">
        <w:t xml:space="preserve">), and being stored </w:t>
      </w:r>
      <w:proofErr w:type="spellStart"/>
      <w:r w:rsidR="0081392B">
        <w:t>en</w:t>
      </w:r>
      <w:proofErr w:type="spellEnd"/>
      <w:r w:rsidR="0081392B">
        <w:t xml:space="preserve"> masse at Knossos </w:t>
      </w:r>
      <w:r w:rsidR="0081392B">
        <w:t xml:space="preserve">(Knapp and </w:t>
      </w:r>
      <w:proofErr w:type="spellStart"/>
      <w:r w:rsidR="0081392B">
        <w:t>Demesticha</w:t>
      </w:r>
      <w:proofErr w:type="spellEnd"/>
      <w:r w:rsidR="0081392B">
        <w:t xml:space="preserve"> 2016)</w:t>
      </w:r>
      <w:r w:rsidR="0081392B">
        <w:t xml:space="preserve">. However, still some products, such as the perfumed oils and unguents, more difficult to produce, were still more difficult to acquire and required an often kinship-like gift exchange relationship between elites (Bevan 2007: 148, Moran 1987: 55 and 120, and </w:t>
      </w:r>
      <w:r w:rsidR="0081392B">
        <w:t xml:space="preserve">Knapp and </w:t>
      </w:r>
      <w:proofErr w:type="spellStart"/>
      <w:r w:rsidR="0081392B">
        <w:t>Demesticha</w:t>
      </w:r>
      <w:proofErr w:type="spellEnd"/>
      <w:r w:rsidR="0081392B">
        <w:t xml:space="preserve"> 2016)</w:t>
      </w:r>
      <w:r w:rsidR="0081392B">
        <w:t xml:space="preserve">. Overall making oil-based products crucial for the interconnectivity between elites from different regions within the eastern Mediterranean Bronze Age, as well as serving as raw </w:t>
      </w:r>
      <w:proofErr w:type="spellStart"/>
      <w:r w:rsidR="0081392B">
        <w:t>en</w:t>
      </w:r>
      <w:proofErr w:type="spellEnd"/>
      <w:r w:rsidR="0081392B">
        <w:t xml:space="preserve"> masse commodity within mercantile trade. </w:t>
      </w: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76111C" w:rsidRDefault="0076111C">
      <w:pPr>
        <w:rPr>
          <w:b/>
        </w:rPr>
      </w:pPr>
    </w:p>
    <w:p w:rsidR="00BA64A8" w:rsidRPr="00D519C0" w:rsidRDefault="00D90FC9">
      <w:pPr>
        <w:rPr>
          <w:rFonts w:ascii="Calibri" w:hAnsi="Calibri"/>
          <w:b/>
          <w:bCs/>
          <w:color w:val="000000"/>
          <w:u w:val="single"/>
        </w:rPr>
      </w:pPr>
      <w:r w:rsidRPr="00D519C0">
        <w:rPr>
          <w:rFonts w:ascii="Calibri" w:hAnsi="Calibri"/>
          <w:b/>
          <w:bCs/>
          <w:color w:val="000000"/>
          <w:u w:val="single"/>
        </w:rPr>
        <w:t>Reference List</w:t>
      </w:r>
    </w:p>
    <w:p w:rsidR="00317A2D" w:rsidRDefault="00D90FC9">
      <w:pPr>
        <w:rPr>
          <w:rFonts w:ascii="Calibri" w:hAnsi="Calibri"/>
          <w:color w:val="000000"/>
        </w:rPr>
      </w:pPr>
      <w:r>
        <w:rPr>
          <w:rFonts w:ascii="Calibri" w:hAnsi="Calibri"/>
          <w:color w:val="000000"/>
        </w:rPr>
        <w:br/>
        <w:t xml:space="preserve">Ancient History Encyclopaedia 2018. Bronze Timeline. </w:t>
      </w:r>
      <w:hyperlink r:id="rId9" w:history="1">
        <w:r w:rsidR="00317A2D" w:rsidRPr="005B6B65">
          <w:rPr>
            <w:rStyle w:val="Hyperlink"/>
            <w:rFonts w:ascii="Calibri" w:hAnsi="Calibri"/>
          </w:rPr>
          <w:t>https://www.ancient.eu/timeline/Bronze/</w:t>
        </w:r>
      </w:hyperlink>
      <w:r w:rsidR="00317A2D">
        <w:rPr>
          <w:rFonts w:ascii="Calibri" w:hAnsi="Calibri"/>
          <w:color w:val="000000"/>
        </w:rPr>
        <w:t xml:space="preserve">         [</w:t>
      </w:r>
      <w:r>
        <w:rPr>
          <w:rFonts w:ascii="Calibri" w:hAnsi="Calibri"/>
          <w:color w:val="000000"/>
        </w:rPr>
        <w:t>Accessed 17th of march 2018</w:t>
      </w:r>
      <w:proofErr w:type="gramStart"/>
      <w:r>
        <w:rPr>
          <w:rFonts w:ascii="Calibri" w:hAnsi="Calibri"/>
          <w:color w:val="000000"/>
        </w:rPr>
        <w:t>]</w:t>
      </w:r>
      <w:proofErr w:type="gramEnd"/>
      <w:r>
        <w:rPr>
          <w:rFonts w:ascii="Calibri" w:hAnsi="Calibri"/>
          <w:color w:val="000000"/>
        </w:rPr>
        <w:br/>
      </w:r>
      <w:r>
        <w:rPr>
          <w:rFonts w:ascii="Calibri" w:hAnsi="Calibri"/>
          <w:color w:val="000000"/>
        </w:rPr>
        <w:br/>
      </w:r>
      <w:proofErr w:type="spellStart"/>
      <w:r>
        <w:rPr>
          <w:rFonts w:ascii="Calibri" w:hAnsi="Calibri"/>
          <w:color w:val="000000"/>
        </w:rPr>
        <w:t>Appadurai</w:t>
      </w:r>
      <w:proofErr w:type="spellEnd"/>
      <w:r>
        <w:rPr>
          <w:rFonts w:ascii="Calibri" w:hAnsi="Calibri"/>
          <w:color w:val="000000"/>
        </w:rPr>
        <w:t>, A. 1988. The social Life of Things: Commodities in cultural perspective. Cambridge: Cambridge University press.</w:t>
      </w:r>
      <w:r>
        <w:rPr>
          <w:rFonts w:ascii="Calibri" w:hAnsi="Calibri"/>
          <w:color w:val="000000"/>
        </w:rPr>
        <w:br/>
      </w:r>
      <w:r>
        <w:rPr>
          <w:rFonts w:ascii="Calibri" w:hAnsi="Calibri"/>
          <w:color w:val="000000"/>
        </w:rPr>
        <w:br/>
        <w:t>Bevan, A. 2007. Stone Vessels and Values in the Bronze Age Mediterranean. Cambridge: Cambridge University Press.</w:t>
      </w:r>
      <w:r>
        <w:rPr>
          <w:rFonts w:ascii="Calibri" w:hAnsi="Calibri"/>
          <w:color w:val="000000"/>
        </w:rPr>
        <w:br/>
      </w:r>
      <w:r>
        <w:rPr>
          <w:rFonts w:ascii="Calibri" w:hAnsi="Calibri"/>
          <w:color w:val="000000"/>
        </w:rPr>
        <w:br/>
        <w:t>Bourdieu, P. 1977. Outline of a Theory of Practice. Cambridge: Cambridge University Press.</w:t>
      </w:r>
      <w:r>
        <w:rPr>
          <w:rFonts w:ascii="Calibri" w:hAnsi="Calibri"/>
          <w:color w:val="000000"/>
        </w:rPr>
        <w:br/>
      </w:r>
      <w:r>
        <w:rPr>
          <w:rFonts w:ascii="Calibri" w:hAnsi="Calibri"/>
          <w:color w:val="000000"/>
        </w:rPr>
        <w:br/>
      </w:r>
      <w:proofErr w:type="spellStart"/>
      <w:r>
        <w:rPr>
          <w:rFonts w:ascii="Calibri" w:hAnsi="Calibri"/>
          <w:color w:val="000000"/>
        </w:rPr>
        <w:t>Cline</w:t>
      </w:r>
      <w:proofErr w:type="gramStart"/>
      <w:r>
        <w:rPr>
          <w:rFonts w:ascii="Calibri" w:hAnsi="Calibri"/>
          <w:color w:val="000000"/>
        </w:rPr>
        <w:t>,E</w:t>
      </w:r>
      <w:proofErr w:type="spellEnd"/>
      <w:proofErr w:type="gramEnd"/>
      <w:r>
        <w:rPr>
          <w:rFonts w:ascii="Calibri" w:hAnsi="Calibri"/>
          <w:color w:val="000000"/>
        </w:rPr>
        <w:t>. 2009. Sailing the Wine-Dark Sea: International trade and the Late Bronze Age Aegean. Oxford: BAR S591.</w:t>
      </w:r>
      <w:r>
        <w:rPr>
          <w:rFonts w:ascii="Calibri" w:hAnsi="Calibri"/>
          <w:color w:val="000000"/>
        </w:rPr>
        <w:br/>
      </w:r>
      <w:r>
        <w:rPr>
          <w:rFonts w:ascii="Calibri" w:hAnsi="Calibri"/>
          <w:color w:val="000000"/>
        </w:rPr>
        <w:br/>
        <w:t xml:space="preserve">Feldman, M. 2006. Diplomacy by Design: Luxury Arts and an “International Style” in the Ancient </w:t>
      </w:r>
      <w:proofErr w:type="gramStart"/>
      <w:r>
        <w:rPr>
          <w:rFonts w:ascii="Calibri" w:hAnsi="Calibri"/>
          <w:color w:val="000000"/>
        </w:rPr>
        <w:t>Near</w:t>
      </w:r>
      <w:proofErr w:type="gramEnd"/>
      <w:r>
        <w:rPr>
          <w:rFonts w:ascii="Calibri" w:hAnsi="Calibri"/>
          <w:color w:val="000000"/>
        </w:rPr>
        <w:t xml:space="preserve"> East, 1400-1200 BCE. Chicago: University of Chicago Press.</w:t>
      </w:r>
      <w:r>
        <w:rPr>
          <w:rFonts w:ascii="Calibri" w:hAnsi="Calibri"/>
          <w:color w:val="000000"/>
        </w:rPr>
        <w:br/>
      </w:r>
      <w:r>
        <w:rPr>
          <w:rFonts w:ascii="Calibri" w:hAnsi="Calibri"/>
          <w:color w:val="000000"/>
        </w:rPr>
        <w:br/>
      </w:r>
      <w:proofErr w:type="spellStart"/>
      <w:r>
        <w:rPr>
          <w:rFonts w:ascii="Calibri" w:hAnsi="Calibri"/>
          <w:color w:val="000000"/>
        </w:rPr>
        <w:t>Gouldner</w:t>
      </w:r>
      <w:proofErr w:type="spellEnd"/>
      <w:r>
        <w:rPr>
          <w:rFonts w:ascii="Calibri" w:hAnsi="Calibri"/>
          <w:color w:val="000000"/>
        </w:rPr>
        <w:t xml:space="preserve">, A. 1960. The Norm of Reciprocity: A preliminary statement. </w:t>
      </w:r>
      <w:proofErr w:type="spellStart"/>
      <w:r>
        <w:rPr>
          <w:rFonts w:ascii="Calibri" w:hAnsi="Calibri"/>
          <w:color w:val="000000"/>
        </w:rPr>
        <w:t>Bobbs-Merril</w:t>
      </w:r>
      <w:proofErr w:type="spellEnd"/>
      <w:r>
        <w:rPr>
          <w:rFonts w:ascii="Calibri" w:hAnsi="Calibri"/>
          <w:color w:val="000000"/>
        </w:rPr>
        <w:t>.</w:t>
      </w:r>
    </w:p>
    <w:p w:rsidR="0059741A" w:rsidRDefault="00317A2D">
      <w:pPr>
        <w:rPr>
          <w:b/>
        </w:rPr>
      </w:pPr>
      <w:proofErr w:type="spellStart"/>
      <w:r>
        <w:rPr>
          <w:rFonts w:ascii="Calibri" w:hAnsi="Calibri"/>
          <w:color w:val="000000"/>
        </w:rPr>
        <w:t>Hamilakis</w:t>
      </w:r>
      <w:proofErr w:type="spellEnd"/>
      <w:r>
        <w:rPr>
          <w:rFonts w:ascii="Calibri" w:hAnsi="Calibri"/>
          <w:color w:val="000000"/>
        </w:rPr>
        <w:t xml:space="preserve">, Y. 1996. Wine, Oil and the Dialectics of Power in Bronze Age Crete. </w:t>
      </w:r>
      <w:r>
        <w:rPr>
          <w:rFonts w:ascii="Calibri" w:hAnsi="Calibri"/>
          <w:i/>
          <w:color w:val="000000"/>
        </w:rPr>
        <w:t xml:space="preserve">Oxford Journal of Archaeology </w:t>
      </w:r>
      <w:r>
        <w:rPr>
          <w:rFonts w:ascii="Calibri" w:hAnsi="Calibri"/>
          <w:color w:val="000000"/>
        </w:rPr>
        <w:t>15(1): 1-32.</w:t>
      </w:r>
      <w:r w:rsidR="00D90FC9">
        <w:rPr>
          <w:rFonts w:ascii="Calibri" w:hAnsi="Calibri"/>
          <w:color w:val="000000"/>
        </w:rPr>
        <w:br/>
      </w:r>
      <w:r w:rsidR="00D90FC9">
        <w:rPr>
          <w:rFonts w:ascii="Calibri" w:hAnsi="Calibri"/>
          <w:color w:val="000000"/>
        </w:rPr>
        <w:br/>
        <w:t xml:space="preserve">Knapp, A. and </w:t>
      </w:r>
      <w:proofErr w:type="spellStart"/>
      <w:r w:rsidR="00D90FC9">
        <w:rPr>
          <w:rFonts w:ascii="Calibri" w:hAnsi="Calibri"/>
          <w:color w:val="000000"/>
        </w:rPr>
        <w:t>Demesticha</w:t>
      </w:r>
      <w:proofErr w:type="spellEnd"/>
      <w:r w:rsidR="00D90FC9">
        <w:rPr>
          <w:rFonts w:ascii="Calibri" w:hAnsi="Calibri"/>
          <w:color w:val="000000"/>
        </w:rPr>
        <w:t>, S .2016. Mediterranean Connections: Maritime Transport Containers and Seaborne Trade in the Bronze Age and Early Iron Age. Routledge.</w:t>
      </w:r>
      <w:r w:rsidR="00D90FC9">
        <w:rPr>
          <w:rFonts w:ascii="Calibri" w:hAnsi="Calibri"/>
          <w:color w:val="000000"/>
        </w:rPr>
        <w:br/>
      </w:r>
      <w:r w:rsidR="00D90FC9">
        <w:rPr>
          <w:rFonts w:ascii="Calibri" w:hAnsi="Calibri"/>
          <w:color w:val="000000"/>
        </w:rPr>
        <w:br/>
      </w:r>
      <w:proofErr w:type="spellStart"/>
      <w:r w:rsidR="00D90FC9">
        <w:rPr>
          <w:rFonts w:ascii="Calibri" w:hAnsi="Calibri"/>
          <w:color w:val="000000"/>
        </w:rPr>
        <w:t>Mauss</w:t>
      </w:r>
      <w:proofErr w:type="spellEnd"/>
      <w:r w:rsidR="00D90FC9">
        <w:rPr>
          <w:rFonts w:ascii="Calibri" w:hAnsi="Calibri"/>
          <w:color w:val="000000"/>
        </w:rPr>
        <w:t>, M. 2002. The Gift. Psychology Press.</w:t>
      </w:r>
      <w:r w:rsidR="00D90FC9">
        <w:rPr>
          <w:rFonts w:ascii="Calibri" w:hAnsi="Calibri"/>
          <w:color w:val="000000"/>
        </w:rPr>
        <w:br/>
      </w:r>
      <w:r w:rsidR="00D90FC9">
        <w:rPr>
          <w:rFonts w:ascii="Calibri" w:hAnsi="Calibri"/>
          <w:color w:val="000000"/>
        </w:rPr>
        <w:br/>
        <w:t>Moran, W. 1987. The Amarna Letters. London: The Johns Hopkins University Press.</w:t>
      </w:r>
      <w:r w:rsidR="00D90FC9">
        <w:rPr>
          <w:rFonts w:ascii="Calibri" w:hAnsi="Calibri"/>
          <w:color w:val="000000"/>
        </w:rPr>
        <w:br/>
      </w:r>
      <w:r w:rsidR="00D90FC9">
        <w:rPr>
          <w:rFonts w:ascii="Calibri" w:hAnsi="Calibri"/>
          <w:color w:val="000000"/>
        </w:rPr>
        <w:br/>
      </w:r>
      <w:proofErr w:type="spellStart"/>
      <w:r w:rsidR="00D90FC9">
        <w:rPr>
          <w:rFonts w:ascii="Calibri" w:hAnsi="Calibri"/>
          <w:color w:val="000000"/>
        </w:rPr>
        <w:t>Palaima</w:t>
      </w:r>
      <w:proofErr w:type="spellEnd"/>
      <w:r w:rsidR="00D90FC9">
        <w:rPr>
          <w:rFonts w:ascii="Calibri" w:hAnsi="Calibri"/>
          <w:color w:val="000000"/>
        </w:rPr>
        <w:t xml:space="preserve">, T., and Wright, J. 1985. Ins and Outs of the archives rooms at Pylos: Form and Function in a Mycenaean palace. </w:t>
      </w:r>
      <w:r w:rsidR="00D90FC9" w:rsidRPr="00317A2D">
        <w:rPr>
          <w:rFonts w:ascii="Calibri" w:hAnsi="Calibri"/>
          <w:i/>
          <w:color w:val="000000"/>
        </w:rPr>
        <w:t>American Journal of Archaeology</w:t>
      </w:r>
      <w:r w:rsidR="00D90FC9">
        <w:rPr>
          <w:rFonts w:ascii="Calibri" w:hAnsi="Calibri"/>
          <w:color w:val="000000"/>
        </w:rPr>
        <w:t xml:space="preserve"> 89(2): 251-262.</w:t>
      </w:r>
      <w:r w:rsidR="00D90FC9">
        <w:rPr>
          <w:rFonts w:ascii="Calibri" w:hAnsi="Calibri"/>
          <w:color w:val="000000"/>
        </w:rPr>
        <w:br/>
      </w:r>
      <w:r w:rsidR="00D90FC9">
        <w:rPr>
          <w:rFonts w:ascii="Calibri" w:hAnsi="Calibri"/>
          <w:color w:val="000000"/>
        </w:rPr>
        <w:br/>
      </w:r>
      <w:proofErr w:type="spellStart"/>
      <w:r w:rsidR="00D90FC9">
        <w:rPr>
          <w:rFonts w:ascii="Calibri" w:hAnsi="Calibri"/>
          <w:color w:val="000000"/>
        </w:rPr>
        <w:t>Sherratt</w:t>
      </w:r>
      <w:proofErr w:type="spellEnd"/>
      <w:r w:rsidR="00D90FC9">
        <w:rPr>
          <w:rFonts w:ascii="Calibri" w:hAnsi="Calibri"/>
          <w:color w:val="000000"/>
        </w:rPr>
        <w:t xml:space="preserve">, S. and </w:t>
      </w:r>
      <w:proofErr w:type="spellStart"/>
      <w:r w:rsidR="00D90FC9">
        <w:rPr>
          <w:rFonts w:ascii="Calibri" w:hAnsi="Calibri"/>
          <w:color w:val="000000"/>
        </w:rPr>
        <w:t>Sherratt</w:t>
      </w:r>
      <w:proofErr w:type="spellEnd"/>
      <w:r w:rsidR="00D90FC9">
        <w:rPr>
          <w:rFonts w:ascii="Calibri" w:hAnsi="Calibri"/>
          <w:color w:val="000000"/>
        </w:rPr>
        <w:t xml:space="preserve">, A. 1991. From luxuries to commodities: the nature of Mediterranean Bronze Age trading systems. Paul </w:t>
      </w:r>
      <w:proofErr w:type="spellStart"/>
      <w:r w:rsidR="00D90FC9">
        <w:rPr>
          <w:rFonts w:ascii="Calibri" w:hAnsi="Calibri"/>
          <w:color w:val="000000"/>
        </w:rPr>
        <w:t>Astroms</w:t>
      </w:r>
      <w:proofErr w:type="spellEnd"/>
      <w:r w:rsidR="00D90FC9">
        <w:rPr>
          <w:rFonts w:ascii="Calibri" w:hAnsi="Calibri"/>
          <w:color w:val="000000"/>
        </w:rPr>
        <w:t xml:space="preserve"> </w:t>
      </w:r>
      <w:proofErr w:type="spellStart"/>
      <w:r w:rsidR="00D90FC9">
        <w:rPr>
          <w:rFonts w:ascii="Calibri" w:hAnsi="Calibri"/>
          <w:color w:val="000000"/>
        </w:rPr>
        <w:t>Forlag</w:t>
      </w:r>
      <w:proofErr w:type="spellEnd"/>
      <w:r w:rsidR="00D90FC9">
        <w:rPr>
          <w:rFonts w:ascii="Calibri" w:hAnsi="Calibri"/>
          <w:color w:val="000000"/>
        </w:rPr>
        <w:t>.</w:t>
      </w:r>
      <w:r w:rsidR="00D90FC9">
        <w:rPr>
          <w:rFonts w:ascii="Calibri" w:hAnsi="Calibri"/>
          <w:color w:val="000000"/>
        </w:rPr>
        <w:br/>
      </w:r>
      <w:r w:rsidR="00D90FC9">
        <w:rPr>
          <w:rFonts w:ascii="Calibri" w:hAnsi="Calibri"/>
          <w:color w:val="000000"/>
        </w:rPr>
        <w:br/>
        <w:t xml:space="preserve">Sherry, J. 1983. Gift giving in Anthropological perspective. </w:t>
      </w:r>
      <w:r w:rsidR="00D90FC9" w:rsidRPr="00317A2D">
        <w:rPr>
          <w:rFonts w:ascii="Calibri" w:hAnsi="Calibri"/>
          <w:i/>
          <w:color w:val="000000"/>
        </w:rPr>
        <w:t>Journal of consumer research</w:t>
      </w:r>
      <w:r w:rsidR="00D90FC9">
        <w:rPr>
          <w:rFonts w:ascii="Calibri" w:hAnsi="Calibri"/>
          <w:color w:val="000000"/>
        </w:rPr>
        <w:t xml:space="preserve"> 157-168</w:t>
      </w:r>
      <w:r w:rsidR="00D90FC9">
        <w:rPr>
          <w:rFonts w:ascii="Calibri" w:hAnsi="Calibri"/>
          <w:color w:val="000000"/>
        </w:rPr>
        <w:br/>
      </w:r>
      <w:r w:rsidR="00D90FC9">
        <w:rPr>
          <w:rFonts w:ascii="Calibri" w:hAnsi="Calibri"/>
          <w:color w:val="000000"/>
        </w:rPr>
        <w:br/>
        <w:t>Steel, L. 2013.Materiality and Consumption in the Bronze Age Mediterranean. New York: Routledge.</w:t>
      </w:r>
      <w:r w:rsidR="00D90FC9">
        <w:rPr>
          <w:rFonts w:ascii="Calibri" w:hAnsi="Calibri"/>
          <w:color w:val="000000"/>
        </w:rPr>
        <w:br/>
      </w:r>
      <w:r w:rsidR="00D90FC9">
        <w:rPr>
          <w:rFonts w:ascii="Calibri" w:hAnsi="Calibri"/>
          <w:color w:val="000000"/>
        </w:rPr>
        <w:br/>
        <w:t>Weiner, A. 1992. Inalienable Possessions: the paradox of keeping while giving. Los Angeles: University of California Press.</w:t>
      </w:r>
      <w:r w:rsidR="00D90FC9">
        <w:rPr>
          <w:rFonts w:ascii="Calibri" w:hAnsi="Calibri"/>
          <w:color w:val="000000"/>
        </w:rPr>
        <w:br/>
      </w:r>
      <w:r w:rsidR="00D90FC9">
        <w:rPr>
          <w:rFonts w:ascii="Calibri" w:hAnsi="Calibri"/>
          <w:color w:val="000000"/>
        </w:rPr>
        <w:br/>
      </w:r>
      <w:proofErr w:type="spellStart"/>
      <w:r w:rsidR="00D90FC9">
        <w:rPr>
          <w:rFonts w:ascii="Calibri" w:hAnsi="Calibri"/>
          <w:color w:val="000000"/>
        </w:rPr>
        <w:t>Wengrow</w:t>
      </w:r>
      <w:proofErr w:type="gramStart"/>
      <w:r w:rsidR="00D90FC9">
        <w:rPr>
          <w:rFonts w:ascii="Calibri" w:hAnsi="Calibri"/>
          <w:color w:val="000000"/>
        </w:rPr>
        <w:t>,D</w:t>
      </w:r>
      <w:proofErr w:type="spellEnd"/>
      <w:proofErr w:type="gramEnd"/>
      <w:r w:rsidR="00D90FC9">
        <w:rPr>
          <w:rFonts w:ascii="Calibri" w:hAnsi="Calibri"/>
          <w:color w:val="000000"/>
        </w:rPr>
        <w:t>. 2008. Prehistories of Commodity Branding. Current Anthropology 49(1): 7-34.</w:t>
      </w: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9741A" w:rsidRDefault="0059741A">
      <w:pPr>
        <w:rPr>
          <w:b/>
        </w:rPr>
      </w:pPr>
    </w:p>
    <w:p w:rsidR="005F121A" w:rsidRPr="004E066B" w:rsidRDefault="005F121A"/>
    <w:p w:rsidR="00C41DEF" w:rsidRPr="00282AFD" w:rsidRDefault="00C41DEF"/>
    <w:sectPr w:rsidR="00C41DEF" w:rsidRPr="00282AFD">
      <w:headerReference w:type="default" r:id="rId10"/>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0D2A" w:rsidRDefault="002E0D2A" w:rsidP="00CB7544">
      <w:pPr>
        <w:spacing w:after="0" w:line="240" w:lineRule="auto"/>
      </w:pPr>
      <w:r>
        <w:separator/>
      </w:r>
    </w:p>
  </w:endnote>
  <w:endnote w:type="continuationSeparator" w:id="0">
    <w:p w:rsidR="002E0D2A" w:rsidRDefault="002E0D2A" w:rsidP="00CB7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0D2A" w:rsidRDefault="002E0D2A" w:rsidP="00CB7544">
      <w:pPr>
        <w:spacing w:after="0" w:line="240" w:lineRule="auto"/>
      </w:pPr>
      <w:r>
        <w:separator/>
      </w:r>
    </w:p>
  </w:footnote>
  <w:footnote w:type="continuationSeparator" w:id="0">
    <w:p w:rsidR="002E0D2A" w:rsidRDefault="002E0D2A" w:rsidP="00CB754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9774793"/>
      <w:docPartObj>
        <w:docPartGallery w:val="Page Numbers (Top of Page)"/>
        <w:docPartUnique/>
      </w:docPartObj>
    </w:sdtPr>
    <w:sdtContent>
      <w:p w:rsidR="00CB7544" w:rsidRDefault="00CB7544">
        <w:pPr>
          <w:pStyle w:val="Kopfzeile"/>
        </w:pPr>
        <w:r>
          <w:fldChar w:fldCharType="begin"/>
        </w:r>
        <w:r>
          <w:instrText>PAGE   \* MERGEFORMAT</w:instrText>
        </w:r>
        <w:r>
          <w:fldChar w:fldCharType="separate"/>
        </w:r>
        <w:r w:rsidR="0011408E" w:rsidRPr="0011408E">
          <w:rPr>
            <w:noProof/>
            <w:lang w:val="de-DE"/>
          </w:rPr>
          <w:t>12</w:t>
        </w:r>
        <w:r>
          <w:fldChar w:fldCharType="end"/>
        </w:r>
      </w:p>
    </w:sdtContent>
  </w:sdt>
  <w:p w:rsidR="00CB7544" w:rsidRDefault="00CB7544">
    <w:pPr>
      <w:pStyle w:val="Kopfzeil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E1814"/>
    <w:multiLevelType w:val="hybridMultilevel"/>
    <w:tmpl w:val="C6122C90"/>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0E0C19E4"/>
    <w:multiLevelType w:val="hybridMultilevel"/>
    <w:tmpl w:val="A1327EAC"/>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D64"/>
    <w:rsid w:val="00000DA9"/>
    <w:rsid w:val="00037598"/>
    <w:rsid w:val="00083B8D"/>
    <w:rsid w:val="000A279D"/>
    <w:rsid w:val="000C3644"/>
    <w:rsid w:val="000C606A"/>
    <w:rsid w:val="000D286E"/>
    <w:rsid w:val="00100345"/>
    <w:rsid w:val="00100DA5"/>
    <w:rsid w:val="00103906"/>
    <w:rsid w:val="0011408E"/>
    <w:rsid w:val="00146F89"/>
    <w:rsid w:val="00163B5A"/>
    <w:rsid w:val="00196367"/>
    <w:rsid w:val="001A3266"/>
    <w:rsid w:val="001B5EED"/>
    <w:rsid w:val="001C68BE"/>
    <w:rsid w:val="00205ECA"/>
    <w:rsid w:val="002532D1"/>
    <w:rsid w:val="00267FA0"/>
    <w:rsid w:val="00282AFD"/>
    <w:rsid w:val="002972AF"/>
    <w:rsid w:val="002E0D2A"/>
    <w:rsid w:val="003112A9"/>
    <w:rsid w:val="00315317"/>
    <w:rsid w:val="00317A2D"/>
    <w:rsid w:val="00357153"/>
    <w:rsid w:val="00367F4C"/>
    <w:rsid w:val="003756E5"/>
    <w:rsid w:val="003874C1"/>
    <w:rsid w:val="003B0763"/>
    <w:rsid w:val="003E479F"/>
    <w:rsid w:val="003E55A4"/>
    <w:rsid w:val="003E6347"/>
    <w:rsid w:val="003F31B3"/>
    <w:rsid w:val="003F4DE7"/>
    <w:rsid w:val="00400BBA"/>
    <w:rsid w:val="004028E8"/>
    <w:rsid w:val="00402B21"/>
    <w:rsid w:val="004279AB"/>
    <w:rsid w:val="004625B9"/>
    <w:rsid w:val="00474C5B"/>
    <w:rsid w:val="00493240"/>
    <w:rsid w:val="004B22BC"/>
    <w:rsid w:val="004D32DF"/>
    <w:rsid w:val="004E066B"/>
    <w:rsid w:val="004E3FD7"/>
    <w:rsid w:val="00504225"/>
    <w:rsid w:val="00522B8E"/>
    <w:rsid w:val="0052673F"/>
    <w:rsid w:val="005276A6"/>
    <w:rsid w:val="00527A9C"/>
    <w:rsid w:val="0054628A"/>
    <w:rsid w:val="00551BCA"/>
    <w:rsid w:val="0055440E"/>
    <w:rsid w:val="0055659C"/>
    <w:rsid w:val="00577447"/>
    <w:rsid w:val="0059741A"/>
    <w:rsid w:val="00597B66"/>
    <w:rsid w:val="005B6031"/>
    <w:rsid w:val="005E6A49"/>
    <w:rsid w:val="005F121A"/>
    <w:rsid w:val="005F1FA2"/>
    <w:rsid w:val="005F2C14"/>
    <w:rsid w:val="0061071F"/>
    <w:rsid w:val="0062486A"/>
    <w:rsid w:val="0064062F"/>
    <w:rsid w:val="00650827"/>
    <w:rsid w:val="006658D9"/>
    <w:rsid w:val="00675171"/>
    <w:rsid w:val="00684590"/>
    <w:rsid w:val="0068752F"/>
    <w:rsid w:val="00693B80"/>
    <w:rsid w:val="0069402F"/>
    <w:rsid w:val="006B0037"/>
    <w:rsid w:val="006C35A9"/>
    <w:rsid w:val="006C6AAF"/>
    <w:rsid w:val="006E1FA9"/>
    <w:rsid w:val="00714FB1"/>
    <w:rsid w:val="0074281C"/>
    <w:rsid w:val="00751538"/>
    <w:rsid w:val="0076111C"/>
    <w:rsid w:val="007743E5"/>
    <w:rsid w:val="00777934"/>
    <w:rsid w:val="007A5B21"/>
    <w:rsid w:val="007A71F8"/>
    <w:rsid w:val="007B6392"/>
    <w:rsid w:val="007C7899"/>
    <w:rsid w:val="00805712"/>
    <w:rsid w:val="0081392B"/>
    <w:rsid w:val="00834D57"/>
    <w:rsid w:val="00861669"/>
    <w:rsid w:val="008B433D"/>
    <w:rsid w:val="008D2AC8"/>
    <w:rsid w:val="008E1BDE"/>
    <w:rsid w:val="008E2C18"/>
    <w:rsid w:val="009119FE"/>
    <w:rsid w:val="00920A9B"/>
    <w:rsid w:val="00943130"/>
    <w:rsid w:val="00944F2F"/>
    <w:rsid w:val="00962014"/>
    <w:rsid w:val="0096654A"/>
    <w:rsid w:val="009846A3"/>
    <w:rsid w:val="0098725D"/>
    <w:rsid w:val="00990D39"/>
    <w:rsid w:val="009A0126"/>
    <w:rsid w:val="009C21CE"/>
    <w:rsid w:val="00A00C81"/>
    <w:rsid w:val="00A1185D"/>
    <w:rsid w:val="00A1357C"/>
    <w:rsid w:val="00A36FCD"/>
    <w:rsid w:val="00A429C2"/>
    <w:rsid w:val="00A5014B"/>
    <w:rsid w:val="00A85650"/>
    <w:rsid w:val="00A902C0"/>
    <w:rsid w:val="00A977A2"/>
    <w:rsid w:val="00AA512F"/>
    <w:rsid w:val="00AD5F2F"/>
    <w:rsid w:val="00AE09A7"/>
    <w:rsid w:val="00B80003"/>
    <w:rsid w:val="00B80491"/>
    <w:rsid w:val="00B82D16"/>
    <w:rsid w:val="00B94259"/>
    <w:rsid w:val="00BA64A8"/>
    <w:rsid w:val="00BA7B9C"/>
    <w:rsid w:val="00BD7A82"/>
    <w:rsid w:val="00BE087A"/>
    <w:rsid w:val="00C02E6C"/>
    <w:rsid w:val="00C07737"/>
    <w:rsid w:val="00C12100"/>
    <w:rsid w:val="00C34E65"/>
    <w:rsid w:val="00C41DEF"/>
    <w:rsid w:val="00C562EE"/>
    <w:rsid w:val="00C76FEE"/>
    <w:rsid w:val="00C801EF"/>
    <w:rsid w:val="00CA5BE7"/>
    <w:rsid w:val="00CB14EE"/>
    <w:rsid w:val="00CB7544"/>
    <w:rsid w:val="00CF17B3"/>
    <w:rsid w:val="00CF4539"/>
    <w:rsid w:val="00D0099D"/>
    <w:rsid w:val="00D01DEA"/>
    <w:rsid w:val="00D3550A"/>
    <w:rsid w:val="00D4726A"/>
    <w:rsid w:val="00D519C0"/>
    <w:rsid w:val="00D63109"/>
    <w:rsid w:val="00D8139D"/>
    <w:rsid w:val="00D8396A"/>
    <w:rsid w:val="00D90FC9"/>
    <w:rsid w:val="00DA4F94"/>
    <w:rsid w:val="00DF016A"/>
    <w:rsid w:val="00DF2ADD"/>
    <w:rsid w:val="00DF4940"/>
    <w:rsid w:val="00E04B0E"/>
    <w:rsid w:val="00E05665"/>
    <w:rsid w:val="00E1010B"/>
    <w:rsid w:val="00E210DB"/>
    <w:rsid w:val="00E35607"/>
    <w:rsid w:val="00E41F35"/>
    <w:rsid w:val="00E61ED9"/>
    <w:rsid w:val="00E74354"/>
    <w:rsid w:val="00E85F04"/>
    <w:rsid w:val="00EA31EE"/>
    <w:rsid w:val="00EB62EA"/>
    <w:rsid w:val="00ED6C99"/>
    <w:rsid w:val="00ED7720"/>
    <w:rsid w:val="00EE4DBF"/>
    <w:rsid w:val="00EF7463"/>
    <w:rsid w:val="00F12E65"/>
    <w:rsid w:val="00F14232"/>
    <w:rsid w:val="00F14DBD"/>
    <w:rsid w:val="00F5376F"/>
    <w:rsid w:val="00F90417"/>
    <w:rsid w:val="00F9217A"/>
    <w:rsid w:val="00F928BD"/>
    <w:rsid w:val="00FC16CF"/>
    <w:rsid w:val="00FC57C6"/>
    <w:rsid w:val="00FC6B49"/>
    <w:rsid w:val="00FE0878"/>
    <w:rsid w:val="00FE0D64"/>
    <w:rsid w:val="00FE2103"/>
    <w:rsid w:val="00FF707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41ECC2-F62E-4DAE-88B1-42AC16528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Pr>
      <w:lang w:val="en-GB"/>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styleId="Hyperlink">
    <w:name w:val="Hyperlink"/>
    <w:basedOn w:val="Absatz-Standardschriftart"/>
    <w:uiPriority w:val="99"/>
    <w:unhideWhenUsed/>
    <w:rsid w:val="0062486A"/>
    <w:rPr>
      <w:color w:val="0563C1" w:themeColor="hyperlink"/>
      <w:u w:val="single"/>
    </w:rPr>
  </w:style>
  <w:style w:type="table" w:styleId="Tabellenraster">
    <w:name w:val="Table Grid"/>
    <w:basedOn w:val="NormaleTabelle"/>
    <w:uiPriority w:val="39"/>
    <w:rsid w:val="00D01D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esuchterHyperlink">
    <w:name w:val="FollowedHyperlink"/>
    <w:basedOn w:val="Absatz-Standardschriftart"/>
    <w:uiPriority w:val="99"/>
    <w:semiHidden/>
    <w:unhideWhenUsed/>
    <w:rsid w:val="00FC57C6"/>
    <w:rPr>
      <w:color w:val="954F72" w:themeColor="followedHyperlink"/>
      <w:u w:val="single"/>
    </w:rPr>
  </w:style>
  <w:style w:type="paragraph" w:styleId="Listenabsatz">
    <w:name w:val="List Paragraph"/>
    <w:basedOn w:val="Standard"/>
    <w:uiPriority w:val="34"/>
    <w:qFormat/>
    <w:rsid w:val="008D2AC8"/>
    <w:pPr>
      <w:ind w:left="720"/>
      <w:contextualSpacing/>
    </w:pPr>
  </w:style>
  <w:style w:type="paragraph" w:styleId="Kopfzeile">
    <w:name w:val="header"/>
    <w:basedOn w:val="Standard"/>
    <w:link w:val="KopfzeileZchn"/>
    <w:uiPriority w:val="99"/>
    <w:unhideWhenUsed/>
    <w:rsid w:val="00CB7544"/>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B7544"/>
    <w:rPr>
      <w:lang w:val="en-GB"/>
    </w:rPr>
  </w:style>
  <w:style w:type="paragraph" w:styleId="Fuzeile">
    <w:name w:val="footer"/>
    <w:basedOn w:val="Standard"/>
    <w:link w:val="FuzeileZchn"/>
    <w:uiPriority w:val="99"/>
    <w:unhideWhenUsed/>
    <w:rsid w:val="00CB7544"/>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B754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ncient.eu/timeline/Bronze/"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de-DE"/>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de-DE"/>
              <a:t>Showing</a:t>
            </a:r>
            <a:r>
              <a:rPr lang="de-DE" baseline="0"/>
              <a:t> overall Mesopotamian objects distribution in the LM I-II Aegean </a:t>
            </a:r>
            <a:endParaRPr lang="de-D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de-DE"/>
        </a:p>
      </c:txPr>
    </c:title>
    <c:autoTitleDeleted val="0"/>
    <c:plotArea>
      <c:layout/>
      <c:barChart>
        <c:barDir val="col"/>
        <c:grouping val="clustered"/>
        <c:varyColors val="0"/>
        <c:ser>
          <c:idx val="0"/>
          <c:order val="0"/>
          <c:tx>
            <c:strRef>
              <c:f>Tabelle1!$B$1</c:f>
              <c:strCache>
                <c:ptCount val="1"/>
                <c:pt idx="0">
                  <c:v>Mainland</c:v>
                </c:pt>
              </c:strCache>
            </c:strRef>
          </c:tx>
          <c:spPr>
            <a:solidFill>
              <a:schemeClr val="accent1"/>
            </a:solidFill>
            <a:ln>
              <a:noFill/>
            </a:ln>
            <a:effectLst/>
          </c:spPr>
          <c:invertIfNegative val="0"/>
          <c:cat>
            <c:strRef>
              <c:f>Tabelle1!$A$2:$A$5</c:f>
              <c:strCache>
                <c:ptCount val="4"/>
                <c:pt idx="0">
                  <c:v>LM IA</c:v>
                </c:pt>
                <c:pt idx="1">
                  <c:v>LM IB</c:v>
                </c:pt>
                <c:pt idx="2">
                  <c:v>LM IIB</c:v>
                </c:pt>
                <c:pt idx="3">
                  <c:v>LM I-II (total)</c:v>
                </c:pt>
              </c:strCache>
            </c:strRef>
          </c:cat>
          <c:val>
            <c:numRef>
              <c:f>Tabelle1!$B$2:$B$5</c:f>
              <c:numCache>
                <c:formatCode>General</c:formatCode>
                <c:ptCount val="4"/>
                <c:pt idx="0">
                  <c:v>15</c:v>
                </c:pt>
                <c:pt idx="1">
                  <c:v>5</c:v>
                </c:pt>
                <c:pt idx="2">
                  <c:v>0</c:v>
                </c:pt>
                <c:pt idx="3">
                  <c:v>20</c:v>
                </c:pt>
              </c:numCache>
            </c:numRef>
          </c:val>
        </c:ser>
        <c:ser>
          <c:idx val="1"/>
          <c:order val="1"/>
          <c:tx>
            <c:strRef>
              <c:f>Tabelle1!$C$1</c:f>
              <c:strCache>
                <c:ptCount val="1"/>
                <c:pt idx="0">
                  <c:v>Crete</c:v>
                </c:pt>
              </c:strCache>
            </c:strRef>
          </c:tx>
          <c:spPr>
            <a:solidFill>
              <a:schemeClr val="accent2"/>
            </a:solidFill>
            <a:ln>
              <a:noFill/>
            </a:ln>
            <a:effectLst/>
          </c:spPr>
          <c:invertIfNegative val="0"/>
          <c:cat>
            <c:strRef>
              <c:f>Tabelle1!$A$2:$A$5</c:f>
              <c:strCache>
                <c:ptCount val="4"/>
                <c:pt idx="0">
                  <c:v>LM IA</c:v>
                </c:pt>
                <c:pt idx="1">
                  <c:v>LM IB</c:v>
                </c:pt>
                <c:pt idx="2">
                  <c:v>LM IIB</c:v>
                </c:pt>
                <c:pt idx="3">
                  <c:v>LM I-II (total)</c:v>
                </c:pt>
              </c:strCache>
            </c:strRef>
          </c:cat>
          <c:val>
            <c:numRef>
              <c:f>Tabelle1!$C$2:$C$5</c:f>
              <c:numCache>
                <c:formatCode>General</c:formatCode>
                <c:ptCount val="4"/>
                <c:pt idx="0">
                  <c:v>0</c:v>
                </c:pt>
                <c:pt idx="1">
                  <c:v>0</c:v>
                </c:pt>
                <c:pt idx="2">
                  <c:v>0</c:v>
                </c:pt>
                <c:pt idx="3">
                  <c:v>2.5</c:v>
                </c:pt>
              </c:numCache>
            </c:numRef>
          </c:val>
        </c:ser>
        <c:ser>
          <c:idx val="2"/>
          <c:order val="2"/>
          <c:tx>
            <c:strRef>
              <c:f>Tabelle1!$D$1</c:f>
              <c:strCache>
                <c:ptCount val="1"/>
                <c:pt idx="0">
                  <c:v>Islands</c:v>
                </c:pt>
              </c:strCache>
            </c:strRef>
          </c:tx>
          <c:spPr>
            <a:solidFill>
              <a:schemeClr val="accent3"/>
            </a:solidFill>
            <a:ln>
              <a:noFill/>
            </a:ln>
            <a:effectLst/>
          </c:spPr>
          <c:invertIfNegative val="0"/>
          <c:cat>
            <c:strRef>
              <c:f>Tabelle1!$A$2:$A$5</c:f>
              <c:strCache>
                <c:ptCount val="4"/>
                <c:pt idx="0">
                  <c:v>LM IA</c:v>
                </c:pt>
                <c:pt idx="1">
                  <c:v>LM IB</c:v>
                </c:pt>
                <c:pt idx="2">
                  <c:v>LM IIB</c:v>
                </c:pt>
                <c:pt idx="3">
                  <c:v>LM I-II (total)</c:v>
                </c:pt>
              </c:strCache>
            </c:strRef>
          </c:cat>
          <c:val>
            <c:numRef>
              <c:f>Tabelle1!$D$2:$D$5</c:f>
              <c:numCache>
                <c:formatCode>General</c:formatCode>
                <c:ptCount val="4"/>
                <c:pt idx="0">
                  <c:v>0</c:v>
                </c:pt>
                <c:pt idx="1">
                  <c:v>0</c:v>
                </c:pt>
                <c:pt idx="2">
                  <c:v>0</c:v>
                </c:pt>
                <c:pt idx="3">
                  <c:v>1.8</c:v>
                </c:pt>
              </c:numCache>
            </c:numRef>
          </c:val>
        </c:ser>
        <c:dLbls>
          <c:showLegendKey val="0"/>
          <c:showVal val="0"/>
          <c:showCatName val="0"/>
          <c:showSerName val="0"/>
          <c:showPercent val="0"/>
          <c:showBubbleSize val="0"/>
        </c:dLbls>
        <c:gapWidth val="219"/>
        <c:overlap val="-27"/>
        <c:axId val="137550072"/>
        <c:axId val="137550856"/>
      </c:barChart>
      <c:catAx>
        <c:axId val="137550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de-DE"/>
          </a:p>
        </c:txPr>
        <c:crossAx val="137550856"/>
        <c:crosses val="autoZero"/>
        <c:auto val="1"/>
        <c:lblAlgn val="ctr"/>
        <c:lblOffset val="100"/>
        <c:noMultiLvlLbl val="0"/>
      </c:catAx>
      <c:valAx>
        <c:axId val="137550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de-DE"/>
          </a:p>
        </c:txPr>
        <c:crossAx val="137550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de-DE"/>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de-DE"/>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78B7AB-D03C-4817-B157-B04EBCCD5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2722</Words>
  <Characters>17155</Characters>
  <Application>Microsoft Office Word</Application>
  <DocSecurity>0</DocSecurity>
  <Lines>142</Lines>
  <Paragraphs>39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Schokoladeneis Marzipan</dc:creator>
  <cp:keywords/>
  <dc:description/>
  <cp:lastModifiedBy>Schokoladeneis Marzipan</cp:lastModifiedBy>
  <cp:revision>2</cp:revision>
  <dcterms:created xsi:type="dcterms:W3CDTF">2018-05-03T22:49:00Z</dcterms:created>
  <dcterms:modified xsi:type="dcterms:W3CDTF">2018-05-03T22:49:00Z</dcterms:modified>
</cp:coreProperties>
</file>