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E52FB4" w14:textId="77777777" w:rsidR="0098031A" w:rsidRDefault="0098031A" w:rsidP="0098031A">
      <w:pPr>
        <w:jc w:val="center"/>
      </w:pPr>
    </w:p>
    <w:p w14:paraId="2BBDEB7F" w14:textId="77777777" w:rsidR="0098031A" w:rsidRDefault="0098031A" w:rsidP="0098031A">
      <w:pPr>
        <w:jc w:val="center"/>
      </w:pPr>
    </w:p>
    <w:p w14:paraId="10293DC7" w14:textId="77777777" w:rsidR="0098031A" w:rsidRDefault="0098031A" w:rsidP="0098031A">
      <w:pPr>
        <w:jc w:val="center"/>
      </w:pPr>
    </w:p>
    <w:p w14:paraId="702EBCF1" w14:textId="77777777" w:rsidR="0098031A" w:rsidRDefault="0098031A" w:rsidP="0098031A">
      <w:pPr>
        <w:jc w:val="center"/>
      </w:pPr>
    </w:p>
    <w:p w14:paraId="1CA80713" w14:textId="77777777" w:rsidR="0098031A" w:rsidRDefault="0098031A" w:rsidP="0098031A">
      <w:pPr>
        <w:jc w:val="center"/>
      </w:pPr>
    </w:p>
    <w:p w14:paraId="060EC57D" w14:textId="77777777" w:rsidR="0098031A" w:rsidRDefault="0098031A" w:rsidP="0098031A">
      <w:pPr>
        <w:jc w:val="center"/>
      </w:pPr>
    </w:p>
    <w:p w14:paraId="45F7221E" w14:textId="77777777" w:rsidR="0098031A" w:rsidRDefault="0098031A" w:rsidP="0098031A">
      <w:pPr>
        <w:jc w:val="center"/>
      </w:pPr>
    </w:p>
    <w:p w14:paraId="43E65720" w14:textId="77777777" w:rsidR="0098031A" w:rsidRDefault="0098031A" w:rsidP="0098031A">
      <w:pPr>
        <w:jc w:val="center"/>
      </w:pPr>
    </w:p>
    <w:p w14:paraId="60407F99" w14:textId="34E4ADA5" w:rsidR="001626CB" w:rsidRPr="0098031A" w:rsidRDefault="001626CB" w:rsidP="0098031A">
      <w:pPr>
        <w:jc w:val="center"/>
        <w:rPr>
          <w:sz w:val="28"/>
          <w:szCs w:val="28"/>
        </w:rPr>
      </w:pPr>
      <w:r w:rsidRPr="0098031A">
        <w:rPr>
          <w:sz w:val="28"/>
          <w:szCs w:val="28"/>
        </w:rPr>
        <w:t>Student name:</w:t>
      </w:r>
      <w:r w:rsidRPr="0098031A">
        <w:rPr>
          <w:sz w:val="28"/>
          <w:szCs w:val="28"/>
        </w:rPr>
        <w:t xml:space="preserve"> Hamza Tariq</w:t>
      </w:r>
      <w:r w:rsidRPr="0098031A">
        <w:rPr>
          <w:sz w:val="28"/>
          <w:szCs w:val="28"/>
        </w:rPr>
        <w:tab/>
        <w:t>Student ID number</w:t>
      </w:r>
      <w:r w:rsidRPr="0098031A">
        <w:rPr>
          <w:sz w:val="28"/>
          <w:szCs w:val="28"/>
        </w:rPr>
        <w:t>: 2127143</w:t>
      </w:r>
    </w:p>
    <w:p w14:paraId="256C07CB" w14:textId="5EE5B3D4" w:rsidR="001626CB" w:rsidRPr="0098031A" w:rsidRDefault="001626CB" w:rsidP="0098031A">
      <w:pPr>
        <w:jc w:val="center"/>
        <w:rPr>
          <w:sz w:val="28"/>
          <w:szCs w:val="28"/>
        </w:rPr>
      </w:pPr>
      <w:r w:rsidRPr="0098031A">
        <w:rPr>
          <w:sz w:val="28"/>
          <w:szCs w:val="28"/>
        </w:rPr>
        <w:t>Programme:</w:t>
      </w:r>
      <w:r w:rsidRPr="0098031A">
        <w:rPr>
          <w:sz w:val="28"/>
          <w:szCs w:val="28"/>
        </w:rPr>
        <w:t xml:space="preserve"> </w:t>
      </w:r>
      <w:r w:rsidRPr="0098031A">
        <w:rPr>
          <w:sz w:val="28"/>
          <w:szCs w:val="28"/>
        </w:rPr>
        <w:t>Certificate of Higher Education Skills for the Workplace</w:t>
      </w:r>
    </w:p>
    <w:p w14:paraId="3C73D036" w14:textId="3E887208" w:rsidR="001626CB" w:rsidRPr="0098031A" w:rsidRDefault="001626CB" w:rsidP="0098031A">
      <w:pPr>
        <w:jc w:val="center"/>
        <w:rPr>
          <w:sz w:val="28"/>
          <w:szCs w:val="28"/>
        </w:rPr>
      </w:pPr>
      <w:r w:rsidRPr="0098031A">
        <w:rPr>
          <w:sz w:val="28"/>
          <w:szCs w:val="28"/>
        </w:rPr>
        <w:t>Module:</w:t>
      </w:r>
      <w:r w:rsidRPr="0098031A">
        <w:rPr>
          <w:sz w:val="28"/>
          <w:szCs w:val="28"/>
        </w:rPr>
        <w:t xml:space="preserve"> </w:t>
      </w:r>
      <w:r w:rsidRPr="0098031A">
        <w:rPr>
          <w:sz w:val="28"/>
          <w:szCs w:val="28"/>
        </w:rPr>
        <w:t>Academic and Employability Skills</w:t>
      </w:r>
    </w:p>
    <w:p w14:paraId="344BFF32" w14:textId="679CEA49" w:rsidR="0098031A" w:rsidRDefault="001626CB" w:rsidP="0098031A">
      <w:pPr>
        <w:jc w:val="center"/>
        <w:rPr>
          <w:sz w:val="28"/>
          <w:szCs w:val="28"/>
        </w:rPr>
      </w:pPr>
      <w:r w:rsidRPr="0098031A">
        <w:rPr>
          <w:sz w:val="28"/>
          <w:szCs w:val="28"/>
        </w:rPr>
        <w:t>Module code:</w:t>
      </w:r>
      <w:r w:rsidRPr="0098031A">
        <w:rPr>
          <w:sz w:val="28"/>
          <w:szCs w:val="28"/>
        </w:rPr>
        <w:t xml:space="preserve"> </w:t>
      </w:r>
      <w:r w:rsidRPr="0098031A">
        <w:rPr>
          <w:sz w:val="28"/>
          <w:szCs w:val="28"/>
        </w:rPr>
        <w:t>BMSW4001</w:t>
      </w:r>
    </w:p>
    <w:p w14:paraId="71E8ACBC" w14:textId="09AE5874" w:rsidR="0098031A" w:rsidRDefault="001626CB" w:rsidP="0098031A">
      <w:pPr>
        <w:jc w:val="center"/>
        <w:rPr>
          <w:sz w:val="28"/>
          <w:szCs w:val="28"/>
        </w:rPr>
      </w:pPr>
      <w:r w:rsidRPr="0098031A">
        <w:rPr>
          <w:sz w:val="28"/>
          <w:szCs w:val="28"/>
        </w:rPr>
        <w:t>Lecturer:</w:t>
      </w:r>
      <w:r w:rsidRPr="0098031A">
        <w:rPr>
          <w:sz w:val="28"/>
          <w:szCs w:val="28"/>
        </w:rPr>
        <w:t xml:space="preserve"> Doreen</w:t>
      </w:r>
    </w:p>
    <w:p w14:paraId="0083FE09" w14:textId="77777777" w:rsidR="0098031A" w:rsidRDefault="0098031A">
      <w:pPr>
        <w:rPr>
          <w:sz w:val="28"/>
          <w:szCs w:val="28"/>
        </w:rPr>
      </w:pPr>
      <w:r>
        <w:rPr>
          <w:sz w:val="28"/>
          <w:szCs w:val="28"/>
        </w:rPr>
        <w:br w:type="page"/>
      </w:r>
    </w:p>
    <w:p w14:paraId="0CBEAAE2" w14:textId="2DA6ED12" w:rsidR="00840743" w:rsidRDefault="0098031A" w:rsidP="0098031A">
      <w:pPr>
        <w:jc w:val="center"/>
        <w:rPr>
          <w:sz w:val="28"/>
          <w:szCs w:val="28"/>
        </w:rPr>
      </w:pPr>
      <w:r w:rsidRPr="0098031A">
        <w:rPr>
          <w:sz w:val="28"/>
          <w:szCs w:val="28"/>
        </w:rPr>
        <w:lastRenderedPageBreak/>
        <w:t>Effective Ways to Motivate Employees</w:t>
      </w:r>
    </w:p>
    <w:p w14:paraId="77E190B2" w14:textId="2378EF9B" w:rsidR="0098031A" w:rsidRDefault="0098031A" w:rsidP="0098031A">
      <w:pPr>
        <w:jc w:val="center"/>
        <w:rPr>
          <w:sz w:val="28"/>
          <w:szCs w:val="28"/>
        </w:rPr>
      </w:pPr>
    </w:p>
    <w:p w14:paraId="64B54B9A" w14:textId="77777777" w:rsidR="00C5687A" w:rsidRPr="00C5687A" w:rsidRDefault="00C5687A" w:rsidP="00C5687A">
      <w:pPr>
        <w:jc w:val="both"/>
        <w:rPr>
          <w:rFonts w:cstheme="minorHAnsi"/>
          <w:b/>
          <w:bCs/>
        </w:rPr>
      </w:pPr>
      <w:bookmarkStart w:id="0" w:name="_Hlk108872018"/>
      <w:r w:rsidRPr="00C5687A">
        <w:rPr>
          <w:rFonts w:cstheme="minorHAnsi"/>
          <w:b/>
          <w:bCs/>
        </w:rPr>
        <w:t>Introduction:</w:t>
      </w:r>
    </w:p>
    <w:p w14:paraId="1A223867" w14:textId="26EBCCE0" w:rsidR="00C5687A" w:rsidRPr="00C5687A" w:rsidRDefault="00C5687A" w:rsidP="00C5687A">
      <w:pPr>
        <w:jc w:val="both"/>
        <w:rPr>
          <w:rFonts w:cstheme="minorHAnsi"/>
        </w:rPr>
      </w:pPr>
      <w:r w:rsidRPr="00C5687A">
        <w:rPr>
          <w:rFonts w:cstheme="minorHAnsi"/>
        </w:rPr>
        <w:t xml:space="preserve">Motivated employees are the asset of the organization and are straightforwardly corresponding and connected with the progress of the organization. In this way, employee’s motivation is elusive, hard to gauge and undeniably challenging to control, yet exceptionally simple to prepare when done accurately. It's about goal, strength, and persistence. </w:t>
      </w:r>
      <w:r w:rsidRPr="00C5687A">
        <w:rPr>
          <w:rFonts w:cstheme="minorHAnsi"/>
        </w:rPr>
        <w:t>Employee’s</w:t>
      </w:r>
      <w:r w:rsidRPr="00C5687A">
        <w:rPr>
          <w:rFonts w:cstheme="minorHAnsi"/>
        </w:rPr>
        <w:t xml:space="preserve"> motivation is how much excitement, energy level, responsibility, and inventiveness that a worker welcomes to the organization consistently. There are two sorts of motivations: intrinsic and extrinsic. In this manner, organizations need to comprehend that worker are people with various qualities, not clones. A few employees answer well to characteristic thought processes, while others might answer well to outside motivations </w:t>
      </w:r>
      <w:sdt>
        <w:sdtPr>
          <w:rPr>
            <w:rFonts w:cstheme="minorHAnsi"/>
          </w:rPr>
          <w:id w:val="-2108483227"/>
          <w:citation/>
        </w:sdtPr>
        <w:sdtContent>
          <w:r w:rsidRPr="00C5687A">
            <w:rPr>
              <w:rFonts w:cstheme="minorHAnsi"/>
            </w:rPr>
            <w:fldChar w:fldCharType="begin"/>
          </w:r>
          <w:r w:rsidRPr="00C5687A">
            <w:rPr>
              <w:rFonts w:cstheme="minorHAnsi"/>
            </w:rPr>
            <w:instrText xml:space="preserve"> CITATION Gol16 \l 1033 </w:instrText>
          </w:r>
          <w:r w:rsidRPr="00C5687A">
            <w:rPr>
              <w:rFonts w:cstheme="minorHAnsi"/>
            </w:rPr>
            <w:fldChar w:fldCharType="separate"/>
          </w:r>
          <w:r w:rsidRPr="00C5687A">
            <w:rPr>
              <w:rFonts w:cstheme="minorHAnsi"/>
              <w:noProof/>
            </w:rPr>
            <w:t>(Goldblatt, 2016)</w:t>
          </w:r>
          <w:r w:rsidRPr="00C5687A">
            <w:rPr>
              <w:rFonts w:cstheme="minorHAnsi"/>
            </w:rPr>
            <w:fldChar w:fldCharType="end"/>
          </w:r>
        </w:sdtContent>
      </w:sdt>
      <w:r w:rsidRPr="00C5687A">
        <w:rPr>
          <w:rFonts w:cstheme="minorHAnsi"/>
        </w:rPr>
        <w:t>.</w:t>
      </w:r>
    </w:p>
    <w:bookmarkEnd w:id="0"/>
    <w:p w14:paraId="718CD95C" w14:textId="067481D9" w:rsidR="00C5687A" w:rsidRDefault="00C5687A" w:rsidP="0098031A">
      <w:pPr>
        <w:jc w:val="center"/>
        <w:rPr>
          <w:sz w:val="28"/>
          <w:szCs w:val="28"/>
        </w:rPr>
      </w:pPr>
    </w:p>
    <w:p w14:paraId="1C6583DD" w14:textId="1974CE17" w:rsidR="00C5687A" w:rsidRPr="00C5687A" w:rsidRDefault="00C5687A" w:rsidP="00C5687A">
      <w:pPr>
        <w:rPr>
          <w:rFonts w:cstheme="minorHAnsi"/>
          <w:sz w:val="24"/>
          <w:szCs w:val="24"/>
        </w:rPr>
      </w:pPr>
      <w:r w:rsidRPr="00C5687A">
        <w:rPr>
          <w:rFonts w:cstheme="minorHAnsi"/>
          <w:b/>
          <w:bCs/>
        </w:rPr>
        <w:t>Involving Employees in Decision Making:</w:t>
      </w:r>
    </w:p>
    <w:p w14:paraId="7D807964" w14:textId="77777777" w:rsidR="00C5687A" w:rsidRPr="00C5687A" w:rsidRDefault="00C5687A" w:rsidP="00C5687A">
      <w:pPr>
        <w:jc w:val="both"/>
        <w:rPr>
          <w:rFonts w:cstheme="minorHAnsi"/>
        </w:rPr>
      </w:pPr>
      <w:r w:rsidRPr="00C5687A">
        <w:rPr>
          <w:rFonts w:cstheme="minorHAnsi"/>
        </w:rPr>
        <w:t xml:space="preserve">Businesses that are employees owned and allow employees to participate in workplace governance decisions can offer many benefits, such as employee involvement. Few studies have investigated the impact of such engagement on the end user of the service, but some employee-run organizations help in building a high level of customer trust and loyalty. The report states Chris ham, a professor of health policy and management at the University of Birmingham and one of the authors of the report, found that the successful involvement of NHS staff feels that they value and are involved in making decisions </w:t>
      </w:r>
      <w:sdt>
        <w:sdtPr>
          <w:rPr>
            <w:rFonts w:cstheme="minorHAnsi"/>
          </w:rPr>
          <w:id w:val="-1008216398"/>
          <w:citation/>
        </w:sdtPr>
        <w:sdtContent>
          <w:r w:rsidRPr="00C5687A">
            <w:rPr>
              <w:rFonts w:cstheme="minorHAnsi"/>
            </w:rPr>
            <w:fldChar w:fldCharType="begin"/>
          </w:r>
          <w:r w:rsidRPr="00C5687A">
            <w:rPr>
              <w:rFonts w:cstheme="minorHAnsi"/>
            </w:rPr>
            <w:instrText xml:space="preserve"> CITATION Jos14 \l 1033 </w:instrText>
          </w:r>
          <w:r w:rsidRPr="00C5687A">
            <w:rPr>
              <w:rFonts w:cstheme="minorHAnsi"/>
            </w:rPr>
            <w:fldChar w:fldCharType="separate"/>
          </w:r>
          <w:r w:rsidRPr="00C5687A">
            <w:rPr>
              <w:rFonts w:cstheme="minorHAnsi"/>
              <w:noProof/>
            </w:rPr>
            <w:t>(Joseph, 2014)</w:t>
          </w:r>
          <w:r w:rsidRPr="00C5687A">
            <w:rPr>
              <w:rFonts w:cstheme="minorHAnsi"/>
            </w:rPr>
            <w:fldChar w:fldCharType="end"/>
          </w:r>
        </w:sdtContent>
      </w:sdt>
      <w:r w:rsidRPr="00C5687A">
        <w:rPr>
          <w:rFonts w:cstheme="minorHAnsi"/>
        </w:rPr>
        <w:t xml:space="preserve">. "The NHS staff are motivated by the opportunity to provide quality services for that make a difference to patients, but they are by adopting a more business-oriented approach within healthcare services. I feel that my ability to do so is threatened. The challenge for the NHS is to achieve closer coordination of the interests and aspirations of frontline workers and the organizations in which they work. " Jennifer Dixon, director of the Nuffield Trust, said the government is encouraging 4,444 new ownership forms on the NHS, including 4,444 for social enterprises and foundations, but will do more to support this development. He said it was necessary </w:t>
      </w:r>
      <w:sdt>
        <w:sdtPr>
          <w:rPr>
            <w:rFonts w:cstheme="minorHAnsi"/>
          </w:rPr>
          <w:id w:val="-1745560181"/>
          <w:citation/>
        </w:sdtPr>
        <w:sdtContent>
          <w:r w:rsidRPr="00C5687A">
            <w:rPr>
              <w:rFonts w:cstheme="minorHAnsi"/>
            </w:rPr>
            <w:fldChar w:fldCharType="begin"/>
          </w:r>
          <w:r w:rsidRPr="00C5687A">
            <w:rPr>
              <w:rFonts w:cstheme="minorHAnsi"/>
            </w:rPr>
            <w:instrText xml:space="preserve"> CITATION Gol16 \l 1033 </w:instrText>
          </w:r>
          <w:r w:rsidRPr="00C5687A">
            <w:rPr>
              <w:rFonts w:cstheme="minorHAnsi"/>
            </w:rPr>
            <w:fldChar w:fldCharType="separate"/>
          </w:r>
          <w:r w:rsidRPr="00C5687A">
            <w:rPr>
              <w:rFonts w:cstheme="minorHAnsi"/>
              <w:noProof/>
            </w:rPr>
            <w:t>(Goldblatt, 2016)</w:t>
          </w:r>
          <w:r w:rsidRPr="00C5687A">
            <w:rPr>
              <w:rFonts w:cstheme="minorHAnsi"/>
            </w:rPr>
            <w:fldChar w:fldCharType="end"/>
          </w:r>
        </w:sdtContent>
      </w:sdt>
      <w:r w:rsidRPr="00C5687A">
        <w:rPr>
          <w:rFonts w:cstheme="minorHAnsi"/>
        </w:rPr>
        <w:t>.</w:t>
      </w:r>
    </w:p>
    <w:p w14:paraId="104F2F87" w14:textId="77777777" w:rsidR="008A2269" w:rsidRDefault="008A2269" w:rsidP="00C5687A">
      <w:pPr>
        <w:jc w:val="both"/>
        <w:rPr>
          <w:rFonts w:cstheme="minorHAnsi"/>
          <w:b/>
          <w:bCs/>
        </w:rPr>
      </w:pPr>
    </w:p>
    <w:p w14:paraId="44BDF5CD" w14:textId="434A3139" w:rsidR="00C5687A" w:rsidRPr="00C5687A" w:rsidRDefault="00C5687A" w:rsidP="00C5687A">
      <w:pPr>
        <w:jc w:val="both"/>
        <w:rPr>
          <w:rFonts w:cstheme="minorHAnsi"/>
          <w:b/>
          <w:bCs/>
        </w:rPr>
      </w:pPr>
      <w:r w:rsidRPr="00C5687A">
        <w:rPr>
          <w:rFonts w:cstheme="minorHAnsi"/>
          <w:b/>
          <w:bCs/>
        </w:rPr>
        <w:t>Growth Opportunity:</w:t>
      </w:r>
    </w:p>
    <w:p w14:paraId="468B98B5" w14:textId="77777777" w:rsidR="00C5687A" w:rsidRPr="00C5687A" w:rsidRDefault="00C5687A" w:rsidP="00C5687A">
      <w:pPr>
        <w:jc w:val="both"/>
        <w:rPr>
          <w:rFonts w:cstheme="minorHAnsi"/>
        </w:rPr>
      </w:pPr>
      <w:r w:rsidRPr="00C5687A">
        <w:rPr>
          <w:rFonts w:cstheme="minorHAnsi"/>
        </w:rPr>
        <w:t xml:space="preserve">At the point when your organization is extending quickly, helping the employees to develop their career inside the firm is an extraordinary motivation. There are more cash hanging carrots, indeed, however there are additionally mental variables that cause you to feel trusted and regarded for your work. While opening a subsequent area, consider which workers are reasonable for the influential position there. </w:t>
      </w:r>
      <w:proofErr w:type="gramStart"/>
      <w:r w:rsidRPr="00C5687A">
        <w:rPr>
          <w:rFonts w:cstheme="minorHAnsi"/>
        </w:rPr>
        <w:t>In the event that</w:t>
      </w:r>
      <w:proofErr w:type="gramEnd"/>
      <w:r w:rsidRPr="00C5687A">
        <w:rPr>
          <w:rFonts w:cstheme="minorHAnsi"/>
        </w:rPr>
        <w:t xml:space="preserve"> you have somebody doing an especially great job with stock, think about empowering them to take full responsibility for relationship with the provider </w:t>
      </w:r>
      <w:sdt>
        <w:sdtPr>
          <w:rPr>
            <w:rFonts w:cstheme="minorHAnsi"/>
          </w:rPr>
          <w:id w:val="1087501530"/>
          <w:citation/>
        </w:sdtPr>
        <w:sdtContent>
          <w:r w:rsidRPr="00C5687A">
            <w:rPr>
              <w:rFonts w:cstheme="minorHAnsi"/>
            </w:rPr>
            <w:fldChar w:fldCharType="begin"/>
          </w:r>
          <w:r w:rsidRPr="00C5687A">
            <w:rPr>
              <w:rFonts w:cstheme="minorHAnsi"/>
            </w:rPr>
            <w:instrText xml:space="preserve"> CITATION Fre10 \l 1033 </w:instrText>
          </w:r>
          <w:r w:rsidRPr="00C5687A">
            <w:rPr>
              <w:rFonts w:cstheme="minorHAnsi"/>
            </w:rPr>
            <w:fldChar w:fldCharType="separate"/>
          </w:r>
          <w:r w:rsidRPr="00C5687A">
            <w:rPr>
              <w:rFonts w:cstheme="minorHAnsi"/>
              <w:noProof/>
            </w:rPr>
            <w:t>(French, 2010)</w:t>
          </w:r>
          <w:r w:rsidRPr="00C5687A">
            <w:rPr>
              <w:rFonts w:cstheme="minorHAnsi"/>
            </w:rPr>
            <w:fldChar w:fldCharType="end"/>
          </w:r>
        </w:sdtContent>
      </w:sdt>
      <w:r w:rsidRPr="00C5687A">
        <w:rPr>
          <w:rFonts w:cstheme="minorHAnsi"/>
        </w:rPr>
        <w:t xml:space="preserve">. Offering the best ability, the chance to develop significantly impacts their mentality from "this is only a side work" to "this could be an undeniable vocation." It's perfect to feel satisfied in your work. Truth be told, it is quite possibly of the main figure work fulfillment. Work fulfillment can emerge out of many sources, from realizing that you have made the ideal mug of espresso to building somebody's self-assurance with a pristine hair style. Furthermore, at whatever point a client offers </w:t>
      </w:r>
      <w:r w:rsidRPr="00C5687A">
        <w:rPr>
          <w:rFonts w:cstheme="minorHAnsi"/>
        </w:rPr>
        <w:lastRenderedPageBreak/>
        <w:t xml:space="preserve">thanks for these things, make certain to impart that criticism to your employees. This is particularly simple with Square Feedback </w:t>
      </w:r>
      <w:sdt>
        <w:sdtPr>
          <w:rPr>
            <w:rFonts w:cstheme="minorHAnsi"/>
          </w:rPr>
          <w:id w:val="1657254380"/>
          <w:citation/>
        </w:sdtPr>
        <w:sdtContent>
          <w:r w:rsidRPr="00C5687A">
            <w:rPr>
              <w:rFonts w:cstheme="minorHAnsi"/>
            </w:rPr>
            <w:fldChar w:fldCharType="begin"/>
          </w:r>
          <w:r w:rsidRPr="00C5687A">
            <w:rPr>
              <w:rFonts w:cstheme="minorHAnsi"/>
            </w:rPr>
            <w:instrText xml:space="preserve"> CITATION Bow12 \l 1033 </w:instrText>
          </w:r>
          <w:r w:rsidRPr="00C5687A">
            <w:rPr>
              <w:rFonts w:cstheme="minorHAnsi"/>
            </w:rPr>
            <w:fldChar w:fldCharType="separate"/>
          </w:r>
          <w:r w:rsidRPr="00C5687A">
            <w:rPr>
              <w:rFonts w:cstheme="minorHAnsi"/>
              <w:noProof/>
            </w:rPr>
            <w:t>(Bowdin, 2012)</w:t>
          </w:r>
          <w:r w:rsidRPr="00C5687A">
            <w:rPr>
              <w:rFonts w:cstheme="minorHAnsi"/>
            </w:rPr>
            <w:fldChar w:fldCharType="end"/>
          </w:r>
        </w:sdtContent>
      </w:sdt>
      <w:r w:rsidRPr="00C5687A">
        <w:rPr>
          <w:rFonts w:cstheme="minorHAnsi"/>
        </w:rPr>
        <w:t xml:space="preserve">. </w:t>
      </w:r>
    </w:p>
    <w:p w14:paraId="2D9DA4C0" w14:textId="77777777" w:rsidR="008A2269" w:rsidRDefault="008A2269" w:rsidP="00C5687A">
      <w:pPr>
        <w:jc w:val="both"/>
        <w:rPr>
          <w:rFonts w:cstheme="minorHAnsi"/>
          <w:b/>
          <w:bCs/>
        </w:rPr>
      </w:pPr>
    </w:p>
    <w:p w14:paraId="746E2C6C" w14:textId="48DEFD06" w:rsidR="00C5687A" w:rsidRPr="00C5687A" w:rsidRDefault="00C5687A" w:rsidP="00C5687A">
      <w:pPr>
        <w:jc w:val="both"/>
        <w:rPr>
          <w:rFonts w:cstheme="minorHAnsi"/>
          <w:b/>
          <w:bCs/>
        </w:rPr>
      </w:pPr>
      <w:r w:rsidRPr="00C5687A">
        <w:rPr>
          <w:rFonts w:cstheme="minorHAnsi"/>
          <w:b/>
          <w:bCs/>
        </w:rPr>
        <w:t>Transparency and Flexible Schedule:</w:t>
      </w:r>
    </w:p>
    <w:p w14:paraId="41AB0ED0" w14:textId="77777777" w:rsidR="00C5687A" w:rsidRPr="00C5687A" w:rsidRDefault="00C5687A" w:rsidP="00C5687A">
      <w:pPr>
        <w:jc w:val="both"/>
        <w:rPr>
          <w:rFonts w:cstheme="minorHAnsi"/>
        </w:rPr>
      </w:pPr>
      <w:proofErr w:type="gramStart"/>
      <w:r w:rsidRPr="00C5687A">
        <w:rPr>
          <w:rFonts w:cstheme="minorHAnsi"/>
        </w:rPr>
        <w:t>In the event that</w:t>
      </w:r>
      <w:proofErr w:type="gramEnd"/>
      <w:r w:rsidRPr="00C5687A">
        <w:rPr>
          <w:rFonts w:cstheme="minorHAnsi"/>
        </w:rPr>
        <w:t xml:space="preserve"> a worker invests a ton of energy in a venture or disrupts everything to assist a partner, feel with freeing to give them acclaim. It's about the demonstration of cognizance, yet about the rule that when individuals feel their endeavors are remembered, they feel compelled to really buckle down. Organizations with remuneration and grants projects will have 14% higher worker commitment, 14% higher efficiency and client care, and 31% lower employee turnover </w:t>
      </w:r>
      <w:sdt>
        <w:sdtPr>
          <w:rPr>
            <w:rFonts w:cstheme="minorHAnsi"/>
          </w:rPr>
          <w:id w:val="2133893529"/>
          <w:citation/>
        </w:sdtPr>
        <w:sdtContent>
          <w:r w:rsidRPr="00C5687A">
            <w:rPr>
              <w:rFonts w:cstheme="minorHAnsi"/>
            </w:rPr>
            <w:fldChar w:fldCharType="begin"/>
          </w:r>
          <w:r w:rsidRPr="00C5687A">
            <w:rPr>
              <w:rFonts w:cstheme="minorHAnsi"/>
            </w:rPr>
            <w:instrText xml:space="preserve"> CITATION Boe18 \l 1033 </w:instrText>
          </w:r>
          <w:r w:rsidRPr="00C5687A">
            <w:rPr>
              <w:rFonts w:cstheme="minorHAnsi"/>
            </w:rPr>
            <w:fldChar w:fldCharType="separate"/>
          </w:r>
          <w:r w:rsidRPr="00C5687A">
            <w:rPr>
              <w:rFonts w:cstheme="minorHAnsi"/>
              <w:noProof/>
            </w:rPr>
            <w:t>(Boella, 2018)</w:t>
          </w:r>
          <w:r w:rsidRPr="00C5687A">
            <w:rPr>
              <w:rFonts w:cstheme="minorHAnsi"/>
            </w:rPr>
            <w:fldChar w:fldCharType="end"/>
          </w:r>
        </w:sdtContent>
      </w:sdt>
      <w:r w:rsidRPr="00C5687A">
        <w:rPr>
          <w:rFonts w:cstheme="minorHAnsi"/>
        </w:rPr>
        <w:t xml:space="preserve">. Whether you're zeroing in on gathering commitments, endorsing staff messages, or specifically saying thanks to them, showing appreciation to dedicated employees is basic. Having great workers who have been with your organization for quite a while is a huge upside. Holding worker motivation, particularly during troublesome times, is a significant piece of an organization's prosperity. Numerous long periods of workers know themselves and make the administration of the organization more pleasant. As opposed to ponder how to prod your gathering, plunk down with them and sort out what they regard. Doing frightening things may be all that you can oversee for your family and your business </w:t>
      </w:r>
      <w:sdt>
        <w:sdtPr>
          <w:rPr>
            <w:rFonts w:cstheme="minorHAnsi"/>
          </w:rPr>
          <w:id w:val="2033369978"/>
          <w:citation/>
        </w:sdtPr>
        <w:sdtContent>
          <w:r w:rsidRPr="00C5687A">
            <w:rPr>
              <w:rFonts w:cstheme="minorHAnsi"/>
            </w:rPr>
            <w:fldChar w:fldCharType="begin"/>
          </w:r>
          <w:r w:rsidRPr="00C5687A">
            <w:rPr>
              <w:rFonts w:cstheme="minorHAnsi"/>
            </w:rPr>
            <w:instrText xml:space="preserve"> CITATION Dee09 \l 1033 </w:instrText>
          </w:r>
          <w:r w:rsidRPr="00C5687A">
            <w:rPr>
              <w:rFonts w:cstheme="minorHAnsi"/>
            </w:rPr>
            <w:fldChar w:fldCharType="separate"/>
          </w:r>
          <w:r w:rsidRPr="00C5687A">
            <w:rPr>
              <w:rFonts w:cstheme="minorHAnsi"/>
              <w:noProof/>
            </w:rPr>
            <w:t>(Deery, 2009)</w:t>
          </w:r>
          <w:r w:rsidRPr="00C5687A">
            <w:rPr>
              <w:rFonts w:cstheme="minorHAnsi"/>
            </w:rPr>
            <w:fldChar w:fldCharType="end"/>
          </w:r>
        </w:sdtContent>
      </w:sdt>
      <w:r w:rsidRPr="00C5687A">
        <w:rPr>
          <w:rFonts w:cstheme="minorHAnsi"/>
        </w:rPr>
        <w:t>.</w:t>
      </w:r>
    </w:p>
    <w:p w14:paraId="32745F08" w14:textId="77777777" w:rsidR="008A2269" w:rsidRDefault="008A2269" w:rsidP="00C5687A">
      <w:pPr>
        <w:jc w:val="both"/>
        <w:rPr>
          <w:rFonts w:cstheme="minorHAnsi"/>
          <w:b/>
          <w:bCs/>
        </w:rPr>
      </w:pPr>
    </w:p>
    <w:p w14:paraId="5A642AD6" w14:textId="13C61DDD" w:rsidR="00C5687A" w:rsidRPr="00C5687A" w:rsidRDefault="00C5687A" w:rsidP="00C5687A">
      <w:pPr>
        <w:jc w:val="both"/>
        <w:rPr>
          <w:rFonts w:cstheme="minorHAnsi"/>
          <w:b/>
          <w:bCs/>
        </w:rPr>
      </w:pPr>
      <w:r w:rsidRPr="00C5687A">
        <w:rPr>
          <w:rFonts w:cstheme="minorHAnsi"/>
          <w:b/>
          <w:bCs/>
        </w:rPr>
        <w:t>Recognition of Achievements:</w:t>
      </w:r>
    </w:p>
    <w:p w14:paraId="4FCC3573" w14:textId="77777777" w:rsidR="00C5687A" w:rsidRPr="00C5687A" w:rsidRDefault="00C5687A" w:rsidP="00C5687A">
      <w:pPr>
        <w:jc w:val="both"/>
        <w:rPr>
          <w:rFonts w:cstheme="minorHAnsi"/>
        </w:rPr>
      </w:pPr>
      <w:r w:rsidRPr="00C5687A">
        <w:rPr>
          <w:rFonts w:cstheme="minorHAnsi"/>
        </w:rPr>
        <w:t xml:space="preserve">Sometimes people just want to be aware of a well-done job. On the off chance that </w:t>
      </w:r>
      <w:proofErr w:type="spellStart"/>
      <w:proofErr w:type="gramStart"/>
      <w:r w:rsidRPr="00C5687A">
        <w:rPr>
          <w:rFonts w:cstheme="minorHAnsi"/>
        </w:rPr>
        <w:t>a</w:t>
      </w:r>
      <w:proofErr w:type="spellEnd"/>
      <w:proofErr w:type="gramEnd"/>
      <w:r w:rsidRPr="00C5687A">
        <w:rPr>
          <w:rFonts w:cstheme="minorHAnsi"/>
        </w:rPr>
        <w:t xml:space="preserve"> employee invests a great deal of energy in an undertaking or disrupts the general flow to assist a partner, feel with freeing to give them acclaim. It's about the demonstration of insight, however about the rule that when individuals feel their endeavors are remembered, they feel compelled to buckle down </w:t>
      </w:r>
      <w:sdt>
        <w:sdtPr>
          <w:rPr>
            <w:rFonts w:cstheme="minorHAnsi"/>
          </w:rPr>
          <w:id w:val="2080787407"/>
          <w:citation/>
        </w:sdtPr>
        <w:sdtContent>
          <w:r w:rsidRPr="00C5687A">
            <w:rPr>
              <w:rFonts w:cstheme="minorHAnsi"/>
            </w:rPr>
            <w:fldChar w:fldCharType="begin"/>
          </w:r>
          <w:r w:rsidRPr="00C5687A">
            <w:rPr>
              <w:rFonts w:cstheme="minorHAnsi"/>
            </w:rPr>
            <w:instrText xml:space="preserve"> CITATION Cre12 \l 1033 </w:instrText>
          </w:r>
          <w:r w:rsidRPr="00C5687A">
            <w:rPr>
              <w:rFonts w:cstheme="minorHAnsi"/>
            </w:rPr>
            <w:fldChar w:fldCharType="separate"/>
          </w:r>
          <w:r w:rsidRPr="00C5687A">
            <w:rPr>
              <w:rFonts w:cstheme="minorHAnsi"/>
              <w:noProof/>
            </w:rPr>
            <w:t>(Creswell, 2012)</w:t>
          </w:r>
          <w:r w:rsidRPr="00C5687A">
            <w:rPr>
              <w:rFonts w:cstheme="minorHAnsi"/>
            </w:rPr>
            <w:fldChar w:fldCharType="end"/>
          </w:r>
        </w:sdtContent>
      </w:sdt>
      <w:r w:rsidRPr="00C5687A">
        <w:rPr>
          <w:rFonts w:cstheme="minorHAnsi"/>
        </w:rPr>
        <w:t xml:space="preserve">. Organizations with remuneration and grants projects will have 14% higher employee commitment, 14% higher efficiency and client support, and 31% lower worker turnover. Whether you're zeroing in on gathering commitments, supporting staff messages, or expressly saying thanks to them, showing appreciation to diligent employees is basic. Having great employees who have been with your organization for quite a while is a major upside </w:t>
      </w:r>
      <w:sdt>
        <w:sdtPr>
          <w:rPr>
            <w:rFonts w:cstheme="minorHAnsi"/>
          </w:rPr>
          <w:id w:val="915829606"/>
          <w:citation/>
        </w:sdtPr>
        <w:sdtContent>
          <w:r w:rsidRPr="00C5687A">
            <w:rPr>
              <w:rFonts w:cstheme="minorHAnsi"/>
            </w:rPr>
            <w:fldChar w:fldCharType="begin"/>
          </w:r>
          <w:r w:rsidRPr="00C5687A">
            <w:rPr>
              <w:rFonts w:cstheme="minorHAnsi"/>
            </w:rPr>
            <w:instrText xml:space="preserve"> CITATION Cha10 \l 1033 </w:instrText>
          </w:r>
          <w:r w:rsidRPr="00C5687A">
            <w:rPr>
              <w:rFonts w:cstheme="minorHAnsi"/>
            </w:rPr>
            <w:fldChar w:fldCharType="separate"/>
          </w:r>
          <w:r w:rsidRPr="00C5687A">
            <w:rPr>
              <w:rFonts w:cstheme="minorHAnsi"/>
              <w:noProof/>
            </w:rPr>
            <w:t>(Champoux, 2010)</w:t>
          </w:r>
          <w:r w:rsidRPr="00C5687A">
            <w:rPr>
              <w:rFonts w:cstheme="minorHAnsi"/>
            </w:rPr>
            <w:fldChar w:fldCharType="end"/>
          </w:r>
        </w:sdtContent>
      </w:sdt>
      <w:r w:rsidRPr="00C5687A">
        <w:rPr>
          <w:rFonts w:cstheme="minorHAnsi"/>
        </w:rPr>
        <w:t xml:space="preserve">. Holding worker motivation, particularly during troublesome times, is a significant piece of an organization's prosperity. Numerous long stretches of employees know themselves and make the administration of the organization more agreeable. Instead of contemplate how to spike your gathering, plunk down with them and sort out what they regard. Doing surprising things may be all that you can oversee for your family and your business </w:t>
      </w:r>
      <w:sdt>
        <w:sdtPr>
          <w:rPr>
            <w:rFonts w:cstheme="minorHAnsi"/>
          </w:rPr>
          <w:id w:val="1143475170"/>
          <w:citation/>
        </w:sdtPr>
        <w:sdtContent>
          <w:r w:rsidRPr="00C5687A">
            <w:rPr>
              <w:rFonts w:cstheme="minorHAnsi"/>
            </w:rPr>
            <w:fldChar w:fldCharType="begin"/>
          </w:r>
          <w:r w:rsidRPr="00C5687A">
            <w:rPr>
              <w:rFonts w:cstheme="minorHAnsi"/>
            </w:rPr>
            <w:instrText xml:space="preserve"> CITATION Bar122 \l 1033 </w:instrText>
          </w:r>
          <w:r w:rsidRPr="00C5687A">
            <w:rPr>
              <w:rFonts w:cstheme="minorHAnsi"/>
            </w:rPr>
            <w:fldChar w:fldCharType="separate"/>
          </w:r>
          <w:r w:rsidRPr="00C5687A">
            <w:rPr>
              <w:rFonts w:cstheme="minorHAnsi"/>
              <w:noProof/>
            </w:rPr>
            <w:t>(Barney, 2012)</w:t>
          </w:r>
          <w:r w:rsidRPr="00C5687A">
            <w:rPr>
              <w:rFonts w:cstheme="minorHAnsi"/>
            </w:rPr>
            <w:fldChar w:fldCharType="end"/>
          </w:r>
        </w:sdtContent>
      </w:sdt>
      <w:r w:rsidRPr="00C5687A">
        <w:rPr>
          <w:rFonts w:cstheme="minorHAnsi"/>
        </w:rPr>
        <w:t>.</w:t>
      </w:r>
    </w:p>
    <w:p w14:paraId="4A3A30B2" w14:textId="59CB51E5" w:rsidR="00C5687A" w:rsidRPr="00C5687A" w:rsidRDefault="00C5687A" w:rsidP="00C5687A">
      <w:pPr>
        <w:rPr>
          <w:rFonts w:cstheme="minorHAnsi"/>
          <w:sz w:val="24"/>
          <w:szCs w:val="24"/>
        </w:rPr>
      </w:pPr>
    </w:p>
    <w:p w14:paraId="6E9404D8" w14:textId="77777777" w:rsidR="00C5687A" w:rsidRPr="00C5687A" w:rsidRDefault="00C5687A" w:rsidP="00C5687A">
      <w:pPr>
        <w:jc w:val="both"/>
        <w:rPr>
          <w:rFonts w:cstheme="minorHAnsi"/>
          <w:b/>
          <w:bCs/>
        </w:rPr>
      </w:pPr>
      <w:r w:rsidRPr="00C5687A">
        <w:rPr>
          <w:rFonts w:cstheme="minorHAnsi"/>
          <w:b/>
          <w:bCs/>
        </w:rPr>
        <w:t>Conclusion:</w:t>
      </w:r>
    </w:p>
    <w:p w14:paraId="3F8AB2AD" w14:textId="2748C9E7" w:rsidR="00C5687A" w:rsidRPr="00C5687A" w:rsidRDefault="00C5687A" w:rsidP="00C5687A">
      <w:pPr>
        <w:jc w:val="both"/>
        <w:rPr>
          <w:rFonts w:cstheme="minorHAnsi"/>
        </w:rPr>
      </w:pPr>
      <w:r w:rsidRPr="00C5687A">
        <w:rPr>
          <w:rFonts w:cstheme="minorHAnsi"/>
        </w:rPr>
        <w:t xml:space="preserve">Employee motivation is way </w:t>
      </w:r>
      <w:r w:rsidRPr="00C5687A">
        <w:rPr>
          <w:rFonts w:cstheme="minorHAnsi"/>
        </w:rPr>
        <w:t>into</w:t>
      </w:r>
      <w:r w:rsidRPr="00C5687A">
        <w:rPr>
          <w:rFonts w:cstheme="minorHAnsi"/>
        </w:rPr>
        <w:t xml:space="preserve"> an organization's prosperity. This is the degree of responsibility, motivation and energy that organization workers bring to this job consistently. Without this, organizations might encounter lower efficiency and lower creation, and they will be unable to meet their basic objectives. Nonetheless, the employee contribution isn't simple all of the time. It is something pioneers need to prepare and screen in the working environment. Spurred employees are excited, committed and glad for their work. They need to finish things rapidly, make a move, and work </w:t>
      </w:r>
      <w:proofErr w:type="gramStart"/>
      <w:r>
        <w:rPr>
          <w:rFonts w:cstheme="minorHAnsi"/>
        </w:rPr>
        <w:t xml:space="preserve">really </w:t>
      </w:r>
      <w:r w:rsidRPr="00C5687A">
        <w:rPr>
          <w:rFonts w:cstheme="minorHAnsi"/>
        </w:rPr>
        <w:t>hard</w:t>
      </w:r>
      <w:proofErr w:type="gramEnd"/>
      <w:r w:rsidRPr="00C5687A">
        <w:rPr>
          <w:rFonts w:cstheme="minorHAnsi"/>
        </w:rPr>
        <w:t xml:space="preserve"> for them and the organization </w:t>
      </w:r>
      <w:sdt>
        <w:sdtPr>
          <w:rPr>
            <w:rFonts w:cstheme="minorHAnsi"/>
          </w:rPr>
          <w:id w:val="-1014998541"/>
          <w:citation/>
        </w:sdtPr>
        <w:sdtContent>
          <w:r w:rsidRPr="00C5687A">
            <w:rPr>
              <w:rFonts w:cstheme="minorHAnsi"/>
            </w:rPr>
            <w:fldChar w:fldCharType="begin"/>
          </w:r>
          <w:r w:rsidRPr="00C5687A">
            <w:rPr>
              <w:rFonts w:cstheme="minorHAnsi"/>
            </w:rPr>
            <w:instrText xml:space="preserve"> CITATION And04 \l 1033 </w:instrText>
          </w:r>
          <w:r w:rsidRPr="00C5687A">
            <w:rPr>
              <w:rFonts w:cstheme="minorHAnsi"/>
            </w:rPr>
            <w:fldChar w:fldCharType="separate"/>
          </w:r>
          <w:r w:rsidRPr="00C5687A">
            <w:rPr>
              <w:rFonts w:cstheme="minorHAnsi"/>
              <w:noProof/>
            </w:rPr>
            <w:t>(Anderson, 2004)</w:t>
          </w:r>
          <w:r w:rsidRPr="00C5687A">
            <w:rPr>
              <w:rFonts w:cstheme="minorHAnsi"/>
            </w:rPr>
            <w:fldChar w:fldCharType="end"/>
          </w:r>
        </w:sdtContent>
      </w:sdt>
      <w:r w:rsidRPr="00C5687A">
        <w:rPr>
          <w:rFonts w:cstheme="minorHAnsi"/>
        </w:rPr>
        <w:t>.</w:t>
      </w:r>
    </w:p>
    <w:sdt>
      <w:sdtPr>
        <w:id w:val="-1067873133"/>
        <w:docPartObj>
          <w:docPartGallery w:val="Bibliographies"/>
          <w:docPartUnique/>
        </w:docPartObj>
      </w:sdtPr>
      <w:sdtContent>
        <w:p w14:paraId="2DBD10DD" w14:textId="77777777" w:rsidR="008A2269" w:rsidRPr="008A2269" w:rsidRDefault="008A2269" w:rsidP="008A2269">
          <w:pPr>
            <w:keepNext/>
            <w:keepLines/>
            <w:spacing w:before="240" w:after="0"/>
            <w:jc w:val="center"/>
            <w:outlineLvl w:val="0"/>
            <w:rPr>
              <w:rFonts w:ascii="Times New Roman" w:eastAsiaTheme="majorEastAsia" w:hAnsi="Times New Roman" w:cs="Times New Roman"/>
              <w:b/>
              <w:bCs/>
              <w:color w:val="2F5496" w:themeColor="accent1" w:themeShade="BF"/>
              <w:sz w:val="32"/>
              <w:szCs w:val="32"/>
            </w:rPr>
          </w:pPr>
          <w:r w:rsidRPr="008A2269">
            <w:rPr>
              <w:rFonts w:ascii="Times New Roman" w:eastAsiaTheme="majorEastAsia" w:hAnsi="Times New Roman" w:cs="Times New Roman"/>
              <w:b/>
              <w:bCs/>
              <w:color w:val="2F5496" w:themeColor="accent1" w:themeShade="BF"/>
              <w:sz w:val="32"/>
              <w:szCs w:val="32"/>
            </w:rPr>
            <w:t>References</w:t>
          </w:r>
        </w:p>
        <w:sdt>
          <w:sdtPr>
            <w:rPr>
              <w:rFonts w:ascii="Times New Roman" w:hAnsi="Times New Roman" w:cs="Times New Roman"/>
              <w:sz w:val="24"/>
              <w:szCs w:val="24"/>
            </w:rPr>
            <w:id w:val="-573587230"/>
            <w:bibliography/>
          </w:sdtPr>
          <w:sdtEndPr>
            <w:rPr>
              <w:rFonts w:asciiTheme="minorHAnsi" w:hAnsiTheme="minorHAnsi" w:cstheme="minorBidi"/>
              <w:sz w:val="22"/>
              <w:szCs w:val="22"/>
            </w:rPr>
          </w:sdtEndPr>
          <w:sdtContent>
            <w:p w14:paraId="493CB77D" w14:textId="77777777" w:rsidR="008A2269" w:rsidRPr="008A2269" w:rsidRDefault="008A2269" w:rsidP="008A2269">
              <w:pPr>
                <w:numPr>
                  <w:ilvl w:val="0"/>
                  <w:numId w:val="1"/>
                </w:numPr>
                <w:jc w:val="both"/>
                <w:rPr>
                  <w:rFonts w:ascii="Times New Roman" w:hAnsi="Times New Roman" w:cs="Times New Roman"/>
                  <w:noProof/>
                  <w:sz w:val="28"/>
                  <w:szCs w:val="28"/>
                </w:rPr>
              </w:pPr>
              <w:r w:rsidRPr="008A2269">
                <w:rPr>
                  <w:rFonts w:ascii="Times New Roman" w:hAnsi="Times New Roman" w:cs="Times New Roman"/>
                  <w:sz w:val="24"/>
                  <w:szCs w:val="24"/>
                </w:rPr>
                <w:fldChar w:fldCharType="begin"/>
              </w:r>
              <w:r w:rsidRPr="008A2269">
                <w:rPr>
                  <w:rFonts w:ascii="Times New Roman" w:hAnsi="Times New Roman" w:cs="Times New Roman"/>
                  <w:sz w:val="24"/>
                  <w:szCs w:val="24"/>
                </w:rPr>
                <w:instrText xml:space="preserve"> BIBLIOGRAPHY </w:instrText>
              </w:r>
              <w:r w:rsidRPr="008A2269">
                <w:rPr>
                  <w:rFonts w:ascii="Times New Roman" w:hAnsi="Times New Roman" w:cs="Times New Roman"/>
                  <w:sz w:val="24"/>
                  <w:szCs w:val="24"/>
                </w:rPr>
                <w:fldChar w:fldCharType="separate"/>
              </w:r>
              <w:r w:rsidRPr="008A2269">
                <w:rPr>
                  <w:rFonts w:ascii="Times New Roman" w:hAnsi="Times New Roman" w:cs="Times New Roman"/>
                  <w:noProof/>
                  <w:sz w:val="24"/>
                  <w:szCs w:val="24"/>
                </w:rPr>
                <w:t xml:space="preserve">Anderson, E. F. C. &amp;. L. D., 2004. Customer satisfaction, market share, and profitability. </w:t>
              </w:r>
              <w:r w:rsidRPr="008A2269">
                <w:rPr>
                  <w:rFonts w:ascii="Times New Roman" w:hAnsi="Times New Roman" w:cs="Times New Roman"/>
                  <w:i/>
                  <w:iCs/>
                  <w:noProof/>
                  <w:sz w:val="24"/>
                  <w:szCs w:val="24"/>
                </w:rPr>
                <w:t>Journal of Marketing.</w:t>
              </w:r>
            </w:p>
            <w:p w14:paraId="39582202" w14:textId="77777777" w:rsidR="008A2269" w:rsidRPr="008A2269" w:rsidRDefault="008A2269" w:rsidP="008A2269">
              <w:pPr>
                <w:numPr>
                  <w:ilvl w:val="0"/>
                  <w:numId w:val="1"/>
                </w:numPr>
                <w:jc w:val="both"/>
                <w:rPr>
                  <w:rFonts w:ascii="Times New Roman" w:hAnsi="Times New Roman" w:cs="Times New Roman"/>
                  <w:noProof/>
                  <w:sz w:val="24"/>
                  <w:szCs w:val="24"/>
                </w:rPr>
              </w:pPr>
              <w:r w:rsidRPr="008A2269">
                <w:rPr>
                  <w:rFonts w:ascii="Times New Roman" w:hAnsi="Times New Roman" w:cs="Times New Roman"/>
                  <w:noProof/>
                  <w:sz w:val="24"/>
                  <w:szCs w:val="24"/>
                </w:rPr>
                <w:t xml:space="preserve">Barney, J., 2012. Firm resources and sustained competitive advantage.. </w:t>
              </w:r>
              <w:r w:rsidRPr="008A2269">
                <w:rPr>
                  <w:rFonts w:ascii="Times New Roman" w:hAnsi="Times New Roman" w:cs="Times New Roman"/>
                  <w:i/>
                  <w:iCs/>
                  <w:noProof/>
                  <w:sz w:val="24"/>
                  <w:szCs w:val="24"/>
                </w:rPr>
                <w:t>Journal of Management.</w:t>
              </w:r>
            </w:p>
            <w:p w14:paraId="051D7A47" w14:textId="77777777" w:rsidR="008A2269" w:rsidRPr="008A2269" w:rsidRDefault="008A2269" w:rsidP="008A2269">
              <w:pPr>
                <w:numPr>
                  <w:ilvl w:val="0"/>
                  <w:numId w:val="1"/>
                </w:numPr>
                <w:jc w:val="both"/>
                <w:rPr>
                  <w:rFonts w:ascii="Times New Roman" w:hAnsi="Times New Roman" w:cs="Times New Roman"/>
                  <w:noProof/>
                  <w:sz w:val="24"/>
                  <w:szCs w:val="24"/>
                </w:rPr>
              </w:pPr>
              <w:r w:rsidRPr="008A2269">
                <w:rPr>
                  <w:rFonts w:ascii="Times New Roman" w:hAnsi="Times New Roman" w:cs="Times New Roman"/>
                  <w:noProof/>
                  <w:sz w:val="24"/>
                  <w:szCs w:val="24"/>
                </w:rPr>
                <w:t xml:space="preserve">Boella, M. J. &amp;. G.-T. S., 2018. HR management in the hospitality industry.. </w:t>
              </w:r>
              <w:r w:rsidRPr="008A2269">
                <w:rPr>
                  <w:rFonts w:ascii="Times New Roman" w:hAnsi="Times New Roman" w:cs="Times New Roman"/>
                  <w:i/>
                  <w:iCs/>
                  <w:noProof/>
                  <w:sz w:val="24"/>
                  <w:szCs w:val="24"/>
                </w:rPr>
                <w:t>Abingdon-on-Thames, UK: Routledge..</w:t>
              </w:r>
            </w:p>
            <w:p w14:paraId="56E89736" w14:textId="77777777" w:rsidR="008A2269" w:rsidRPr="008A2269" w:rsidRDefault="008A2269" w:rsidP="008A2269">
              <w:pPr>
                <w:numPr>
                  <w:ilvl w:val="0"/>
                  <w:numId w:val="1"/>
                </w:numPr>
                <w:jc w:val="both"/>
                <w:rPr>
                  <w:rFonts w:ascii="Times New Roman" w:hAnsi="Times New Roman" w:cs="Times New Roman"/>
                  <w:noProof/>
                  <w:sz w:val="24"/>
                  <w:szCs w:val="24"/>
                </w:rPr>
              </w:pPr>
              <w:r w:rsidRPr="008A2269">
                <w:rPr>
                  <w:rFonts w:ascii="Times New Roman" w:hAnsi="Times New Roman" w:cs="Times New Roman"/>
                  <w:noProof/>
                  <w:sz w:val="24"/>
                  <w:szCs w:val="24"/>
                </w:rPr>
                <w:t xml:space="preserve">Bowdin, G. A. J. O. W. H. R. &amp;. M. I., 2012. Events management.. </w:t>
              </w:r>
              <w:r w:rsidRPr="008A2269">
                <w:rPr>
                  <w:rFonts w:ascii="Times New Roman" w:hAnsi="Times New Roman" w:cs="Times New Roman"/>
                  <w:i/>
                  <w:iCs/>
                  <w:noProof/>
                  <w:sz w:val="24"/>
                  <w:szCs w:val="24"/>
                </w:rPr>
                <w:t>Oxford, UK: Elsevier Butterworth-Heinemann..</w:t>
              </w:r>
            </w:p>
            <w:p w14:paraId="33FDCCE8" w14:textId="77777777" w:rsidR="008A2269" w:rsidRPr="008A2269" w:rsidRDefault="008A2269" w:rsidP="008A2269">
              <w:pPr>
                <w:numPr>
                  <w:ilvl w:val="0"/>
                  <w:numId w:val="1"/>
                </w:numPr>
                <w:jc w:val="both"/>
                <w:rPr>
                  <w:rFonts w:ascii="Times New Roman" w:hAnsi="Times New Roman" w:cs="Times New Roman"/>
                  <w:noProof/>
                  <w:sz w:val="24"/>
                  <w:szCs w:val="24"/>
                </w:rPr>
              </w:pPr>
              <w:r w:rsidRPr="008A2269">
                <w:rPr>
                  <w:rFonts w:ascii="Times New Roman" w:hAnsi="Times New Roman" w:cs="Times New Roman"/>
                  <w:noProof/>
                  <w:sz w:val="24"/>
                  <w:szCs w:val="24"/>
                </w:rPr>
                <w:t xml:space="preserve">Champoux, J. E., 2010. Organizational behavior: Integrating individuals, groups, and organizations.. </w:t>
              </w:r>
              <w:r w:rsidRPr="008A2269">
                <w:rPr>
                  <w:rFonts w:ascii="Times New Roman" w:hAnsi="Times New Roman" w:cs="Times New Roman"/>
                  <w:i/>
                  <w:iCs/>
                  <w:noProof/>
                  <w:sz w:val="24"/>
                  <w:szCs w:val="24"/>
                </w:rPr>
                <w:t>New York, NY. Routlege.</w:t>
              </w:r>
            </w:p>
            <w:p w14:paraId="2AAAB567" w14:textId="77777777" w:rsidR="008A2269" w:rsidRPr="008A2269" w:rsidRDefault="008A2269" w:rsidP="008A2269">
              <w:pPr>
                <w:numPr>
                  <w:ilvl w:val="0"/>
                  <w:numId w:val="1"/>
                </w:numPr>
                <w:jc w:val="both"/>
                <w:rPr>
                  <w:rFonts w:ascii="Times New Roman" w:hAnsi="Times New Roman" w:cs="Times New Roman"/>
                  <w:noProof/>
                  <w:sz w:val="24"/>
                  <w:szCs w:val="24"/>
                </w:rPr>
              </w:pPr>
              <w:r w:rsidRPr="008A2269">
                <w:rPr>
                  <w:rFonts w:ascii="Times New Roman" w:hAnsi="Times New Roman" w:cs="Times New Roman"/>
                  <w:noProof/>
                  <w:sz w:val="24"/>
                  <w:szCs w:val="24"/>
                </w:rPr>
                <w:t xml:space="preserve">Creswell, J. W., 2012. Qualitative inquiry and research design: Choosing among five traditions.. </w:t>
              </w:r>
              <w:r w:rsidRPr="008A2269">
                <w:rPr>
                  <w:rFonts w:ascii="Times New Roman" w:hAnsi="Times New Roman" w:cs="Times New Roman"/>
                  <w:i/>
                  <w:iCs/>
                  <w:noProof/>
                  <w:sz w:val="24"/>
                  <w:szCs w:val="24"/>
                </w:rPr>
                <w:t>London sage productions.</w:t>
              </w:r>
            </w:p>
            <w:p w14:paraId="71FDF114" w14:textId="77777777" w:rsidR="008A2269" w:rsidRPr="008A2269" w:rsidRDefault="008A2269" w:rsidP="008A2269">
              <w:pPr>
                <w:numPr>
                  <w:ilvl w:val="0"/>
                  <w:numId w:val="1"/>
                </w:numPr>
                <w:jc w:val="both"/>
                <w:rPr>
                  <w:rFonts w:ascii="Times New Roman" w:hAnsi="Times New Roman" w:cs="Times New Roman"/>
                  <w:noProof/>
                  <w:sz w:val="24"/>
                  <w:szCs w:val="24"/>
                </w:rPr>
              </w:pPr>
              <w:r w:rsidRPr="008A2269">
                <w:rPr>
                  <w:rFonts w:ascii="Times New Roman" w:hAnsi="Times New Roman" w:cs="Times New Roman"/>
                  <w:noProof/>
                  <w:sz w:val="24"/>
                  <w:szCs w:val="24"/>
                </w:rPr>
                <w:t xml:space="preserve">Deery, M. T. B. M. D. &amp;. L. L., 2009. Employee retention strategies for events management.. </w:t>
              </w:r>
              <w:r w:rsidRPr="008A2269">
                <w:rPr>
                  <w:rFonts w:ascii="Times New Roman" w:hAnsi="Times New Roman" w:cs="Times New Roman"/>
                  <w:i/>
                  <w:iCs/>
                  <w:noProof/>
                  <w:sz w:val="24"/>
                  <w:szCs w:val="24"/>
                </w:rPr>
                <w:t>Wallingford, UK:CAB International..</w:t>
              </w:r>
            </w:p>
            <w:p w14:paraId="3616831A" w14:textId="77777777" w:rsidR="008A2269" w:rsidRPr="008A2269" w:rsidRDefault="008A2269" w:rsidP="008A2269">
              <w:pPr>
                <w:numPr>
                  <w:ilvl w:val="0"/>
                  <w:numId w:val="1"/>
                </w:numPr>
                <w:jc w:val="both"/>
                <w:rPr>
                  <w:rFonts w:ascii="Times New Roman" w:hAnsi="Times New Roman" w:cs="Times New Roman"/>
                  <w:noProof/>
                  <w:sz w:val="24"/>
                  <w:szCs w:val="24"/>
                </w:rPr>
              </w:pPr>
              <w:r w:rsidRPr="008A2269">
                <w:rPr>
                  <w:rFonts w:ascii="Times New Roman" w:hAnsi="Times New Roman" w:cs="Times New Roman"/>
                  <w:noProof/>
                  <w:sz w:val="24"/>
                  <w:szCs w:val="24"/>
                </w:rPr>
                <w:t xml:space="preserve">French, R., 2010. Cross-cultural management in work organisations.. </w:t>
              </w:r>
              <w:r w:rsidRPr="008A2269">
                <w:rPr>
                  <w:rFonts w:ascii="Times New Roman" w:hAnsi="Times New Roman" w:cs="Times New Roman"/>
                  <w:i/>
                  <w:iCs/>
                  <w:noProof/>
                  <w:sz w:val="24"/>
                  <w:szCs w:val="24"/>
                </w:rPr>
                <w:t>London, UK: Charted Institute of Personnel and Development..</w:t>
              </w:r>
            </w:p>
            <w:p w14:paraId="18B05995" w14:textId="77777777" w:rsidR="008A2269" w:rsidRPr="008A2269" w:rsidRDefault="008A2269" w:rsidP="008A2269">
              <w:pPr>
                <w:numPr>
                  <w:ilvl w:val="0"/>
                  <w:numId w:val="1"/>
                </w:numPr>
                <w:jc w:val="both"/>
                <w:rPr>
                  <w:rFonts w:ascii="Times New Roman" w:hAnsi="Times New Roman" w:cs="Times New Roman"/>
                  <w:noProof/>
                  <w:sz w:val="24"/>
                  <w:szCs w:val="24"/>
                </w:rPr>
              </w:pPr>
              <w:r w:rsidRPr="008A2269">
                <w:rPr>
                  <w:rFonts w:ascii="Times New Roman" w:hAnsi="Times New Roman" w:cs="Times New Roman"/>
                  <w:noProof/>
                  <w:sz w:val="24"/>
                  <w:szCs w:val="24"/>
                </w:rPr>
                <w:t xml:space="preserve">Goldblatt, J. J., 2016. Special events: Event leadership for a new world.. </w:t>
              </w:r>
              <w:r w:rsidRPr="008A2269">
                <w:rPr>
                  <w:rFonts w:ascii="Times New Roman" w:hAnsi="Times New Roman" w:cs="Times New Roman"/>
                  <w:i/>
                  <w:iCs/>
                  <w:noProof/>
                  <w:sz w:val="24"/>
                  <w:szCs w:val="24"/>
                </w:rPr>
                <w:t>Hoboken, NJ: Wiley.</w:t>
              </w:r>
            </w:p>
            <w:p w14:paraId="40697A80" w14:textId="77777777" w:rsidR="008A2269" w:rsidRPr="008A2269" w:rsidRDefault="008A2269" w:rsidP="008A2269">
              <w:pPr>
                <w:numPr>
                  <w:ilvl w:val="0"/>
                  <w:numId w:val="1"/>
                </w:numPr>
                <w:jc w:val="both"/>
                <w:rPr>
                  <w:rFonts w:ascii="Times New Roman" w:hAnsi="Times New Roman" w:cs="Times New Roman"/>
                  <w:noProof/>
                  <w:sz w:val="24"/>
                  <w:szCs w:val="24"/>
                </w:rPr>
              </w:pPr>
              <w:r w:rsidRPr="008A2269">
                <w:rPr>
                  <w:rFonts w:ascii="Times New Roman" w:hAnsi="Times New Roman" w:cs="Times New Roman"/>
                  <w:noProof/>
                  <w:sz w:val="24"/>
                  <w:szCs w:val="24"/>
                </w:rPr>
                <w:t xml:space="preserve">Joseph, W. B., 2014. Internal marketing builds service quality. </w:t>
              </w:r>
              <w:r w:rsidRPr="008A2269">
                <w:rPr>
                  <w:rFonts w:ascii="Times New Roman" w:hAnsi="Times New Roman" w:cs="Times New Roman"/>
                  <w:i/>
                  <w:iCs/>
                  <w:noProof/>
                  <w:sz w:val="24"/>
                  <w:szCs w:val="24"/>
                </w:rPr>
                <w:t>Journal of Health Care Marketing.</w:t>
              </w:r>
            </w:p>
            <w:p w14:paraId="298D6462" w14:textId="77777777" w:rsidR="008A2269" w:rsidRPr="008A2269" w:rsidRDefault="008A2269" w:rsidP="008A2269">
              <w:pPr>
                <w:jc w:val="both"/>
              </w:pPr>
              <w:r w:rsidRPr="008A2269">
                <w:rPr>
                  <w:rFonts w:ascii="Times New Roman" w:hAnsi="Times New Roman" w:cs="Times New Roman"/>
                  <w:b/>
                  <w:bCs/>
                  <w:noProof/>
                  <w:sz w:val="24"/>
                  <w:szCs w:val="24"/>
                </w:rPr>
                <w:fldChar w:fldCharType="end"/>
              </w:r>
            </w:p>
          </w:sdtContent>
        </w:sdt>
      </w:sdtContent>
    </w:sdt>
    <w:p w14:paraId="6811B015" w14:textId="77777777" w:rsidR="00C5687A" w:rsidRDefault="00C5687A" w:rsidP="00C5687A">
      <w:pPr>
        <w:rPr>
          <w:sz w:val="28"/>
          <w:szCs w:val="28"/>
        </w:rPr>
      </w:pPr>
    </w:p>
    <w:p w14:paraId="6182BB6D" w14:textId="6F5D1E82" w:rsidR="00C5687A" w:rsidRPr="00C5687A" w:rsidRDefault="00C5687A" w:rsidP="00C5687A">
      <w:pPr>
        <w:tabs>
          <w:tab w:val="left" w:pos="2592"/>
        </w:tabs>
        <w:rPr>
          <w:sz w:val="28"/>
          <w:szCs w:val="28"/>
        </w:rPr>
      </w:pPr>
      <w:r>
        <w:rPr>
          <w:sz w:val="28"/>
          <w:szCs w:val="28"/>
        </w:rPr>
        <w:tab/>
      </w:r>
    </w:p>
    <w:sectPr w:rsidR="00C5687A" w:rsidRPr="00C568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7A8A98" w14:textId="77777777" w:rsidR="00C5687A" w:rsidRDefault="00C5687A" w:rsidP="00C5687A">
      <w:pPr>
        <w:spacing w:after="0" w:line="240" w:lineRule="auto"/>
      </w:pPr>
      <w:r>
        <w:separator/>
      </w:r>
    </w:p>
  </w:endnote>
  <w:endnote w:type="continuationSeparator" w:id="0">
    <w:p w14:paraId="6F247DE3" w14:textId="77777777" w:rsidR="00C5687A" w:rsidRDefault="00C5687A" w:rsidP="00C568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D74ECA" w14:textId="77777777" w:rsidR="00C5687A" w:rsidRDefault="00C5687A" w:rsidP="00C5687A">
      <w:pPr>
        <w:spacing w:after="0" w:line="240" w:lineRule="auto"/>
      </w:pPr>
      <w:r>
        <w:separator/>
      </w:r>
    </w:p>
  </w:footnote>
  <w:footnote w:type="continuationSeparator" w:id="0">
    <w:p w14:paraId="700EB7B3" w14:textId="77777777" w:rsidR="00C5687A" w:rsidRDefault="00C5687A" w:rsidP="00C568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553571"/>
    <w:multiLevelType w:val="hybridMultilevel"/>
    <w:tmpl w:val="C24EA7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4605B"/>
    <w:rsid w:val="001626CB"/>
    <w:rsid w:val="00296AB8"/>
    <w:rsid w:val="00676418"/>
    <w:rsid w:val="00840743"/>
    <w:rsid w:val="0084605B"/>
    <w:rsid w:val="008A2269"/>
    <w:rsid w:val="0098031A"/>
    <w:rsid w:val="00C56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7C1C8"/>
  <w15:chartTrackingRefBased/>
  <w15:docId w15:val="{BE371AB8-1ED0-471D-B0A8-786F8CE69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26CB"/>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68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687A"/>
    <w:rPr>
      <w:lang w:val="en-US"/>
    </w:rPr>
  </w:style>
  <w:style w:type="paragraph" w:styleId="Footer">
    <w:name w:val="footer"/>
    <w:basedOn w:val="Normal"/>
    <w:link w:val="FooterChar"/>
    <w:uiPriority w:val="99"/>
    <w:unhideWhenUsed/>
    <w:rsid w:val="00C568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687A"/>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Gol16</b:Tag>
    <b:SourceType>JournalArticle</b:SourceType>
    <b:Guid>{3AA5A24F-71DD-48F2-A706-C1C577A6BB42}</b:Guid>
    <b:Author>
      <b:Author>
        <b:NameList>
          <b:Person>
            <b:Last>Goldblatt</b:Last>
            <b:First>J.</b:First>
            <b:Middle>J.</b:Middle>
          </b:Person>
        </b:NameList>
      </b:Author>
    </b:Author>
    <b:Title>Special events: Event leadership for a new world.</b:Title>
    <b:JournalName> Hoboken, NJ: Wiley</b:JournalName>
    <b:Year>2016</b:Year>
    <b:RefOrder>1</b:RefOrder>
  </b:Source>
  <b:Source>
    <b:Tag>Jos14</b:Tag>
    <b:SourceType>JournalArticle</b:SourceType>
    <b:Guid>{8107A75A-75A7-42D4-AC38-82D518B8309D}</b:Guid>
    <b:Author>
      <b:Author>
        <b:NameList>
          <b:Person>
            <b:Last>Joseph</b:Last>
            <b:First>W.</b:First>
            <b:Middle>B.</b:Middle>
          </b:Person>
        </b:NameList>
      </b:Author>
    </b:Author>
    <b:Title>Internal marketing builds service quality</b:Title>
    <b:JournalName>Journal of Health Care Marketing</b:JournalName>
    <b:Year>2014</b:Year>
    <b:RefOrder>2</b:RefOrder>
  </b:Source>
  <b:Source>
    <b:Tag>Fre10</b:Tag>
    <b:SourceType>JournalArticle</b:SourceType>
    <b:Guid>{AFF1D012-7E2F-4DFE-AD8D-236F92CF4990}</b:Guid>
    <b:Author>
      <b:Author>
        <b:NameList>
          <b:Person>
            <b:Last>French</b:Last>
            <b:First>R.</b:First>
          </b:Person>
        </b:NameList>
      </b:Author>
    </b:Author>
    <b:Title>Cross-cultural management in work organisations.</b:Title>
    <b:JournalName>London, UK: Charted Institute of Personnel and Development.</b:JournalName>
    <b:Year>2010</b:Year>
    <b:RefOrder>3</b:RefOrder>
  </b:Source>
  <b:Source>
    <b:Tag>Bow12</b:Tag>
    <b:SourceType>JournalArticle</b:SourceType>
    <b:Guid>{1102FF6E-75BF-4F0D-BD7F-2FE3817F4FDF}</b:Guid>
    <b:Author>
      <b:Author>
        <b:NameList>
          <b:Person>
            <b:Last>Bowdin</b:Last>
            <b:First>G.,</b:First>
            <b:Middle>Allen, J., O’Toole W., Harris R., &amp; McDonnell, I.</b:Middle>
          </b:Person>
        </b:NameList>
      </b:Author>
    </b:Author>
    <b:Title>Events management.</b:Title>
    <b:JournalName>Oxford, UK: Elsevier Butterworth-Heinemann.</b:JournalName>
    <b:Year>2012</b:Year>
    <b:RefOrder>4</b:RefOrder>
  </b:Source>
  <b:Source>
    <b:Tag>Boe18</b:Tag>
    <b:SourceType>JournalArticle</b:SourceType>
    <b:Guid>{0F65126C-8ED1-4F1F-A125-E0F03B32F19D}</b:Guid>
    <b:Author>
      <b:Author>
        <b:NameList>
          <b:Person>
            <b:Last>Boella</b:Last>
            <b:First>M.</b:First>
            <b:Middle>J., &amp; Goss-Turner, S.</b:Middle>
          </b:Person>
        </b:NameList>
      </b:Author>
    </b:Author>
    <b:Title>HR management in the hospitality industry.</b:Title>
    <b:JournalName>Abingdon-on-Thames, UK: Routledge.</b:JournalName>
    <b:Year>2018</b:Year>
    <b:RefOrder>5</b:RefOrder>
  </b:Source>
  <b:Source>
    <b:Tag>Dee09</b:Tag>
    <b:SourceType>JournalArticle</b:SourceType>
    <b:Guid>{E9193E6D-AEF6-4812-8347-D59D70185B49}</b:Guid>
    <b:Author>
      <b:Author>
        <b:NameList>
          <b:Person>
            <b:Last>Deery</b:Last>
            <b:First>M.</b:First>
            <b:Middle>T. Baum, M. Deery, &amp; L. Lockstone</b:Middle>
          </b:Person>
        </b:NameList>
      </b:Author>
    </b:Author>
    <b:Title>Employee retention strategies for events management.</b:Title>
    <b:JournalName>Wallingford, UK:CAB International.</b:JournalName>
    <b:Year>2009</b:Year>
    <b:RefOrder>6</b:RefOrder>
  </b:Source>
  <b:Source>
    <b:Tag>Cre12</b:Tag>
    <b:SourceType>JournalArticle</b:SourceType>
    <b:Guid>{B2B069E2-8EB4-4477-8BA4-0A212D65CBD3}</b:Guid>
    <b:Author>
      <b:Author>
        <b:NameList>
          <b:Person>
            <b:Last>Creswell</b:Last>
            <b:First>J.</b:First>
            <b:Middle>W.</b:Middle>
          </b:Person>
        </b:NameList>
      </b:Author>
    </b:Author>
    <b:Title> Qualitative inquiry and research design: Choosing among five traditions.</b:Title>
    <b:JournalName>London sage productions</b:JournalName>
    <b:Year>2012</b:Year>
    <b:RefOrder>7</b:RefOrder>
  </b:Source>
  <b:Source>
    <b:Tag>Cha10</b:Tag>
    <b:SourceType>JournalArticle</b:SourceType>
    <b:Guid>{7D4AF614-2829-4629-8008-6C63D71AA8F2}</b:Guid>
    <b:Author>
      <b:Author>
        <b:NameList>
          <b:Person>
            <b:Last>Champoux</b:Last>
            <b:First>J.</b:First>
            <b:Middle>E.</b:Middle>
          </b:Person>
        </b:NameList>
      </b:Author>
    </b:Author>
    <b:Title>Organizational behavior: Integrating individuals, groups, and organizations.</b:Title>
    <b:JournalName>New York, NY. Routlege</b:JournalName>
    <b:Year>2010</b:Year>
    <b:RefOrder>8</b:RefOrder>
  </b:Source>
  <b:Source>
    <b:Tag>Bar122</b:Tag>
    <b:SourceType>JournalArticle</b:SourceType>
    <b:Guid>{FBBEACC2-2A1F-47F2-AD5A-FFE32650DB59}</b:Guid>
    <b:Author>
      <b:Author>
        <b:NameList>
          <b:Person>
            <b:Last>Barney</b:Last>
            <b:First>J.</b:First>
          </b:Person>
        </b:NameList>
      </b:Author>
    </b:Author>
    <b:Title>Firm resources and sustained competitive advantage.</b:Title>
    <b:JournalName>Journal of Management</b:JournalName>
    <b:Year>2012</b:Year>
    <b:RefOrder>9</b:RefOrder>
  </b:Source>
  <b:Source>
    <b:Tag>And04</b:Tag>
    <b:SourceType>JournalArticle</b:SourceType>
    <b:Guid>{F8726113-7245-4D28-A294-156C83F94D99}</b:Guid>
    <b:Author>
      <b:Author>
        <b:NameList>
          <b:Person>
            <b:Last>Anderson</b:Last>
            <b:First>E.,</b:First>
            <b:Middle>Fornell, C., &amp; Lehmann, D.</b:Middle>
          </b:Person>
        </b:NameList>
      </b:Author>
    </b:Author>
    <b:Title>Customer satisfaction, market share, and profitability</b:Title>
    <b:JournalName>Journal of Marketing</b:JournalName>
    <b:Year>2004</b:Year>
    <b:RefOrder>10</b:RefOrder>
  </b:Source>
</b:Sources>
</file>

<file path=customXml/itemProps1.xml><?xml version="1.0" encoding="utf-8"?>
<ds:datastoreItem xmlns:ds="http://schemas.openxmlformats.org/officeDocument/2006/customXml" ds:itemID="{22CE95CE-A8C3-4058-9CFB-54A12A77A9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752</TotalTime>
  <Pages>4</Pages>
  <Words>1252</Words>
  <Characters>7137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 Tariq</dc:creator>
  <cp:keywords/>
  <dc:description/>
  <cp:lastModifiedBy>Hamza Tariq</cp:lastModifiedBy>
  <cp:revision>1</cp:revision>
  <dcterms:created xsi:type="dcterms:W3CDTF">2022-07-14T21:52:00Z</dcterms:created>
  <dcterms:modified xsi:type="dcterms:W3CDTF">2022-07-16T13:35:00Z</dcterms:modified>
</cp:coreProperties>
</file>