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63267" w14:textId="77777777" w:rsidR="004325C4" w:rsidRDefault="00000000">
      <w:pPr>
        <w:spacing w:before="400" w:after="100"/>
      </w:pPr>
      <w:r>
        <w:rPr>
          <w:b/>
          <w:bCs/>
          <w:color w:val="C9A84C"/>
          <w:sz w:val="24"/>
          <w:szCs w:val="24"/>
        </w:rPr>
        <w:t>LCDB7012</w:t>
      </w:r>
    </w:p>
    <w:p w14:paraId="2E383AB0" w14:textId="77777777" w:rsidR="004325C4" w:rsidRDefault="00000000">
      <w:pPr>
        <w:spacing w:after="60"/>
      </w:pPr>
      <w:r>
        <w:rPr>
          <w:color w:val="607085"/>
          <w:sz w:val="24"/>
          <w:szCs w:val="24"/>
        </w:rPr>
        <w:t>Advancing to Doctoral Research Stage</w:t>
      </w:r>
    </w:p>
    <w:p w14:paraId="3E303E4A" w14:textId="77777777" w:rsidR="004325C4" w:rsidRDefault="00000000">
      <w:pPr>
        <w:spacing w:before="200" w:after="100"/>
      </w:pPr>
      <w:r>
        <w:rPr>
          <w:b/>
          <w:bCs/>
          <w:color w:val="1C2B4A"/>
          <w:sz w:val="40"/>
          <w:szCs w:val="40"/>
        </w:rPr>
        <w:t>Contribution: Generating New Knowledge and Presenting Qualitative Empirical Evidence</w:t>
      </w:r>
    </w:p>
    <w:p w14:paraId="5BD27A3E" w14:textId="77777777" w:rsidR="004325C4" w:rsidRDefault="00000000">
      <w:pPr>
        <w:spacing w:after="400"/>
      </w:pPr>
      <w:r>
        <w:rPr>
          <w:i/>
          <w:iCs/>
          <w:color w:val="607085"/>
        </w:rPr>
        <w:t>Student Handbook</w:t>
      </w:r>
    </w:p>
    <w:p w14:paraId="34A882CD" w14:textId="77777777" w:rsidR="004325C4" w:rsidRDefault="00000000">
      <w:pPr>
        <w:spacing w:after="600"/>
      </w:pPr>
      <w:r>
        <w:rPr>
          <w:color w:val="000000"/>
          <w:sz w:val="26"/>
          <w:szCs w:val="26"/>
        </w:rPr>
        <w:t>Dr Caroline Jawad</w:t>
      </w:r>
    </w:p>
    <w:p w14:paraId="3FAEC9FD" w14:textId="77777777" w:rsidR="004325C4" w:rsidRDefault="00000000">
      <w:pPr>
        <w:pStyle w:val="Heading1"/>
        <w:spacing w:before="320" w:after="160"/>
      </w:pPr>
      <w:r>
        <w:rPr>
          <w:b/>
          <w:bCs/>
          <w:color w:val="1C2B4A"/>
        </w:rPr>
        <w:t>Purpose of this session</w:t>
      </w:r>
    </w:p>
    <w:p w14:paraId="2F87CEBF" w14:textId="77777777" w:rsidR="004325C4" w:rsidRDefault="00000000">
      <w:pPr>
        <w:spacing w:after="160"/>
      </w:pPr>
      <w:r>
        <w:rPr>
          <w:color w:val="000000"/>
        </w:rPr>
        <w:t xml:space="preserve">Rocco and </w:t>
      </w:r>
      <w:proofErr w:type="spellStart"/>
      <w:r>
        <w:rPr>
          <w:color w:val="000000"/>
        </w:rPr>
        <w:t>Plakhotnik</w:t>
      </w:r>
      <w:proofErr w:type="spellEnd"/>
      <w:r>
        <w:rPr>
          <w:color w:val="000000"/>
        </w:rPr>
        <w:t xml:space="preserve"> (2009) distinguish a theoretical framework, the lens through which data is interpreted, from a literature review or conceptual framework. A finding becomes a contribution when it is related back explicitly to something beyond itself: a theoretical framework, existing practice, or professional decision-making, rather than left to stand alone as description. Whetten (1989) and Corley and Gioia (2011) remain the standard reference points for what a theoretical contribution specifically requires, but a practical or methodological contribution is equally legitimate, provided it is stated explicitly rather than assumed. This session gives you a method for making that move, and for presenting qualitative evidence so it earns the claim made from it.</w:t>
      </w:r>
    </w:p>
    <w:p w14:paraId="08133514" w14:textId="77777777" w:rsidR="004325C4" w:rsidRDefault="00000000">
      <w:pPr>
        <w:spacing w:after="160"/>
      </w:pPr>
      <w:r>
        <w:rPr>
          <w:color w:val="000000"/>
        </w:rPr>
        <w:t>How to use this handbook: the ladder from data to claim, the quote-integration pairs, the four failures, and the overclaiming and underclaiming material are all taught in the session slides. This handbook does not repeat any of that. It holds only what the slides do not: the full reading list, a second real reading for the evaluation activity, and the transcript-and-theme practice material for the writing activity if you do not yet have coded data of your own.</w:t>
      </w:r>
    </w:p>
    <w:p w14:paraId="63E802E0" w14:textId="77777777" w:rsidR="004325C4" w:rsidRDefault="00000000">
      <w:r>
        <w:br w:type="page"/>
      </w:r>
    </w:p>
    <w:p w14:paraId="56C33792" w14:textId="77777777" w:rsidR="004325C4" w:rsidRDefault="00000000">
      <w:pPr>
        <w:pStyle w:val="Heading1"/>
        <w:spacing w:before="320" w:after="160"/>
      </w:pPr>
      <w:r>
        <w:rPr>
          <w:b/>
          <w:bCs/>
          <w:color w:val="1C2B4A"/>
        </w:rPr>
        <w:lastRenderedPageBreak/>
        <w:t>Independent practice</w:t>
      </w:r>
    </w:p>
    <w:p w14:paraId="1A37C0F8" w14:textId="77777777" w:rsidR="004325C4" w:rsidRDefault="00000000">
      <w:pPr>
        <w:pStyle w:val="Heading2"/>
        <w:spacing w:before="260" w:after="120"/>
      </w:pPr>
      <w:r>
        <w:rPr>
          <w:b/>
          <w:bCs/>
          <w:color w:val="1C2B4A"/>
        </w:rPr>
        <w:t>Activity 1: a second real reading</w:t>
      </w:r>
    </w:p>
    <w:p w14:paraId="67F2B745" w14:textId="77777777" w:rsidR="004325C4" w:rsidRDefault="00000000">
      <w:pPr>
        <w:spacing w:after="160"/>
      </w:pPr>
      <w:r>
        <w:rPr>
          <w:color w:val="000000"/>
        </w:rPr>
        <w:t xml:space="preserve">The session used the psychological safety theme from </w:t>
      </w:r>
      <w:proofErr w:type="spellStart"/>
      <w:r>
        <w:rPr>
          <w:color w:val="000000"/>
        </w:rPr>
        <w:t>Rubbi</w:t>
      </w:r>
      <w:proofErr w:type="spellEnd"/>
      <w:r>
        <w:rPr>
          <w:color w:val="000000"/>
        </w:rPr>
        <w:t xml:space="preserve"> Nunan, Ebrahim and Stander (2023). For independent practice, read a different theme from the same paper, positive relationship, in </w:t>
      </w:r>
      <w:proofErr w:type="spellStart"/>
      <w:r>
        <w:rPr>
          <w:color w:val="000000"/>
        </w:rPr>
        <w:t>Rubbi</w:t>
      </w:r>
      <w:proofErr w:type="spellEnd"/>
      <w:r>
        <w:rPr>
          <w:color w:val="000000"/>
        </w:rPr>
        <w:t xml:space="preserve"> Nunan, J.L., Ebrahim, A.B. and Stander, M.W., 2023. Mentoring in the workplace: exploring the experiences of mentor-mentee relations. SA Journal of Industrial Psychology, 49(0), a2067. This is open access.</w:t>
      </w:r>
    </w:p>
    <w:p w14:paraId="656DAF5A" w14:textId="77777777" w:rsidR="004325C4" w:rsidRDefault="00000000">
      <w:pPr>
        <w:pStyle w:val="ListParagraph"/>
        <w:numPr>
          <w:ilvl w:val="0"/>
          <w:numId w:val="1"/>
        </w:numPr>
        <w:spacing w:after="100"/>
      </w:pPr>
      <w:r>
        <w:rPr>
          <w:color w:val="000000"/>
        </w:rPr>
        <w:t>Identify a quote the authors use and decide whether it is quote-and-drop or quote-interpret-link</w:t>
      </w:r>
    </w:p>
    <w:p w14:paraId="3BECEF01" w14:textId="77777777" w:rsidR="004325C4" w:rsidRDefault="00000000">
      <w:pPr>
        <w:pStyle w:val="ListParagraph"/>
        <w:numPr>
          <w:ilvl w:val="0"/>
          <w:numId w:val="1"/>
        </w:numPr>
        <w:spacing w:after="100"/>
      </w:pPr>
      <w:r>
        <w:rPr>
          <w:color w:val="000000"/>
        </w:rPr>
        <w:t>Identify the sentence, if there is one, where the authors state a contribution explicitly, and compare it against how the psychological safety theme was handled in the session</w:t>
      </w:r>
    </w:p>
    <w:p w14:paraId="0B99D501" w14:textId="77777777" w:rsidR="004325C4" w:rsidRDefault="00000000">
      <w:pPr>
        <w:pStyle w:val="ListParagraph"/>
        <w:numPr>
          <w:ilvl w:val="0"/>
          <w:numId w:val="1"/>
        </w:numPr>
        <w:spacing w:after="100"/>
      </w:pPr>
      <w:r>
        <w:rPr>
          <w:color w:val="000000"/>
        </w:rPr>
        <w:t>There is no model answer here, since the correct reading depends on the actual text, not a scenario invented for teaching</w:t>
      </w:r>
    </w:p>
    <w:p w14:paraId="278D4076" w14:textId="77777777" w:rsidR="004325C4" w:rsidRDefault="00000000">
      <w:pPr>
        <w:pStyle w:val="Heading2"/>
        <w:spacing w:before="260" w:after="120"/>
      </w:pPr>
      <w:r>
        <w:rPr>
          <w:b/>
          <w:bCs/>
          <w:color w:val="1C2B4A"/>
        </w:rPr>
        <w:t>Activity 2: writing the finding paragraph, practice material</w:t>
      </w:r>
    </w:p>
    <w:p w14:paraId="70EEB213" w14:textId="77777777" w:rsidR="004325C4" w:rsidRDefault="00000000">
      <w:pPr>
        <w:spacing w:after="160"/>
      </w:pPr>
      <w:r>
        <w:rPr>
          <w:color w:val="000000"/>
        </w:rPr>
        <w:t>If you have coded data of your own, use that instead. If not, this transcript extract and theme are constructed for practice, not drawn from a named study, and are here so you have something to write from.</w:t>
      </w:r>
    </w:p>
    <w:p w14:paraId="1032807C" w14:textId="77777777" w:rsidR="004325C4" w:rsidRDefault="00000000">
      <w:pPr>
        <w:spacing w:before="100" w:after="60"/>
        <w:ind w:left="360"/>
      </w:pPr>
      <w:r>
        <w:rPr>
          <w:b/>
          <w:bCs/>
          <w:color w:val="1C2B4A"/>
        </w:rPr>
        <w:t xml:space="preserve">Transcript extract: </w:t>
      </w:r>
      <w:r>
        <w:rPr>
          <w:i/>
          <w:iCs/>
          <w:color w:val="000000"/>
        </w:rPr>
        <w:t>erm, everyone kept asking why I'd throw away ten years of experience, so eventually I just stopped telling people I was retraining</w:t>
      </w:r>
    </w:p>
    <w:p w14:paraId="7C77D901" w14:textId="77777777" w:rsidR="004325C4" w:rsidRDefault="00000000">
      <w:pPr>
        <w:spacing w:before="100" w:after="60"/>
        <w:ind w:left="360"/>
      </w:pPr>
      <w:r>
        <w:rPr>
          <w:b/>
          <w:bCs/>
          <w:color w:val="1C2B4A"/>
        </w:rPr>
        <w:t xml:space="preserve">Coded theme, given for this exercise: </w:t>
      </w:r>
      <w:r>
        <w:rPr>
          <w:i/>
          <w:iCs/>
          <w:color w:val="000000"/>
        </w:rPr>
        <w:t>Concealment of career change to avoid social judgement</w:t>
      </w:r>
    </w:p>
    <w:p w14:paraId="1CCCF1E7" w14:textId="77777777" w:rsidR="004325C4" w:rsidRDefault="00000000">
      <w:pPr>
        <w:spacing w:after="160"/>
      </w:pPr>
      <w:r>
        <w:rPr>
          <w:color w:val="000000"/>
        </w:rPr>
        <w:t>Attempt your own finding paragraph, then check it against the self-assessment checklist from the session. As a guide, a strong paragraph would name the mechanism at work, for example concealment as identity management, and state what kind of literature it would need to engage with, for example theory on stigma management or identity transitions (cf. Ibarra, 1999, on provisional selves during identity transitions), even without a specific citation confirmed.</w:t>
      </w:r>
    </w:p>
    <w:p w14:paraId="7D68EC2D" w14:textId="77777777" w:rsidR="004325C4" w:rsidRDefault="00000000">
      <w:r>
        <w:br w:type="page"/>
      </w:r>
    </w:p>
    <w:p w14:paraId="3D398291" w14:textId="77777777" w:rsidR="004325C4" w:rsidRDefault="00000000">
      <w:pPr>
        <w:pStyle w:val="Heading1"/>
        <w:spacing w:before="320" w:after="160"/>
      </w:pPr>
      <w:r>
        <w:rPr>
          <w:b/>
          <w:bCs/>
          <w:color w:val="1C2B4A"/>
        </w:rPr>
        <w:lastRenderedPageBreak/>
        <w:t>Reading list</w:t>
      </w:r>
    </w:p>
    <w:p w14:paraId="6252D734" w14:textId="77777777" w:rsidR="004325C4" w:rsidRDefault="00000000">
      <w:pPr>
        <w:spacing w:after="160"/>
      </w:pPr>
      <w:r>
        <w:rPr>
          <w:color w:val="000000"/>
        </w:rPr>
        <w:t>The core texts for this session are listed first. All references below have been checked against publisher and journal records.</w:t>
      </w:r>
    </w:p>
    <w:p w14:paraId="1F16E0A0" w14:textId="77777777" w:rsidR="004325C4" w:rsidRDefault="00000000">
      <w:pPr>
        <w:spacing w:after="160"/>
        <w:ind w:left="360" w:hanging="360"/>
      </w:pPr>
      <w:r>
        <w:rPr>
          <w:color w:val="000000"/>
        </w:rPr>
        <w:t xml:space="preserve">Rocco, T.S. and </w:t>
      </w:r>
      <w:proofErr w:type="spellStart"/>
      <w:r>
        <w:rPr>
          <w:color w:val="000000"/>
        </w:rPr>
        <w:t>Plakhotnik</w:t>
      </w:r>
      <w:proofErr w:type="spellEnd"/>
      <w:r>
        <w:rPr>
          <w:color w:val="000000"/>
        </w:rPr>
        <w:t>, M.S., 2009. Literature reviews, conceptual frameworks, and theoretical frameworks: terms, functions, and distinctions. Human Resource Development Review, 8(1), pp.120-130.</w:t>
      </w:r>
    </w:p>
    <w:p w14:paraId="4BB421D5" w14:textId="77777777" w:rsidR="004325C4" w:rsidRDefault="00000000">
      <w:pPr>
        <w:spacing w:after="160"/>
        <w:ind w:left="360" w:hanging="360"/>
      </w:pPr>
      <w:r>
        <w:rPr>
          <w:color w:val="000000"/>
        </w:rPr>
        <w:t>Whetten, D.A., 1989. What constitutes a theoretical contribution? Academy of Management Review, 14(4), pp.490-495.</w:t>
      </w:r>
    </w:p>
    <w:p w14:paraId="5882BBB3" w14:textId="77777777" w:rsidR="004325C4" w:rsidRDefault="00000000">
      <w:pPr>
        <w:spacing w:after="160"/>
        <w:ind w:left="360" w:hanging="360"/>
      </w:pPr>
      <w:r>
        <w:rPr>
          <w:color w:val="000000"/>
        </w:rPr>
        <w:t>Corley, K.G. and Gioia, D.A., 2011. Building theory about theory building: what constitutes a theoretical contribution? Academy of Management Review, 36(1), pp.12-32.</w:t>
      </w:r>
    </w:p>
    <w:p w14:paraId="2A679B45" w14:textId="77777777" w:rsidR="004325C4" w:rsidRDefault="00000000">
      <w:pPr>
        <w:spacing w:after="160"/>
        <w:ind w:left="360" w:hanging="360"/>
      </w:pPr>
      <w:proofErr w:type="spellStart"/>
      <w:r>
        <w:rPr>
          <w:color w:val="000000"/>
        </w:rPr>
        <w:t>Rubbi</w:t>
      </w:r>
      <w:proofErr w:type="spellEnd"/>
      <w:r>
        <w:rPr>
          <w:color w:val="000000"/>
        </w:rPr>
        <w:t xml:space="preserve"> Nunan, J.L., Ebrahim, A.B. and Stander, M.W., 2023. Mentoring in the workplace: exploring the experiences of mentor-mentee relations. SA Journal of Industrial Psychology, 49(0), a2067.</w:t>
      </w:r>
    </w:p>
    <w:p w14:paraId="63BC665A" w14:textId="77777777" w:rsidR="004325C4" w:rsidRDefault="00000000">
      <w:pPr>
        <w:spacing w:after="160"/>
        <w:ind w:left="360" w:hanging="360"/>
      </w:pPr>
      <w:r>
        <w:rPr>
          <w:color w:val="000000"/>
        </w:rPr>
        <w:t>Tracy, S.J., 2010. Qualitative quality: eight big-tent criteria for excellent qualitative research. Qualitative Inquiry, 16(10), pp.837-851.</w:t>
      </w:r>
    </w:p>
    <w:p w14:paraId="4DAF850D" w14:textId="77777777" w:rsidR="004325C4" w:rsidRDefault="00000000">
      <w:pPr>
        <w:spacing w:after="160"/>
        <w:ind w:left="360" w:hanging="360"/>
      </w:pPr>
      <w:r>
        <w:rPr>
          <w:color w:val="000000"/>
        </w:rPr>
        <w:t>Corden, A. and Sainsbury, R., 2006. Using Verbatim Quotations in Reporting Qualitative Social Research: Researchers' Views. York: Social Policy Research Unit, University of York.</w:t>
      </w:r>
    </w:p>
    <w:p w14:paraId="61903550" w14:textId="77777777" w:rsidR="004325C4" w:rsidRDefault="00000000">
      <w:pPr>
        <w:spacing w:after="160"/>
        <w:ind w:left="360" w:hanging="360"/>
      </w:pPr>
      <w:r>
        <w:rPr>
          <w:color w:val="000000"/>
        </w:rPr>
        <w:t xml:space="preserve">Bijlsma, K. and Van de Bunt, G., 2003. Antecedents of trust in managers: a </w:t>
      </w:r>
      <w:proofErr w:type="gramStart"/>
      <w:r>
        <w:rPr>
          <w:color w:val="000000"/>
        </w:rPr>
        <w:t>bottom up</w:t>
      </w:r>
      <w:proofErr w:type="gramEnd"/>
      <w:r>
        <w:rPr>
          <w:color w:val="000000"/>
        </w:rPr>
        <w:t xml:space="preserve"> approach. Personnel Review, 32(5), pp.638-664.</w:t>
      </w:r>
    </w:p>
    <w:p w14:paraId="745A25FC" w14:textId="77777777" w:rsidR="004325C4" w:rsidRDefault="00000000">
      <w:pPr>
        <w:spacing w:after="160"/>
        <w:ind w:left="360" w:hanging="360"/>
      </w:pPr>
      <w:r>
        <w:rPr>
          <w:color w:val="000000"/>
        </w:rPr>
        <w:t>Handler, W.C., 1994. Succession in family business: a review of the research. Family Business Review, 7(2), pp.133-157.</w:t>
      </w:r>
    </w:p>
    <w:p w14:paraId="41703247" w14:textId="77777777" w:rsidR="004325C4" w:rsidRDefault="00000000">
      <w:pPr>
        <w:spacing w:after="160"/>
        <w:ind w:left="360" w:hanging="360"/>
      </w:pPr>
      <w:r>
        <w:rPr>
          <w:color w:val="000000"/>
        </w:rPr>
        <w:t xml:space="preserve">Luthans, F., 2002. The need for and meaning of positive organizational </w:t>
      </w:r>
      <w:proofErr w:type="spellStart"/>
      <w:r>
        <w:rPr>
          <w:color w:val="000000"/>
        </w:rPr>
        <w:t>behavior</w:t>
      </w:r>
      <w:proofErr w:type="spellEnd"/>
      <w:r>
        <w:rPr>
          <w:color w:val="000000"/>
        </w:rPr>
        <w:t xml:space="preserve">. Journal of Organizational </w:t>
      </w:r>
      <w:proofErr w:type="spellStart"/>
      <w:r>
        <w:rPr>
          <w:color w:val="000000"/>
        </w:rPr>
        <w:t>Behavior</w:t>
      </w:r>
      <w:proofErr w:type="spellEnd"/>
      <w:r>
        <w:rPr>
          <w:color w:val="000000"/>
        </w:rPr>
        <w:t>, 23(6), pp.695-706.</w:t>
      </w:r>
    </w:p>
    <w:p w14:paraId="08459FD8" w14:textId="77777777" w:rsidR="004325C4" w:rsidRDefault="00000000">
      <w:pPr>
        <w:spacing w:after="160"/>
        <w:ind w:left="360" w:hanging="360"/>
      </w:pPr>
      <w:r>
        <w:rPr>
          <w:color w:val="000000"/>
        </w:rPr>
        <w:t>Ibarra, H., 1999. Provisional selves: experimenting with image and identity in professional adaptation. Administrative Science Quarterly, 44(4), pp.764-791.</w:t>
      </w:r>
    </w:p>
    <w:sectPr w:rsidR="004325C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E214A" w14:textId="77777777" w:rsidR="00BF2135" w:rsidRDefault="00BF2135" w:rsidP="002220BF">
      <w:r>
        <w:separator/>
      </w:r>
    </w:p>
  </w:endnote>
  <w:endnote w:type="continuationSeparator" w:id="0">
    <w:p w14:paraId="7188A4E9" w14:textId="77777777" w:rsidR="00BF2135" w:rsidRDefault="00BF2135" w:rsidP="00222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B8C2B" w14:textId="77777777" w:rsidR="002220BF" w:rsidRDefault="002220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0736211"/>
      <w:docPartObj>
        <w:docPartGallery w:val="Page Numbers (Bottom of Page)"/>
        <w:docPartUnique/>
      </w:docPartObj>
    </w:sdtPr>
    <w:sdtEndPr>
      <w:rPr>
        <w:noProof/>
      </w:rPr>
    </w:sdtEndPr>
    <w:sdtContent>
      <w:p w14:paraId="31D3B7C1" w14:textId="0B6ACC18" w:rsidR="002220BF" w:rsidRDefault="002220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D6A641" w14:textId="77777777" w:rsidR="002220BF" w:rsidRDefault="002220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D7DB9" w14:textId="77777777" w:rsidR="002220BF" w:rsidRDefault="002220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1BB79" w14:textId="77777777" w:rsidR="00BF2135" w:rsidRDefault="00BF2135" w:rsidP="002220BF">
      <w:r>
        <w:separator/>
      </w:r>
    </w:p>
  </w:footnote>
  <w:footnote w:type="continuationSeparator" w:id="0">
    <w:p w14:paraId="2DA718FF" w14:textId="77777777" w:rsidR="00BF2135" w:rsidRDefault="00BF2135" w:rsidP="00222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4FC27" w14:textId="77777777" w:rsidR="002220BF" w:rsidRDefault="002220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C07E4" w14:textId="77777777" w:rsidR="002220BF" w:rsidRDefault="002220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F4D9" w14:textId="77777777" w:rsidR="002220BF" w:rsidRDefault="002220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74601B"/>
    <w:multiLevelType w:val="hybridMultilevel"/>
    <w:tmpl w:val="4E06BDAA"/>
    <w:lvl w:ilvl="0" w:tplc="B8B8EA04">
      <w:start w:val="1"/>
      <w:numFmt w:val="bullet"/>
      <w:lvlText w:val="●"/>
      <w:lvlJc w:val="left"/>
      <w:pPr>
        <w:ind w:left="720" w:hanging="360"/>
      </w:pPr>
    </w:lvl>
    <w:lvl w:ilvl="1" w:tplc="584E15DA">
      <w:start w:val="1"/>
      <w:numFmt w:val="bullet"/>
      <w:lvlText w:val="○"/>
      <w:lvlJc w:val="left"/>
      <w:pPr>
        <w:ind w:left="1440" w:hanging="360"/>
      </w:pPr>
    </w:lvl>
    <w:lvl w:ilvl="2" w:tplc="C748C42C">
      <w:start w:val="1"/>
      <w:numFmt w:val="bullet"/>
      <w:lvlText w:val="■"/>
      <w:lvlJc w:val="left"/>
      <w:pPr>
        <w:ind w:left="2160" w:hanging="360"/>
      </w:pPr>
    </w:lvl>
    <w:lvl w:ilvl="3" w:tplc="4D341C04">
      <w:start w:val="1"/>
      <w:numFmt w:val="bullet"/>
      <w:lvlText w:val="●"/>
      <w:lvlJc w:val="left"/>
      <w:pPr>
        <w:ind w:left="2880" w:hanging="360"/>
      </w:pPr>
    </w:lvl>
    <w:lvl w:ilvl="4" w:tplc="373200B4">
      <w:start w:val="1"/>
      <w:numFmt w:val="bullet"/>
      <w:lvlText w:val="○"/>
      <w:lvlJc w:val="left"/>
      <w:pPr>
        <w:ind w:left="3600" w:hanging="360"/>
      </w:pPr>
    </w:lvl>
    <w:lvl w:ilvl="5" w:tplc="61F0B362">
      <w:start w:val="1"/>
      <w:numFmt w:val="bullet"/>
      <w:lvlText w:val="■"/>
      <w:lvlJc w:val="left"/>
      <w:pPr>
        <w:ind w:left="4320" w:hanging="360"/>
      </w:pPr>
    </w:lvl>
    <w:lvl w:ilvl="6" w:tplc="4076418E">
      <w:start w:val="1"/>
      <w:numFmt w:val="bullet"/>
      <w:lvlText w:val="●"/>
      <w:lvlJc w:val="left"/>
      <w:pPr>
        <w:ind w:left="5040" w:hanging="360"/>
      </w:pPr>
    </w:lvl>
    <w:lvl w:ilvl="7" w:tplc="76AAD120">
      <w:start w:val="1"/>
      <w:numFmt w:val="bullet"/>
      <w:lvlText w:val="●"/>
      <w:lvlJc w:val="left"/>
      <w:pPr>
        <w:ind w:left="5760" w:hanging="360"/>
      </w:pPr>
    </w:lvl>
    <w:lvl w:ilvl="8" w:tplc="54E43140">
      <w:start w:val="1"/>
      <w:numFmt w:val="bullet"/>
      <w:lvlText w:val="●"/>
      <w:lvlJc w:val="left"/>
      <w:pPr>
        <w:ind w:left="6480" w:hanging="360"/>
      </w:pPr>
    </w:lvl>
  </w:abstractNum>
  <w:num w:numId="1" w16cid:durableId="39000528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5C4"/>
    <w:rsid w:val="002220BF"/>
    <w:rsid w:val="004325C4"/>
    <w:rsid w:val="00B275B7"/>
    <w:rsid w:val="00BF21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4DC4735"/>
  <w15:docId w15:val="{EAA365F1-A780-4DA4-8B5B-005B1614E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8"/>
        <w:szCs w:val="28"/>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2220BF"/>
    <w:pPr>
      <w:tabs>
        <w:tab w:val="center" w:pos="4513"/>
        <w:tab w:val="right" w:pos="9026"/>
      </w:tabs>
    </w:pPr>
  </w:style>
  <w:style w:type="character" w:customStyle="1" w:styleId="HeaderChar">
    <w:name w:val="Header Char"/>
    <w:basedOn w:val="DefaultParagraphFont"/>
    <w:link w:val="Header"/>
    <w:uiPriority w:val="99"/>
    <w:rsid w:val="002220BF"/>
  </w:style>
  <w:style w:type="paragraph" w:styleId="Footer">
    <w:name w:val="footer"/>
    <w:basedOn w:val="Normal"/>
    <w:link w:val="FooterChar"/>
    <w:uiPriority w:val="99"/>
    <w:unhideWhenUsed/>
    <w:rsid w:val="002220BF"/>
    <w:pPr>
      <w:tabs>
        <w:tab w:val="center" w:pos="4513"/>
        <w:tab w:val="right" w:pos="9026"/>
      </w:tabs>
    </w:pPr>
  </w:style>
  <w:style w:type="character" w:customStyle="1" w:styleId="FooterChar">
    <w:name w:val="Footer Char"/>
    <w:basedOn w:val="DefaultParagraphFont"/>
    <w:link w:val="Footer"/>
    <w:uiPriority w:val="99"/>
    <w:rsid w:val="002220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736</Words>
  <Characters>4200</Characters>
  <Application>Microsoft Office Word</Application>
  <DocSecurity>0</DocSecurity>
  <Lines>35</Lines>
  <Paragraphs>9</Paragraphs>
  <ScaleCrop>false</ScaleCrop>
  <Company/>
  <LinksUpToDate>false</LinksUpToDate>
  <CharactersWithSpaces>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Caroline Jawad</cp:lastModifiedBy>
  <cp:revision>2</cp:revision>
  <dcterms:created xsi:type="dcterms:W3CDTF">2026-09-14T07:37:00Z</dcterms:created>
  <dcterms:modified xsi:type="dcterms:W3CDTF">2026-09-14T07:37:00Z</dcterms:modified>
</cp:coreProperties>
</file>