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25CAAD" w14:textId="77777777" w:rsidR="000100D7" w:rsidRDefault="000100D7" w:rsidP="002B5902">
      <w:pPr>
        <w:spacing w:line="360" w:lineRule="auto"/>
        <w:jc w:val="both"/>
        <w:rPr>
          <w:rFonts w:ascii="Arial" w:hAnsi="Arial" w:cs="Arial"/>
          <w:b/>
          <w:bCs/>
          <w:sz w:val="24"/>
          <w:szCs w:val="24"/>
        </w:rPr>
      </w:pPr>
    </w:p>
    <w:p w14:paraId="2E8BCAC2" w14:textId="3F990CB5" w:rsidR="0050640B" w:rsidRDefault="0050640B" w:rsidP="0050640B">
      <w:pPr>
        <w:jc w:val="center"/>
        <w:rPr>
          <w:rFonts w:ascii="Arial" w:hAnsi="Arial" w:cs="Arial"/>
          <w:b/>
          <w:bCs/>
          <w:sz w:val="72"/>
          <w:szCs w:val="72"/>
        </w:rPr>
      </w:pPr>
      <w:r w:rsidRPr="0050640B">
        <w:rPr>
          <w:rFonts w:ascii="Arial" w:hAnsi="Arial" w:cs="Arial"/>
          <w:b/>
          <w:bCs/>
          <w:sz w:val="72"/>
          <w:szCs w:val="72"/>
        </w:rPr>
        <w:t xml:space="preserve">Planning and </w:t>
      </w:r>
      <w:r>
        <w:rPr>
          <w:rFonts w:ascii="Arial" w:hAnsi="Arial" w:cs="Arial"/>
          <w:b/>
          <w:bCs/>
          <w:sz w:val="72"/>
          <w:szCs w:val="72"/>
        </w:rPr>
        <w:t>D</w:t>
      </w:r>
      <w:r w:rsidRPr="0050640B">
        <w:rPr>
          <w:rFonts w:ascii="Arial" w:hAnsi="Arial" w:cs="Arial"/>
          <w:b/>
          <w:bCs/>
          <w:sz w:val="72"/>
          <w:szCs w:val="72"/>
        </w:rPr>
        <w:t xml:space="preserve">elivering an </w:t>
      </w:r>
      <w:r>
        <w:rPr>
          <w:rFonts w:ascii="Arial" w:hAnsi="Arial" w:cs="Arial"/>
          <w:b/>
          <w:bCs/>
          <w:sz w:val="72"/>
          <w:szCs w:val="72"/>
        </w:rPr>
        <w:t>I</w:t>
      </w:r>
      <w:r w:rsidRPr="0050640B">
        <w:rPr>
          <w:rFonts w:ascii="Arial" w:hAnsi="Arial" w:cs="Arial"/>
          <w:b/>
          <w:bCs/>
          <w:sz w:val="72"/>
          <w:szCs w:val="72"/>
        </w:rPr>
        <w:t xml:space="preserve">nternational </w:t>
      </w:r>
      <w:r>
        <w:rPr>
          <w:rFonts w:ascii="Arial" w:hAnsi="Arial" w:cs="Arial"/>
          <w:b/>
          <w:bCs/>
          <w:sz w:val="72"/>
          <w:szCs w:val="72"/>
        </w:rPr>
        <w:t>E</w:t>
      </w:r>
      <w:r w:rsidRPr="0050640B">
        <w:rPr>
          <w:rFonts w:ascii="Arial" w:hAnsi="Arial" w:cs="Arial"/>
          <w:b/>
          <w:bCs/>
          <w:sz w:val="72"/>
          <w:szCs w:val="72"/>
        </w:rPr>
        <w:t>vent</w:t>
      </w:r>
    </w:p>
    <w:p w14:paraId="43EE4C84" w14:textId="77777777" w:rsidR="0050640B" w:rsidRPr="0050640B" w:rsidRDefault="0050640B" w:rsidP="0050640B">
      <w:pPr>
        <w:jc w:val="center"/>
        <w:rPr>
          <w:rFonts w:ascii="Arial" w:hAnsi="Arial" w:cs="Arial"/>
          <w:b/>
          <w:bCs/>
          <w:sz w:val="40"/>
          <w:szCs w:val="40"/>
        </w:rPr>
      </w:pPr>
      <w:r w:rsidRPr="0050640B">
        <w:rPr>
          <w:rFonts w:ascii="Arial" w:hAnsi="Arial" w:cs="Arial"/>
          <w:b/>
          <w:bCs/>
          <w:sz w:val="40"/>
          <w:szCs w:val="40"/>
        </w:rPr>
        <w:t>Module title: International meeting management</w:t>
      </w:r>
    </w:p>
    <w:p w14:paraId="27FA4E34" w14:textId="6D89452E" w:rsidR="0050640B" w:rsidRPr="0050640B" w:rsidRDefault="0050640B" w:rsidP="0050640B">
      <w:pPr>
        <w:jc w:val="center"/>
        <w:rPr>
          <w:rFonts w:ascii="Arial" w:hAnsi="Arial" w:cs="Arial"/>
          <w:b/>
          <w:bCs/>
          <w:sz w:val="40"/>
          <w:szCs w:val="40"/>
        </w:rPr>
      </w:pPr>
      <w:r w:rsidRPr="0050640B">
        <w:rPr>
          <w:rFonts w:ascii="Arial" w:hAnsi="Arial" w:cs="Arial"/>
          <w:b/>
          <w:bCs/>
          <w:sz w:val="40"/>
          <w:szCs w:val="40"/>
        </w:rPr>
        <w:t>BMIH6007</w:t>
      </w:r>
    </w:p>
    <w:p w14:paraId="1970074D" w14:textId="77777777" w:rsidR="0050640B" w:rsidRDefault="0050640B" w:rsidP="0050640B">
      <w:pPr>
        <w:jc w:val="center"/>
        <w:rPr>
          <w:rFonts w:ascii="Arial" w:hAnsi="Arial" w:cs="Arial"/>
          <w:b/>
          <w:bCs/>
          <w:sz w:val="48"/>
          <w:szCs w:val="48"/>
        </w:rPr>
      </w:pPr>
    </w:p>
    <w:p w14:paraId="72881C0B" w14:textId="77777777" w:rsidR="0050640B" w:rsidRDefault="0050640B" w:rsidP="0050640B">
      <w:pPr>
        <w:jc w:val="center"/>
        <w:rPr>
          <w:rFonts w:ascii="Arial" w:hAnsi="Arial" w:cs="Arial"/>
          <w:b/>
          <w:bCs/>
          <w:sz w:val="48"/>
          <w:szCs w:val="48"/>
        </w:rPr>
      </w:pPr>
    </w:p>
    <w:p w14:paraId="3329E2E6" w14:textId="77777777" w:rsidR="0050640B" w:rsidRDefault="0050640B" w:rsidP="0050640B">
      <w:pPr>
        <w:jc w:val="center"/>
        <w:rPr>
          <w:rFonts w:ascii="Arial" w:hAnsi="Arial" w:cs="Arial"/>
          <w:b/>
          <w:bCs/>
          <w:sz w:val="48"/>
          <w:szCs w:val="48"/>
        </w:rPr>
      </w:pPr>
    </w:p>
    <w:p w14:paraId="341AD561" w14:textId="77777777" w:rsidR="0050640B" w:rsidRDefault="0050640B" w:rsidP="0050640B">
      <w:pPr>
        <w:jc w:val="center"/>
        <w:rPr>
          <w:rFonts w:ascii="Arial" w:hAnsi="Arial" w:cs="Arial"/>
          <w:b/>
          <w:bCs/>
          <w:sz w:val="48"/>
          <w:szCs w:val="48"/>
        </w:rPr>
      </w:pPr>
    </w:p>
    <w:p w14:paraId="23A8D73F" w14:textId="77777777" w:rsidR="0050640B" w:rsidRDefault="0050640B" w:rsidP="0050640B">
      <w:pPr>
        <w:jc w:val="center"/>
        <w:rPr>
          <w:rFonts w:ascii="Arial" w:hAnsi="Arial" w:cs="Arial"/>
          <w:b/>
          <w:bCs/>
          <w:sz w:val="48"/>
          <w:szCs w:val="48"/>
        </w:rPr>
      </w:pPr>
    </w:p>
    <w:p w14:paraId="4F3ED11D" w14:textId="77777777" w:rsidR="0050640B" w:rsidRDefault="0050640B" w:rsidP="0050640B">
      <w:pPr>
        <w:jc w:val="center"/>
        <w:rPr>
          <w:rFonts w:ascii="Arial" w:hAnsi="Arial" w:cs="Arial"/>
          <w:b/>
          <w:bCs/>
          <w:sz w:val="48"/>
          <w:szCs w:val="48"/>
        </w:rPr>
      </w:pPr>
    </w:p>
    <w:p w14:paraId="1CDC73D9" w14:textId="77777777" w:rsidR="0050640B" w:rsidRDefault="0050640B" w:rsidP="0050640B">
      <w:pPr>
        <w:rPr>
          <w:rFonts w:ascii="Arial" w:hAnsi="Arial" w:cs="Arial"/>
          <w:b/>
          <w:bCs/>
          <w:sz w:val="48"/>
          <w:szCs w:val="48"/>
        </w:rPr>
      </w:pPr>
    </w:p>
    <w:p w14:paraId="3D514E38" w14:textId="79D4C4A0" w:rsidR="0050640B" w:rsidRPr="0050640B" w:rsidRDefault="0050640B" w:rsidP="0050640B">
      <w:pPr>
        <w:rPr>
          <w:rFonts w:ascii="Arial" w:hAnsi="Arial" w:cs="Arial"/>
          <w:b/>
          <w:bCs/>
          <w:sz w:val="32"/>
          <w:szCs w:val="32"/>
        </w:rPr>
      </w:pPr>
      <w:r w:rsidRPr="0050640B">
        <w:rPr>
          <w:rFonts w:ascii="Arial" w:hAnsi="Arial" w:cs="Arial"/>
          <w:b/>
          <w:bCs/>
          <w:sz w:val="32"/>
          <w:szCs w:val="32"/>
        </w:rPr>
        <w:t>Student name: Anamaria Salanchi</w:t>
      </w:r>
    </w:p>
    <w:p w14:paraId="6686E373" w14:textId="726DA931" w:rsidR="0050640B" w:rsidRPr="0050640B" w:rsidRDefault="0050640B" w:rsidP="0050640B">
      <w:pPr>
        <w:rPr>
          <w:rFonts w:ascii="Arial" w:hAnsi="Arial" w:cs="Arial"/>
          <w:b/>
          <w:bCs/>
          <w:sz w:val="32"/>
          <w:szCs w:val="32"/>
        </w:rPr>
      </w:pPr>
      <w:r w:rsidRPr="0050640B">
        <w:rPr>
          <w:rFonts w:ascii="Arial" w:hAnsi="Arial" w:cs="Arial"/>
          <w:b/>
          <w:bCs/>
          <w:sz w:val="32"/>
          <w:szCs w:val="32"/>
        </w:rPr>
        <w:t>Student ID: 2206421</w:t>
      </w:r>
    </w:p>
    <w:p w14:paraId="3CE4E430" w14:textId="5055114A" w:rsidR="0050640B" w:rsidRPr="0050640B" w:rsidRDefault="0050640B" w:rsidP="0050640B">
      <w:pPr>
        <w:rPr>
          <w:rFonts w:ascii="Arial" w:hAnsi="Arial" w:cs="Arial"/>
          <w:b/>
          <w:bCs/>
          <w:sz w:val="48"/>
          <w:szCs w:val="48"/>
        </w:rPr>
      </w:pPr>
      <w:r w:rsidRPr="0050640B">
        <w:rPr>
          <w:rFonts w:ascii="Arial" w:hAnsi="Arial" w:cs="Arial"/>
          <w:b/>
          <w:bCs/>
          <w:sz w:val="32"/>
          <w:szCs w:val="32"/>
        </w:rPr>
        <w:t>Lecturer’s name: Kathryn Flynn</w:t>
      </w:r>
    </w:p>
    <w:p w14:paraId="09F44F60" w14:textId="77777777" w:rsidR="0050640B" w:rsidRDefault="0050640B" w:rsidP="002B5902">
      <w:pPr>
        <w:spacing w:line="360" w:lineRule="auto"/>
        <w:jc w:val="both"/>
        <w:rPr>
          <w:rFonts w:ascii="Arial" w:hAnsi="Arial" w:cs="Arial"/>
          <w:b/>
          <w:bCs/>
          <w:sz w:val="24"/>
          <w:szCs w:val="24"/>
        </w:rPr>
      </w:pPr>
    </w:p>
    <w:p w14:paraId="12029AAA" w14:textId="77777777" w:rsidR="0050640B" w:rsidRDefault="0050640B" w:rsidP="002B5902">
      <w:pPr>
        <w:spacing w:line="360" w:lineRule="auto"/>
        <w:jc w:val="both"/>
        <w:rPr>
          <w:rFonts w:ascii="Arial" w:hAnsi="Arial" w:cs="Arial"/>
          <w:b/>
          <w:bCs/>
          <w:sz w:val="24"/>
          <w:szCs w:val="24"/>
        </w:rPr>
      </w:pPr>
    </w:p>
    <w:p w14:paraId="189B6FC1" w14:textId="77777777" w:rsidR="0050640B" w:rsidRDefault="0050640B" w:rsidP="002B5902">
      <w:pPr>
        <w:spacing w:line="360" w:lineRule="auto"/>
        <w:jc w:val="both"/>
        <w:rPr>
          <w:rFonts w:ascii="Arial" w:hAnsi="Arial" w:cs="Arial"/>
          <w:b/>
          <w:bCs/>
          <w:sz w:val="24"/>
          <w:szCs w:val="24"/>
        </w:rPr>
      </w:pPr>
    </w:p>
    <w:p w14:paraId="0F0F4C09" w14:textId="07EA985A" w:rsidR="0050640B" w:rsidRDefault="0050640B" w:rsidP="002B5902">
      <w:pPr>
        <w:spacing w:line="360" w:lineRule="auto"/>
        <w:jc w:val="both"/>
        <w:rPr>
          <w:rFonts w:ascii="Arial" w:hAnsi="Arial" w:cs="Arial"/>
          <w:b/>
          <w:bCs/>
          <w:sz w:val="24"/>
          <w:szCs w:val="24"/>
        </w:rPr>
      </w:pPr>
    </w:p>
    <w:p w14:paraId="31523C19" w14:textId="7776FCDC" w:rsidR="0050640B" w:rsidRPr="0050640B" w:rsidRDefault="0050640B" w:rsidP="0050640B">
      <w:pPr>
        <w:spacing w:line="360" w:lineRule="auto"/>
        <w:jc w:val="both"/>
        <w:rPr>
          <w:rFonts w:ascii="Arial" w:hAnsi="Arial" w:cs="Arial"/>
          <w:sz w:val="24"/>
          <w:szCs w:val="24"/>
        </w:rPr>
      </w:pPr>
      <w:r w:rsidRPr="0050640B">
        <w:rPr>
          <w:rFonts w:ascii="Arial" w:hAnsi="Arial" w:cs="Arial"/>
          <w:sz w:val="24"/>
          <w:szCs w:val="24"/>
        </w:rPr>
        <w:lastRenderedPageBreak/>
        <w:t>I acknowledge the use of Grammarly on 8th November 2024 to check my work.</w:t>
      </w:r>
    </w:p>
    <w:p w14:paraId="55786C96" w14:textId="6587075D" w:rsidR="0050640B" w:rsidRDefault="0050640B" w:rsidP="002B5902">
      <w:pPr>
        <w:spacing w:line="360" w:lineRule="auto"/>
        <w:jc w:val="both"/>
        <w:rPr>
          <w:rFonts w:ascii="Arial" w:hAnsi="Arial" w:cs="Arial"/>
          <w:b/>
          <w:bCs/>
          <w:sz w:val="24"/>
          <w:szCs w:val="24"/>
        </w:rPr>
      </w:pPr>
      <w:r w:rsidRPr="0050640B">
        <w:rPr>
          <w:rFonts w:ascii="Arial" w:hAnsi="Arial" w:cs="Arial"/>
          <w:sz w:val="24"/>
          <w:szCs w:val="24"/>
        </w:rPr>
        <w:t>I confirm that I have not presented any Al generated text as my own work. I confirm I have copies of my drafts, notes, and other resources I used before, and after the use of Al tools which I may be asked to provide in evidence.</w:t>
      </w:r>
      <w:r>
        <w:rPr>
          <w:rFonts w:ascii="Arial" w:hAnsi="Arial" w:cs="Arial"/>
          <w:b/>
          <w:bCs/>
          <w:sz w:val="24"/>
          <w:szCs w:val="24"/>
        </w:rPr>
        <w:br w:type="page"/>
      </w:r>
    </w:p>
    <w:p w14:paraId="626F44C8" w14:textId="1E1B0EB1" w:rsidR="006A4B2D" w:rsidRPr="0050640B" w:rsidRDefault="006A4B2D" w:rsidP="0050640B">
      <w:pPr>
        <w:pStyle w:val="Heading1"/>
        <w:rPr>
          <w:rFonts w:ascii="Arial" w:hAnsi="Arial" w:cs="Arial"/>
          <w:b/>
          <w:bCs/>
          <w:color w:val="auto"/>
          <w:sz w:val="28"/>
          <w:szCs w:val="28"/>
        </w:rPr>
      </w:pPr>
      <w:bookmarkStart w:id="0" w:name="_Toc181992332"/>
      <w:r w:rsidRPr="0050640B">
        <w:rPr>
          <w:rFonts w:ascii="Arial" w:hAnsi="Arial" w:cs="Arial"/>
          <w:b/>
          <w:bCs/>
          <w:color w:val="auto"/>
          <w:sz w:val="28"/>
          <w:szCs w:val="28"/>
        </w:rPr>
        <w:lastRenderedPageBreak/>
        <w:t>Executive Summary</w:t>
      </w:r>
      <w:bookmarkEnd w:id="0"/>
    </w:p>
    <w:p w14:paraId="46C352A1" w14:textId="27EB9AAB" w:rsidR="00720910" w:rsidRDefault="00720910" w:rsidP="00720910">
      <w:pPr>
        <w:spacing w:line="360" w:lineRule="auto"/>
        <w:jc w:val="both"/>
        <w:rPr>
          <w:rFonts w:ascii="Arial" w:hAnsi="Arial" w:cs="Arial"/>
          <w:sz w:val="24"/>
          <w:szCs w:val="24"/>
        </w:rPr>
      </w:pPr>
      <w:r w:rsidRPr="00720910">
        <w:rPr>
          <w:rFonts w:ascii="Arial" w:hAnsi="Arial" w:cs="Arial"/>
          <w:sz w:val="24"/>
          <w:szCs w:val="24"/>
        </w:rPr>
        <w:t xml:space="preserve">The Oracle Winter Summit is a corporate retreat </w:t>
      </w:r>
      <w:r w:rsidR="00487E6E">
        <w:rPr>
          <w:rFonts w:ascii="Arial" w:hAnsi="Arial" w:cs="Arial"/>
          <w:sz w:val="24"/>
          <w:szCs w:val="24"/>
        </w:rPr>
        <w:t>to improve</w:t>
      </w:r>
      <w:r w:rsidRPr="00720910">
        <w:rPr>
          <w:rFonts w:ascii="Arial" w:hAnsi="Arial" w:cs="Arial"/>
          <w:sz w:val="24"/>
          <w:szCs w:val="24"/>
        </w:rPr>
        <w:t xml:space="preserve"> leadership, collaboration, and team dynamics among Oracle's senior executives and top-performing employees. This winter-themed event</w:t>
      </w:r>
      <w:r w:rsidR="00D07F2C">
        <w:rPr>
          <w:rFonts w:ascii="Arial" w:hAnsi="Arial" w:cs="Arial"/>
          <w:sz w:val="24"/>
          <w:szCs w:val="24"/>
        </w:rPr>
        <w:t xml:space="preserve"> at the Cairngorm Mountain Resort</w:t>
      </w:r>
      <w:r w:rsidRPr="00720910">
        <w:rPr>
          <w:rFonts w:ascii="Arial" w:hAnsi="Arial" w:cs="Arial"/>
          <w:sz w:val="24"/>
          <w:szCs w:val="24"/>
        </w:rPr>
        <w:t xml:space="preserve"> integrates experiential learning with strategic networking and recreation. Utilising the EMBOK framework (Silvers, 2007), the Summit covers essential domains of event management, such as marketing, operations, risk management, and financial planning. </w:t>
      </w:r>
    </w:p>
    <w:p w14:paraId="0E56609E" w14:textId="2B945D4B" w:rsidR="00720910" w:rsidRDefault="00720910" w:rsidP="00720910">
      <w:pPr>
        <w:spacing w:line="360" w:lineRule="auto"/>
        <w:jc w:val="both"/>
        <w:rPr>
          <w:rFonts w:ascii="Arial" w:hAnsi="Arial" w:cs="Arial"/>
          <w:sz w:val="24"/>
          <w:szCs w:val="24"/>
        </w:rPr>
      </w:pPr>
      <w:r w:rsidRPr="00720910">
        <w:rPr>
          <w:rFonts w:ascii="Arial" w:hAnsi="Arial" w:cs="Arial"/>
          <w:sz w:val="24"/>
          <w:szCs w:val="24"/>
        </w:rPr>
        <w:t xml:space="preserve">The report outlines the Summit's objectives, market positioning, and operational logistics. The event </w:t>
      </w:r>
      <w:r w:rsidR="00877D46">
        <w:rPr>
          <w:rFonts w:ascii="Arial" w:hAnsi="Arial" w:cs="Arial"/>
          <w:sz w:val="24"/>
          <w:szCs w:val="24"/>
        </w:rPr>
        <w:t>focuses</w:t>
      </w:r>
      <w:r w:rsidRPr="00720910">
        <w:rPr>
          <w:rFonts w:ascii="Arial" w:hAnsi="Arial" w:cs="Arial"/>
          <w:sz w:val="24"/>
          <w:szCs w:val="24"/>
        </w:rPr>
        <w:t xml:space="preserve"> on senior leaders in the technology sector, addressing the post-pandemic demand for experiential getaways that harmonise professional development with leisure. The financial plan encompasses a projected budget of £130,00</w:t>
      </w:r>
      <w:r w:rsidR="003257B9">
        <w:rPr>
          <w:rFonts w:ascii="Arial" w:hAnsi="Arial" w:cs="Arial"/>
          <w:sz w:val="24"/>
          <w:szCs w:val="24"/>
        </w:rPr>
        <w:t xml:space="preserve"> </w:t>
      </w:r>
      <w:r w:rsidRPr="00720910">
        <w:rPr>
          <w:rFonts w:ascii="Arial" w:hAnsi="Arial" w:cs="Arial"/>
          <w:sz w:val="24"/>
          <w:szCs w:val="24"/>
        </w:rPr>
        <w:t xml:space="preserve">0, anticipating </w:t>
      </w:r>
      <w:r w:rsidR="00D07F2C">
        <w:rPr>
          <w:rFonts w:ascii="Arial" w:hAnsi="Arial" w:cs="Arial"/>
          <w:sz w:val="24"/>
          <w:szCs w:val="24"/>
        </w:rPr>
        <w:t>ticket sales and sponsorships revenue</w:t>
      </w:r>
      <w:r w:rsidRPr="00720910">
        <w:rPr>
          <w:rFonts w:ascii="Arial" w:hAnsi="Arial" w:cs="Arial"/>
          <w:sz w:val="24"/>
          <w:szCs w:val="24"/>
        </w:rPr>
        <w:t xml:space="preserve">. </w:t>
      </w:r>
    </w:p>
    <w:p w14:paraId="3CDAC337" w14:textId="4F23EC8B" w:rsidR="00720910" w:rsidRDefault="00720910" w:rsidP="00720910">
      <w:pPr>
        <w:spacing w:line="360" w:lineRule="auto"/>
        <w:jc w:val="both"/>
        <w:rPr>
          <w:rFonts w:ascii="Arial" w:hAnsi="Arial" w:cs="Arial"/>
          <w:sz w:val="24"/>
          <w:szCs w:val="24"/>
        </w:rPr>
      </w:pPr>
      <w:r w:rsidRPr="00720910">
        <w:rPr>
          <w:rFonts w:ascii="Arial" w:hAnsi="Arial" w:cs="Arial"/>
          <w:sz w:val="24"/>
          <w:szCs w:val="24"/>
        </w:rPr>
        <w:t xml:space="preserve">The event's distinctive value is rooted in its leadership-focused program and winter activities, setting it apart from competitors like Gleneagles. The report illustrates contingency planning strategies for unexpected challenges, including alternative venues and sponsors. </w:t>
      </w:r>
    </w:p>
    <w:p w14:paraId="35C6BDD4" w14:textId="4152D77D" w:rsidR="00720910" w:rsidRPr="00720910" w:rsidRDefault="00720910" w:rsidP="00720910">
      <w:pPr>
        <w:spacing w:line="360" w:lineRule="auto"/>
        <w:jc w:val="both"/>
        <w:rPr>
          <w:rFonts w:ascii="Arial" w:hAnsi="Arial" w:cs="Arial"/>
          <w:sz w:val="24"/>
          <w:szCs w:val="24"/>
        </w:rPr>
      </w:pPr>
      <w:r w:rsidRPr="00720910">
        <w:rPr>
          <w:rFonts w:ascii="Arial" w:hAnsi="Arial" w:cs="Arial"/>
          <w:sz w:val="24"/>
          <w:szCs w:val="24"/>
        </w:rPr>
        <w:t xml:space="preserve">In line with Oracle's objectives for continuous improvement, post-event assessments and participant feedback </w:t>
      </w:r>
      <w:r w:rsidR="00487E6E">
        <w:rPr>
          <w:rFonts w:ascii="Arial" w:hAnsi="Arial" w:cs="Arial"/>
          <w:sz w:val="24"/>
          <w:szCs w:val="24"/>
        </w:rPr>
        <w:t>will</w:t>
      </w:r>
      <w:r w:rsidRPr="00720910">
        <w:rPr>
          <w:rFonts w:ascii="Arial" w:hAnsi="Arial" w:cs="Arial"/>
          <w:sz w:val="24"/>
          <w:szCs w:val="24"/>
        </w:rPr>
        <w:t xml:space="preserve"> guide future versions of the Summit, solidifying its status as a leading annual event in the technology sector.</w:t>
      </w:r>
    </w:p>
    <w:p w14:paraId="7F286AC8" w14:textId="77777777" w:rsidR="006A4B2D" w:rsidRPr="002B5902" w:rsidRDefault="006A4B2D" w:rsidP="002B5902">
      <w:pPr>
        <w:spacing w:line="360" w:lineRule="auto"/>
        <w:jc w:val="both"/>
        <w:rPr>
          <w:rFonts w:ascii="Arial" w:hAnsi="Arial" w:cs="Arial"/>
          <w:b/>
          <w:bCs/>
          <w:sz w:val="24"/>
          <w:szCs w:val="24"/>
        </w:rPr>
      </w:pPr>
    </w:p>
    <w:p w14:paraId="1A7ADF92" w14:textId="77777777" w:rsidR="006A4B2D" w:rsidRPr="002B5902" w:rsidRDefault="006A4B2D" w:rsidP="002B5902">
      <w:pPr>
        <w:spacing w:line="360" w:lineRule="auto"/>
        <w:jc w:val="both"/>
        <w:rPr>
          <w:rFonts w:ascii="Arial" w:hAnsi="Arial" w:cs="Arial"/>
          <w:b/>
          <w:bCs/>
          <w:sz w:val="24"/>
          <w:szCs w:val="24"/>
        </w:rPr>
      </w:pPr>
    </w:p>
    <w:p w14:paraId="7B628D82" w14:textId="77777777" w:rsidR="006A4B2D" w:rsidRPr="002B5902" w:rsidRDefault="006A4B2D" w:rsidP="002B5902">
      <w:pPr>
        <w:spacing w:line="360" w:lineRule="auto"/>
        <w:jc w:val="both"/>
        <w:rPr>
          <w:rFonts w:ascii="Arial" w:hAnsi="Arial" w:cs="Arial"/>
          <w:b/>
          <w:bCs/>
          <w:sz w:val="24"/>
          <w:szCs w:val="24"/>
        </w:rPr>
      </w:pPr>
    </w:p>
    <w:p w14:paraId="1E1E6C47" w14:textId="77777777" w:rsidR="006A4B2D" w:rsidRPr="002B5902" w:rsidRDefault="006A4B2D" w:rsidP="002B5902">
      <w:pPr>
        <w:spacing w:line="360" w:lineRule="auto"/>
        <w:jc w:val="both"/>
        <w:rPr>
          <w:rFonts w:ascii="Arial" w:hAnsi="Arial" w:cs="Arial"/>
          <w:b/>
          <w:bCs/>
          <w:sz w:val="24"/>
          <w:szCs w:val="24"/>
        </w:rPr>
      </w:pPr>
    </w:p>
    <w:p w14:paraId="1CE34428" w14:textId="77777777" w:rsidR="006A4B2D" w:rsidRPr="002B5902" w:rsidRDefault="006A4B2D" w:rsidP="002B5902">
      <w:pPr>
        <w:spacing w:line="360" w:lineRule="auto"/>
        <w:jc w:val="both"/>
        <w:rPr>
          <w:rFonts w:ascii="Arial" w:hAnsi="Arial" w:cs="Arial"/>
          <w:b/>
          <w:bCs/>
          <w:sz w:val="24"/>
          <w:szCs w:val="24"/>
        </w:rPr>
      </w:pPr>
    </w:p>
    <w:p w14:paraId="43B7BBB3" w14:textId="77777777" w:rsidR="00720910" w:rsidRDefault="00720910" w:rsidP="002B5902">
      <w:pPr>
        <w:spacing w:line="360" w:lineRule="auto"/>
        <w:jc w:val="both"/>
        <w:rPr>
          <w:rFonts w:ascii="Arial" w:hAnsi="Arial" w:cs="Arial"/>
          <w:b/>
          <w:bCs/>
          <w:sz w:val="24"/>
          <w:szCs w:val="24"/>
        </w:rPr>
      </w:pPr>
    </w:p>
    <w:p w14:paraId="669D8FC5" w14:textId="77777777" w:rsidR="00720910" w:rsidRDefault="00720910" w:rsidP="002B5902">
      <w:pPr>
        <w:spacing w:line="360" w:lineRule="auto"/>
        <w:jc w:val="both"/>
        <w:rPr>
          <w:rFonts w:ascii="Arial" w:hAnsi="Arial" w:cs="Arial"/>
          <w:b/>
          <w:bCs/>
          <w:sz w:val="24"/>
          <w:szCs w:val="24"/>
        </w:rPr>
      </w:pPr>
    </w:p>
    <w:p w14:paraId="5CC5C4B4" w14:textId="77777777" w:rsidR="00720910" w:rsidRDefault="00720910" w:rsidP="002B5902">
      <w:pPr>
        <w:spacing w:line="360" w:lineRule="auto"/>
        <w:jc w:val="both"/>
        <w:rPr>
          <w:rFonts w:ascii="Arial" w:hAnsi="Arial" w:cs="Arial"/>
          <w:b/>
          <w:bCs/>
          <w:sz w:val="24"/>
          <w:szCs w:val="24"/>
        </w:rPr>
      </w:pPr>
    </w:p>
    <w:sdt>
      <w:sdtPr>
        <w:id w:val="112641163"/>
        <w:docPartObj>
          <w:docPartGallery w:val="Table of Contents"/>
          <w:docPartUnique/>
        </w:docPartObj>
      </w:sdtPr>
      <w:sdtEndPr>
        <w:rPr>
          <w:rFonts w:asciiTheme="minorHAnsi" w:eastAsiaTheme="minorHAnsi" w:hAnsiTheme="minorHAnsi" w:cstheme="minorBidi"/>
          <w:b/>
          <w:bCs/>
          <w:noProof/>
          <w:color w:val="auto"/>
          <w:sz w:val="22"/>
          <w:szCs w:val="22"/>
          <w:lang w:val="en-GB"/>
          <w14:ligatures w14:val="standardContextual"/>
        </w:rPr>
      </w:sdtEndPr>
      <w:sdtContent>
        <w:p w14:paraId="05236094" w14:textId="24804B38" w:rsidR="00993E46" w:rsidRDefault="00993E46">
          <w:pPr>
            <w:pStyle w:val="TOCHeading"/>
          </w:pPr>
          <w:r>
            <w:t>Contents</w:t>
          </w:r>
        </w:p>
        <w:p w14:paraId="27EE6266" w14:textId="585E4E68" w:rsidR="00993E46" w:rsidRDefault="00993E46">
          <w:pPr>
            <w:pStyle w:val="TOC1"/>
            <w:tabs>
              <w:tab w:val="right" w:leader="dot" w:pos="9350"/>
            </w:tabs>
            <w:rPr>
              <w:rFonts w:eastAsiaTheme="minorEastAsia"/>
              <w:noProof/>
              <w:kern w:val="2"/>
              <w:sz w:val="24"/>
              <w:szCs w:val="24"/>
              <w:lang w:eastAsia="en-GB"/>
            </w:rPr>
          </w:pPr>
          <w:r>
            <w:fldChar w:fldCharType="begin"/>
          </w:r>
          <w:r>
            <w:instrText xml:space="preserve"> TOC \o "1-3" \h \z \u </w:instrText>
          </w:r>
          <w:r>
            <w:fldChar w:fldCharType="separate"/>
          </w:r>
          <w:hyperlink w:anchor="_Toc181992332" w:history="1">
            <w:r w:rsidRPr="00555C7B">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_Toc181992332 \h </w:instrText>
            </w:r>
            <w:r>
              <w:rPr>
                <w:noProof/>
                <w:webHidden/>
              </w:rPr>
            </w:r>
            <w:r>
              <w:rPr>
                <w:noProof/>
                <w:webHidden/>
              </w:rPr>
              <w:fldChar w:fldCharType="separate"/>
            </w:r>
            <w:r>
              <w:rPr>
                <w:noProof/>
                <w:webHidden/>
              </w:rPr>
              <w:t>3</w:t>
            </w:r>
            <w:r>
              <w:rPr>
                <w:noProof/>
                <w:webHidden/>
              </w:rPr>
              <w:fldChar w:fldCharType="end"/>
            </w:r>
          </w:hyperlink>
        </w:p>
        <w:p w14:paraId="7F41B9BE" w14:textId="28C1F7ED" w:rsidR="00993E46" w:rsidRDefault="00993E46">
          <w:pPr>
            <w:pStyle w:val="TOC1"/>
            <w:tabs>
              <w:tab w:val="right" w:leader="dot" w:pos="9350"/>
            </w:tabs>
            <w:rPr>
              <w:rFonts w:eastAsiaTheme="minorEastAsia"/>
              <w:noProof/>
              <w:kern w:val="2"/>
              <w:sz w:val="24"/>
              <w:szCs w:val="24"/>
              <w:lang w:eastAsia="en-GB"/>
            </w:rPr>
          </w:pPr>
          <w:hyperlink w:anchor="_Toc181992333" w:history="1">
            <w:r w:rsidRPr="00555C7B">
              <w:rPr>
                <w:rStyle w:val="Hyperlink"/>
                <w:rFonts w:ascii="Arial" w:hAnsi="Arial" w:cs="Arial"/>
                <w:b/>
                <w:bCs/>
                <w:noProof/>
              </w:rPr>
              <w:t>1. Introduction and Event Overview</w:t>
            </w:r>
            <w:r>
              <w:rPr>
                <w:noProof/>
                <w:webHidden/>
              </w:rPr>
              <w:tab/>
            </w:r>
            <w:r>
              <w:rPr>
                <w:noProof/>
                <w:webHidden/>
              </w:rPr>
              <w:fldChar w:fldCharType="begin"/>
            </w:r>
            <w:r>
              <w:rPr>
                <w:noProof/>
                <w:webHidden/>
              </w:rPr>
              <w:instrText xml:space="preserve"> PAGEREF _Toc181992333 \h </w:instrText>
            </w:r>
            <w:r>
              <w:rPr>
                <w:noProof/>
                <w:webHidden/>
              </w:rPr>
            </w:r>
            <w:r>
              <w:rPr>
                <w:noProof/>
                <w:webHidden/>
              </w:rPr>
              <w:fldChar w:fldCharType="separate"/>
            </w:r>
            <w:r>
              <w:rPr>
                <w:noProof/>
                <w:webHidden/>
              </w:rPr>
              <w:t>6</w:t>
            </w:r>
            <w:r>
              <w:rPr>
                <w:noProof/>
                <w:webHidden/>
              </w:rPr>
              <w:fldChar w:fldCharType="end"/>
            </w:r>
          </w:hyperlink>
        </w:p>
        <w:p w14:paraId="177FB44C" w14:textId="0C9CFB46" w:rsidR="00993E46" w:rsidRDefault="00993E46">
          <w:pPr>
            <w:pStyle w:val="TOC1"/>
            <w:tabs>
              <w:tab w:val="right" w:leader="dot" w:pos="9350"/>
            </w:tabs>
            <w:rPr>
              <w:rFonts w:eastAsiaTheme="minorEastAsia"/>
              <w:noProof/>
              <w:kern w:val="2"/>
              <w:sz w:val="24"/>
              <w:szCs w:val="24"/>
              <w:lang w:eastAsia="en-GB"/>
            </w:rPr>
          </w:pPr>
          <w:hyperlink w:anchor="_Toc181992334" w:history="1">
            <w:r w:rsidRPr="00555C7B">
              <w:rPr>
                <w:rStyle w:val="Hyperlink"/>
                <w:rFonts w:ascii="Arial" w:hAnsi="Arial" w:cs="Arial"/>
                <w:b/>
                <w:bCs/>
                <w:noProof/>
              </w:rPr>
              <w:t>2. Market Analysis and Target Audience</w:t>
            </w:r>
            <w:r>
              <w:rPr>
                <w:noProof/>
                <w:webHidden/>
              </w:rPr>
              <w:tab/>
            </w:r>
            <w:r>
              <w:rPr>
                <w:noProof/>
                <w:webHidden/>
              </w:rPr>
              <w:fldChar w:fldCharType="begin"/>
            </w:r>
            <w:r>
              <w:rPr>
                <w:noProof/>
                <w:webHidden/>
              </w:rPr>
              <w:instrText xml:space="preserve"> PAGEREF _Toc181992334 \h </w:instrText>
            </w:r>
            <w:r>
              <w:rPr>
                <w:noProof/>
                <w:webHidden/>
              </w:rPr>
            </w:r>
            <w:r>
              <w:rPr>
                <w:noProof/>
                <w:webHidden/>
              </w:rPr>
              <w:fldChar w:fldCharType="separate"/>
            </w:r>
            <w:r>
              <w:rPr>
                <w:noProof/>
                <w:webHidden/>
              </w:rPr>
              <w:t>7</w:t>
            </w:r>
            <w:r>
              <w:rPr>
                <w:noProof/>
                <w:webHidden/>
              </w:rPr>
              <w:fldChar w:fldCharType="end"/>
            </w:r>
          </w:hyperlink>
        </w:p>
        <w:p w14:paraId="19348E45" w14:textId="406CAEE7" w:rsidR="00993E46" w:rsidRDefault="00993E46">
          <w:pPr>
            <w:pStyle w:val="TOC2"/>
            <w:tabs>
              <w:tab w:val="right" w:leader="dot" w:pos="9350"/>
            </w:tabs>
            <w:rPr>
              <w:rFonts w:eastAsiaTheme="minorEastAsia"/>
              <w:noProof/>
              <w:kern w:val="2"/>
              <w:sz w:val="24"/>
              <w:szCs w:val="24"/>
              <w:lang w:eastAsia="en-GB"/>
            </w:rPr>
          </w:pPr>
          <w:hyperlink w:anchor="_Toc181992335" w:history="1">
            <w:r w:rsidRPr="00555C7B">
              <w:rPr>
                <w:rStyle w:val="Hyperlink"/>
                <w:rFonts w:ascii="Arial" w:hAnsi="Arial" w:cs="Arial"/>
                <w:b/>
                <w:bCs/>
                <w:noProof/>
              </w:rPr>
              <w:t>Target Audience and Segmentation</w:t>
            </w:r>
            <w:r>
              <w:rPr>
                <w:noProof/>
                <w:webHidden/>
              </w:rPr>
              <w:tab/>
            </w:r>
            <w:r>
              <w:rPr>
                <w:noProof/>
                <w:webHidden/>
              </w:rPr>
              <w:fldChar w:fldCharType="begin"/>
            </w:r>
            <w:r>
              <w:rPr>
                <w:noProof/>
                <w:webHidden/>
              </w:rPr>
              <w:instrText xml:space="preserve"> PAGEREF _Toc181992335 \h </w:instrText>
            </w:r>
            <w:r>
              <w:rPr>
                <w:noProof/>
                <w:webHidden/>
              </w:rPr>
            </w:r>
            <w:r>
              <w:rPr>
                <w:noProof/>
                <w:webHidden/>
              </w:rPr>
              <w:fldChar w:fldCharType="separate"/>
            </w:r>
            <w:r>
              <w:rPr>
                <w:noProof/>
                <w:webHidden/>
              </w:rPr>
              <w:t>7</w:t>
            </w:r>
            <w:r>
              <w:rPr>
                <w:noProof/>
                <w:webHidden/>
              </w:rPr>
              <w:fldChar w:fldCharType="end"/>
            </w:r>
          </w:hyperlink>
        </w:p>
        <w:p w14:paraId="1042AB8F" w14:textId="5BAAB8D9" w:rsidR="00993E46" w:rsidRDefault="00993E46">
          <w:pPr>
            <w:pStyle w:val="TOC2"/>
            <w:tabs>
              <w:tab w:val="right" w:leader="dot" w:pos="9350"/>
            </w:tabs>
            <w:rPr>
              <w:rFonts w:eastAsiaTheme="minorEastAsia"/>
              <w:noProof/>
              <w:kern w:val="2"/>
              <w:sz w:val="24"/>
              <w:szCs w:val="24"/>
              <w:lang w:eastAsia="en-GB"/>
            </w:rPr>
          </w:pPr>
          <w:hyperlink w:anchor="_Toc181992336" w:history="1">
            <w:r w:rsidRPr="00555C7B">
              <w:rPr>
                <w:rStyle w:val="Hyperlink"/>
                <w:rFonts w:ascii="Arial" w:hAnsi="Arial" w:cs="Arial"/>
                <w:b/>
                <w:bCs/>
                <w:noProof/>
              </w:rPr>
              <w:t>Demand and Trends in the MICE Industry</w:t>
            </w:r>
            <w:r>
              <w:rPr>
                <w:noProof/>
                <w:webHidden/>
              </w:rPr>
              <w:tab/>
            </w:r>
            <w:r>
              <w:rPr>
                <w:noProof/>
                <w:webHidden/>
              </w:rPr>
              <w:fldChar w:fldCharType="begin"/>
            </w:r>
            <w:r>
              <w:rPr>
                <w:noProof/>
                <w:webHidden/>
              </w:rPr>
              <w:instrText xml:space="preserve"> PAGEREF _Toc181992336 \h </w:instrText>
            </w:r>
            <w:r>
              <w:rPr>
                <w:noProof/>
                <w:webHidden/>
              </w:rPr>
            </w:r>
            <w:r>
              <w:rPr>
                <w:noProof/>
                <w:webHidden/>
              </w:rPr>
              <w:fldChar w:fldCharType="separate"/>
            </w:r>
            <w:r>
              <w:rPr>
                <w:noProof/>
                <w:webHidden/>
              </w:rPr>
              <w:t>7</w:t>
            </w:r>
            <w:r>
              <w:rPr>
                <w:noProof/>
                <w:webHidden/>
              </w:rPr>
              <w:fldChar w:fldCharType="end"/>
            </w:r>
          </w:hyperlink>
        </w:p>
        <w:p w14:paraId="68BC5328" w14:textId="57B3B82B" w:rsidR="00993E46" w:rsidRDefault="00993E46">
          <w:pPr>
            <w:pStyle w:val="TOC2"/>
            <w:tabs>
              <w:tab w:val="right" w:leader="dot" w:pos="9350"/>
            </w:tabs>
            <w:rPr>
              <w:rFonts w:eastAsiaTheme="minorEastAsia"/>
              <w:noProof/>
              <w:kern w:val="2"/>
              <w:sz w:val="24"/>
              <w:szCs w:val="24"/>
              <w:lang w:eastAsia="en-GB"/>
            </w:rPr>
          </w:pPr>
          <w:hyperlink w:anchor="_Toc181992337" w:history="1">
            <w:r w:rsidRPr="00555C7B">
              <w:rPr>
                <w:rStyle w:val="Hyperlink"/>
                <w:rFonts w:ascii="Arial" w:hAnsi="Arial" w:cs="Arial"/>
                <w:b/>
                <w:bCs/>
                <w:noProof/>
              </w:rPr>
              <w:t>Competitor Analysis and Differentiation</w:t>
            </w:r>
            <w:r>
              <w:rPr>
                <w:noProof/>
                <w:webHidden/>
              </w:rPr>
              <w:tab/>
            </w:r>
            <w:r>
              <w:rPr>
                <w:noProof/>
                <w:webHidden/>
              </w:rPr>
              <w:fldChar w:fldCharType="begin"/>
            </w:r>
            <w:r>
              <w:rPr>
                <w:noProof/>
                <w:webHidden/>
              </w:rPr>
              <w:instrText xml:space="preserve"> PAGEREF _Toc181992337 \h </w:instrText>
            </w:r>
            <w:r>
              <w:rPr>
                <w:noProof/>
                <w:webHidden/>
              </w:rPr>
            </w:r>
            <w:r>
              <w:rPr>
                <w:noProof/>
                <w:webHidden/>
              </w:rPr>
              <w:fldChar w:fldCharType="separate"/>
            </w:r>
            <w:r>
              <w:rPr>
                <w:noProof/>
                <w:webHidden/>
              </w:rPr>
              <w:t>8</w:t>
            </w:r>
            <w:r>
              <w:rPr>
                <w:noProof/>
                <w:webHidden/>
              </w:rPr>
              <w:fldChar w:fldCharType="end"/>
            </w:r>
          </w:hyperlink>
        </w:p>
        <w:p w14:paraId="1BCF06F1" w14:textId="189658A6" w:rsidR="00993E46" w:rsidRDefault="00993E46">
          <w:pPr>
            <w:pStyle w:val="TOC2"/>
            <w:tabs>
              <w:tab w:val="right" w:leader="dot" w:pos="9350"/>
            </w:tabs>
            <w:rPr>
              <w:rFonts w:eastAsiaTheme="minorEastAsia"/>
              <w:noProof/>
              <w:kern w:val="2"/>
              <w:sz w:val="24"/>
              <w:szCs w:val="24"/>
              <w:lang w:eastAsia="en-GB"/>
            </w:rPr>
          </w:pPr>
          <w:hyperlink w:anchor="_Toc181992338" w:history="1">
            <w:r w:rsidRPr="00555C7B">
              <w:rPr>
                <w:rStyle w:val="Hyperlink"/>
                <w:rFonts w:ascii="Arial" w:hAnsi="Arial" w:cs="Arial"/>
                <w:b/>
                <w:bCs/>
                <w:noProof/>
              </w:rPr>
              <w:t>Market Gaps and Strategic Positioning</w:t>
            </w:r>
            <w:r>
              <w:rPr>
                <w:noProof/>
                <w:webHidden/>
              </w:rPr>
              <w:tab/>
            </w:r>
            <w:r>
              <w:rPr>
                <w:noProof/>
                <w:webHidden/>
              </w:rPr>
              <w:fldChar w:fldCharType="begin"/>
            </w:r>
            <w:r>
              <w:rPr>
                <w:noProof/>
                <w:webHidden/>
              </w:rPr>
              <w:instrText xml:space="preserve"> PAGEREF _Toc181992338 \h </w:instrText>
            </w:r>
            <w:r>
              <w:rPr>
                <w:noProof/>
                <w:webHidden/>
              </w:rPr>
            </w:r>
            <w:r>
              <w:rPr>
                <w:noProof/>
                <w:webHidden/>
              </w:rPr>
              <w:fldChar w:fldCharType="separate"/>
            </w:r>
            <w:r>
              <w:rPr>
                <w:noProof/>
                <w:webHidden/>
              </w:rPr>
              <w:t>8</w:t>
            </w:r>
            <w:r>
              <w:rPr>
                <w:noProof/>
                <w:webHidden/>
              </w:rPr>
              <w:fldChar w:fldCharType="end"/>
            </w:r>
          </w:hyperlink>
        </w:p>
        <w:p w14:paraId="704A041E" w14:textId="3185CE7D" w:rsidR="00993E46" w:rsidRDefault="00993E46">
          <w:pPr>
            <w:pStyle w:val="TOC1"/>
            <w:tabs>
              <w:tab w:val="right" w:leader="dot" w:pos="9350"/>
            </w:tabs>
            <w:rPr>
              <w:rFonts w:eastAsiaTheme="minorEastAsia"/>
              <w:noProof/>
              <w:kern w:val="2"/>
              <w:sz w:val="24"/>
              <w:szCs w:val="24"/>
              <w:lang w:eastAsia="en-GB"/>
            </w:rPr>
          </w:pPr>
          <w:hyperlink w:anchor="_Toc181992339" w:history="1">
            <w:r w:rsidRPr="00555C7B">
              <w:rPr>
                <w:rStyle w:val="Hyperlink"/>
                <w:rFonts w:ascii="Arial" w:hAnsi="Arial" w:cs="Arial"/>
                <w:b/>
                <w:bCs/>
                <w:noProof/>
              </w:rPr>
              <w:t>3. Operational Logistics</w:t>
            </w:r>
            <w:r>
              <w:rPr>
                <w:noProof/>
                <w:webHidden/>
              </w:rPr>
              <w:tab/>
            </w:r>
            <w:r>
              <w:rPr>
                <w:noProof/>
                <w:webHidden/>
              </w:rPr>
              <w:fldChar w:fldCharType="begin"/>
            </w:r>
            <w:r>
              <w:rPr>
                <w:noProof/>
                <w:webHidden/>
              </w:rPr>
              <w:instrText xml:space="preserve"> PAGEREF _Toc181992339 \h </w:instrText>
            </w:r>
            <w:r>
              <w:rPr>
                <w:noProof/>
                <w:webHidden/>
              </w:rPr>
            </w:r>
            <w:r>
              <w:rPr>
                <w:noProof/>
                <w:webHidden/>
              </w:rPr>
              <w:fldChar w:fldCharType="separate"/>
            </w:r>
            <w:r>
              <w:rPr>
                <w:noProof/>
                <w:webHidden/>
              </w:rPr>
              <w:t>9</w:t>
            </w:r>
            <w:r>
              <w:rPr>
                <w:noProof/>
                <w:webHidden/>
              </w:rPr>
              <w:fldChar w:fldCharType="end"/>
            </w:r>
          </w:hyperlink>
        </w:p>
        <w:p w14:paraId="628CF86B" w14:textId="60469924" w:rsidR="00993E46" w:rsidRDefault="00993E46">
          <w:pPr>
            <w:pStyle w:val="TOC2"/>
            <w:tabs>
              <w:tab w:val="right" w:leader="dot" w:pos="9350"/>
            </w:tabs>
            <w:rPr>
              <w:rFonts w:eastAsiaTheme="minorEastAsia"/>
              <w:noProof/>
              <w:kern w:val="2"/>
              <w:sz w:val="24"/>
              <w:szCs w:val="24"/>
              <w:lang w:eastAsia="en-GB"/>
            </w:rPr>
          </w:pPr>
          <w:hyperlink w:anchor="_Toc181992340" w:history="1">
            <w:r w:rsidRPr="00555C7B">
              <w:rPr>
                <w:rStyle w:val="Hyperlink"/>
                <w:rFonts w:ascii="Arial" w:hAnsi="Arial" w:cs="Arial"/>
                <w:b/>
                <w:bCs/>
                <w:noProof/>
              </w:rPr>
              <w:t>Venue Overview</w:t>
            </w:r>
            <w:r>
              <w:rPr>
                <w:noProof/>
                <w:webHidden/>
              </w:rPr>
              <w:tab/>
            </w:r>
            <w:r>
              <w:rPr>
                <w:noProof/>
                <w:webHidden/>
              </w:rPr>
              <w:fldChar w:fldCharType="begin"/>
            </w:r>
            <w:r>
              <w:rPr>
                <w:noProof/>
                <w:webHidden/>
              </w:rPr>
              <w:instrText xml:space="preserve"> PAGEREF _Toc181992340 \h </w:instrText>
            </w:r>
            <w:r>
              <w:rPr>
                <w:noProof/>
                <w:webHidden/>
              </w:rPr>
            </w:r>
            <w:r>
              <w:rPr>
                <w:noProof/>
                <w:webHidden/>
              </w:rPr>
              <w:fldChar w:fldCharType="separate"/>
            </w:r>
            <w:r>
              <w:rPr>
                <w:noProof/>
                <w:webHidden/>
              </w:rPr>
              <w:t>9</w:t>
            </w:r>
            <w:r>
              <w:rPr>
                <w:noProof/>
                <w:webHidden/>
              </w:rPr>
              <w:fldChar w:fldCharType="end"/>
            </w:r>
          </w:hyperlink>
        </w:p>
        <w:p w14:paraId="55231515" w14:textId="58DD40C5" w:rsidR="00993E46" w:rsidRDefault="00993E46">
          <w:pPr>
            <w:pStyle w:val="TOC2"/>
            <w:tabs>
              <w:tab w:val="right" w:leader="dot" w:pos="9350"/>
            </w:tabs>
            <w:rPr>
              <w:rFonts w:eastAsiaTheme="minorEastAsia"/>
              <w:noProof/>
              <w:kern w:val="2"/>
              <w:sz w:val="24"/>
              <w:szCs w:val="24"/>
              <w:lang w:eastAsia="en-GB"/>
            </w:rPr>
          </w:pPr>
          <w:hyperlink w:anchor="_Toc181992341" w:history="1">
            <w:r w:rsidRPr="00555C7B">
              <w:rPr>
                <w:rStyle w:val="Hyperlink"/>
                <w:rFonts w:ascii="Arial" w:hAnsi="Arial" w:cs="Arial"/>
                <w:b/>
                <w:bCs/>
                <w:noProof/>
              </w:rPr>
              <w:t>Venue Considerations</w:t>
            </w:r>
            <w:r>
              <w:rPr>
                <w:noProof/>
                <w:webHidden/>
              </w:rPr>
              <w:tab/>
            </w:r>
            <w:r>
              <w:rPr>
                <w:noProof/>
                <w:webHidden/>
              </w:rPr>
              <w:fldChar w:fldCharType="begin"/>
            </w:r>
            <w:r>
              <w:rPr>
                <w:noProof/>
                <w:webHidden/>
              </w:rPr>
              <w:instrText xml:space="preserve"> PAGEREF _Toc181992341 \h </w:instrText>
            </w:r>
            <w:r>
              <w:rPr>
                <w:noProof/>
                <w:webHidden/>
              </w:rPr>
            </w:r>
            <w:r>
              <w:rPr>
                <w:noProof/>
                <w:webHidden/>
              </w:rPr>
              <w:fldChar w:fldCharType="separate"/>
            </w:r>
            <w:r>
              <w:rPr>
                <w:noProof/>
                <w:webHidden/>
              </w:rPr>
              <w:t>9</w:t>
            </w:r>
            <w:r>
              <w:rPr>
                <w:noProof/>
                <w:webHidden/>
              </w:rPr>
              <w:fldChar w:fldCharType="end"/>
            </w:r>
          </w:hyperlink>
        </w:p>
        <w:p w14:paraId="3DECBC44" w14:textId="323CE75E" w:rsidR="00993E46" w:rsidRDefault="00993E46">
          <w:pPr>
            <w:pStyle w:val="TOC2"/>
            <w:tabs>
              <w:tab w:val="right" w:leader="dot" w:pos="9350"/>
            </w:tabs>
            <w:rPr>
              <w:rFonts w:eastAsiaTheme="minorEastAsia"/>
              <w:noProof/>
              <w:kern w:val="2"/>
              <w:sz w:val="24"/>
              <w:szCs w:val="24"/>
              <w:lang w:eastAsia="en-GB"/>
            </w:rPr>
          </w:pPr>
          <w:hyperlink w:anchor="_Toc181992342" w:history="1">
            <w:r w:rsidRPr="00555C7B">
              <w:rPr>
                <w:rStyle w:val="Hyperlink"/>
                <w:rFonts w:ascii="Arial" w:hAnsi="Arial" w:cs="Arial"/>
                <w:b/>
                <w:bCs/>
                <w:noProof/>
              </w:rPr>
              <w:t>Health and Safety, Accessibility, and Inclusivity</w:t>
            </w:r>
            <w:r>
              <w:rPr>
                <w:noProof/>
                <w:webHidden/>
              </w:rPr>
              <w:tab/>
            </w:r>
            <w:r>
              <w:rPr>
                <w:noProof/>
                <w:webHidden/>
              </w:rPr>
              <w:fldChar w:fldCharType="begin"/>
            </w:r>
            <w:r>
              <w:rPr>
                <w:noProof/>
                <w:webHidden/>
              </w:rPr>
              <w:instrText xml:space="preserve"> PAGEREF _Toc181992342 \h </w:instrText>
            </w:r>
            <w:r>
              <w:rPr>
                <w:noProof/>
                <w:webHidden/>
              </w:rPr>
            </w:r>
            <w:r>
              <w:rPr>
                <w:noProof/>
                <w:webHidden/>
              </w:rPr>
              <w:fldChar w:fldCharType="separate"/>
            </w:r>
            <w:r>
              <w:rPr>
                <w:noProof/>
                <w:webHidden/>
              </w:rPr>
              <w:t>9</w:t>
            </w:r>
            <w:r>
              <w:rPr>
                <w:noProof/>
                <w:webHidden/>
              </w:rPr>
              <w:fldChar w:fldCharType="end"/>
            </w:r>
          </w:hyperlink>
        </w:p>
        <w:p w14:paraId="3DFF5D49" w14:textId="1439AA9D" w:rsidR="00993E46" w:rsidRDefault="00993E46">
          <w:pPr>
            <w:pStyle w:val="TOC2"/>
            <w:tabs>
              <w:tab w:val="right" w:leader="dot" w:pos="9350"/>
            </w:tabs>
            <w:rPr>
              <w:rFonts w:eastAsiaTheme="minorEastAsia"/>
              <w:noProof/>
              <w:kern w:val="2"/>
              <w:sz w:val="24"/>
              <w:szCs w:val="24"/>
              <w:lang w:eastAsia="en-GB"/>
            </w:rPr>
          </w:pPr>
          <w:hyperlink w:anchor="_Toc181992343" w:history="1">
            <w:r w:rsidRPr="00555C7B">
              <w:rPr>
                <w:rStyle w:val="Hyperlink"/>
                <w:rFonts w:ascii="Arial" w:hAnsi="Arial" w:cs="Arial"/>
                <w:b/>
                <w:bCs/>
                <w:noProof/>
              </w:rPr>
              <w:t>Venue Inspection Points</w:t>
            </w:r>
            <w:r>
              <w:rPr>
                <w:noProof/>
                <w:webHidden/>
              </w:rPr>
              <w:tab/>
            </w:r>
            <w:r>
              <w:rPr>
                <w:noProof/>
                <w:webHidden/>
              </w:rPr>
              <w:fldChar w:fldCharType="begin"/>
            </w:r>
            <w:r>
              <w:rPr>
                <w:noProof/>
                <w:webHidden/>
              </w:rPr>
              <w:instrText xml:space="preserve"> PAGEREF _Toc181992343 \h </w:instrText>
            </w:r>
            <w:r>
              <w:rPr>
                <w:noProof/>
                <w:webHidden/>
              </w:rPr>
            </w:r>
            <w:r>
              <w:rPr>
                <w:noProof/>
                <w:webHidden/>
              </w:rPr>
              <w:fldChar w:fldCharType="separate"/>
            </w:r>
            <w:r>
              <w:rPr>
                <w:noProof/>
                <w:webHidden/>
              </w:rPr>
              <w:t>10</w:t>
            </w:r>
            <w:r>
              <w:rPr>
                <w:noProof/>
                <w:webHidden/>
              </w:rPr>
              <w:fldChar w:fldCharType="end"/>
            </w:r>
          </w:hyperlink>
        </w:p>
        <w:p w14:paraId="08AA9888" w14:textId="11932628" w:rsidR="00993E46" w:rsidRDefault="00993E46">
          <w:pPr>
            <w:pStyle w:val="TOC3"/>
            <w:tabs>
              <w:tab w:val="left" w:pos="960"/>
              <w:tab w:val="right" w:leader="dot" w:pos="9350"/>
            </w:tabs>
            <w:rPr>
              <w:rFonts w:eastAsiaTheme="minorEastAsia"/>
              <w:noProof/>
              <w:kern w:val="2"/>
              <w:sz w:val="24"/>
              <w:szCs w:val="24"/>
              <w:lang w:eastAsia="en-GB"/>
            </w:rPr>
          </w:pPr>
          <w:hyperlink w:anchor="_Toc181992344"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Transport</w:t>
            </w:r>
            <w:r>
              <w:rPr>
                <w:noProof/>
                <w:webHidden/>
              </w:rPr>
              <w:tab/>
            </w:r>
            <w:r>
              <w:rPr>
                <w:noProof/>
                <w:webHidden/>
              </w:rPr>
              <w:fldChar w:fldCharType="begin"/>
            </w:r>
            <w:r>
              <w:rPr>
                <w:noProof/>
                <w:webHidden/>
              </w:rPr>
              <w:instrText xml:space="preserve"> PAGEREF _Toc181992344 \h </w:instrText>
            </w:r>
            <w:r>
              <w:rPr>
                <w:noProof/>
                <w:webHidden/>
              </w:rPr>
            </w:r>
            <w:r>
              <w:rPr>
                <w:noProof/>
                <w:webHidden/>
              </w:rPr>
              <w:fldChar w:fldCharType="separate"/>
            </w:r>
            <w:r>
              <w:rPr>
                <w:noProof/>
                <w:webHidden/>
              </w:rPr>
              <w:t>10</w:t>
            </w:r>
            <w:r>
              <w:rPr>
                <w:noProof/>
                <w:webHidden/>
              </w:rPr>
              <w:fldChar w:fldCharType="end"/>
            </w:r>
          </w:hyperlink>
        </w:p>
        <w:p w14:paraId="13AA592C" w14:textId="57E984EE" w:rsidR="00993E46" w:rsidRDefault="00993E46">
          <w:pPr>
            <w:pStyle w:val="TOC3"/>
            <w:tabs>
              <w:tab w:val="left" w:pos="960"/>
              <w:tab w:val="right" w:leader="dot" w:pos="9350"/>
            </w:tabs>
            <w:rPr>
              <w:rFonts w:eastAsiaTheme="minorEastAsia"/>
              <w:noProof/>
              <w:kern w:val="2"/>
              <w:sz w:val="24"/>
              <w:szCs w:val="24"/>
              <w:lang w:eastAsia="en-GB"/>
            </w:rPr>
          </w:pPr>
          <w:hyperlink w:anchor="_Toc181992345"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Technical Facilities:</w:t>
            </w:r>
            <w:r>
              <w:rPr>
                <w:noProof/>
                <w:webHidden/>
              </w:rPr>
              <w:tab/>
            </w:r>
            <w:r>
              <w:rPr>
                <w:noProof/>
                <w:webHidden/>
              </w:rPr>
              <w:fldChar w:fldCharType="begin"/>
            </w:r>
            <w:r>
              <w:rPr>
                <w:noProof/>
                <w:webHidden/>
              </w:rPr>
              <w:instrText xml:space="preserve"> PAGEREF _Toc181992345 \h </w:instrText>
            </w:r>
            <w:r>
              <w:rPr>
                <w:noProof/>
                <w:webHidden/>
              </w:rPr>
            </w:r>
            <w:r>
              <w:rPr>
                <w:noProof/>
                <w:webHidden/>
              </w:rPr>
              <w:fldChar w:fldCharType="separate"/>
            </w:r>
            <w:r>
              <w:rPr>
                <w:noProof/>
                <w:webHidden/>
              </w:rPr>
              <w:t>10</w:t>
            </w:r>
            <w:r>
              <w:rPr>
                <w:noProof/>
                <w:webHidden/>
              </w:rPr>
              <w:fldChar w:fldCharType="end"/>
            </w:r>
          </w:hyperlink>
        </w:p>
        <w:p w14:paraId="092BB691" w14:textId="4A322403" w:rsidR="00993E46" w:rsidRDefault="00993E46">
          <w:pPr>
            <w:pStyle w:val="TOC3"/>
            <w:tabs>
              <w:tab w:val="left" w:pos="960"/>
              <w:tab w:val="right" w:leader="dot" w:pos="9350"/>
            </w:tabs>
            <w:rPr>
              <w:rFonts w:eastAsiaTheme="minorEastAsia"/>
              <w:noProof/>
              <w:kern w:val="2"/>
              <w:sz w:val="24"/>
              <w:szCs w:val="24"/>
              <w:lang w:eastAsia="en-GB"/>
            </w:rPr>
          </w:pPr>
          <w:hyperlink w:anchor="_Toc181992346"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Catering</w:t>
            </w:r>
            <w:r>
              <w:rPr>
                <w:noProof/>
                <w:webHidden/>
              </w:rPr>
              <w:tab/>
            </w:r>
            <w:r>
              <w:rPr>
                <w:noProof/>
                <w:webHidden/>
              </w:rPr>
              <w:fldChar w:fldCharType="begin"/>
            </w:r>
            <w:r>
              <w:rPr>
                <w:noProof/>
                <w:webHidden/>
              </w:rPr>
              <w:instrText xml:space="preserve"> PAGEREF _Toc181992346 \h </w:instrText>
            </w:r>
            <w:r>
              <w:rPr>
                <w:noProof/>
                <w:webHidden/>
              </w:rPr>
            </w:r>
            <w:r>
              <w:rPr>
                <w:noProof/>
                <w:webHidden/>
              </w:rPr>
              <w:fldChar w:fldCharType="separate"/>
            </w:r>
            <w:r>
              <w:rPr>
                <w:noProof/>
                <w:webHidden/>
              </w:rPr>
              <w:t>10</w:t>
            </w:r>
            <w:r>
              <w:rPr>
                <w:noProof/>
                <w:webHidden/>
              </w:rPr>
              <w:fldChar w:fldCharType="end"/>
            </w:r>
          </w:hyperlink>
        </w:p>
        <w:p w14:paraId="6D079A63" w14:textId="2B8E5461" w:rsidR="00993E46" w:rsidRDefault="00993E46">
          <w:pPr>
            <w:pStyle w:val="TOC2"/>
            <w:tabs>
              <w:tab w:val="right" w:leader="dot" w:pos="9350"/>
            </w:tabs>
            <w:rPr>
              <w:rFonts w:eastAsiaTheme="minorEastAsia"/>
              <w:noProof/>
              <w:kern w:val="2"/>
              <w:sz w:val="24"/>
              <w:szCs w:val="24"/>
              <w:lang w:eastAsia="en-GB"/>
            </w:rPr>
          </w:pPr>
          <w:hyperlink w:anchor="_Toc181992347" w:history="1">
            <w:r w:rsidRPr="00555C7B">
              <w:rPr>
                <w:rStyle w:val="Hyperlink"/>
                <w:rFonts w:ascii="Arial" w:hAnsi="Arial" w:cs="Arial"/>
                <w:b/>
                <w:bCs/>
                <w:noProof/>
              </w:rPr>
              <w:t>Staffing Needs</w:t>
            </w:r>
            <w:r>
              <w:rPr>
                <w:noProof/>
                <w:webHidden/>
              </w:rPr>
              <w:tab/>
            </w:r>
            <w:r>
              <w:rPr>
                <w:noProof/>
                <w:webHidden/>
              </w:rPr>
              <w:fldChar w:fldCharType="begin"/>
            </w:r>
            <w:r>
              <w:rPr>
                <w:noProof/>
                <w:webHidden/>
              </w:rPr>
              <w:instrText xml:space="preserve"> PAGEREF _Toc181992347 \h </w:instrText>
            </w:r>
            <w:r>
              <w:rPr>
                <w:noProof/>
                <w:webHidden/>
              </w:rPr>
            </w:r>
            <w:r>
              <w:rPr>
                <w:noProof/>
                <w:webHidden/>
              </w:rPr>
              <w:fldChar w:fldCharType="separate"/>
            </w:r>
            <w:r>
              <w:rPr>
                <w:noProof/>
                <w:webHidden/>
              </w:rPr>
              <w:t>10</w:t>
            </w:r>
            <w:r>
              <w:rPr>
                <w:noProof/>
                <w:webHidden/>
              </w:rPr>
              <w:fldChar w:fldCharType="end"/>
            </w:r>
          </w:hyperlink>
        </w:p>
        <w:p w14:paraId="57BAAD44" w14:textId="50F999DA" w:rsidR="00993E46" w:rsidRDefault="00993E46">
          <w:pPr>
            <w:pStyle w:val="TOC2"/>
            <w:tabs>
              <w:tab w:val="right" w:leader="dot" w:pos="9350"/>
            </w:tabs>
            <w:rPr>
              <w:rFonts w:eastAsiaTheme="minorEastAsia"/>
              <w:noProof/>
              <w:kern w:val="2"/>
              <w:sz w:val="24"/>
              <w:szCs w:val="24"/>
              <w:lang w:eastAsia="en-GB"/>
            </w:rPr>
          </w:pPr>
          <w:hyperlink w:anchor="_Toc181992348" w:history="1">
            <w:r w:rsidRPr="00555C7B">
              <w:rPr>
                <w:rStyle w:val="Hyperlink"/>
                <w:rFonts w:ascii="Arial" w:hAnsi="Arial" w:cs="Arial"/>
                <w:b/>
                <w:bCs/>
                <w:noProof/>
              </w:rPr>
              <w:t>Technical Support</w:t>
            </w:r>
            <w:r>
              <w:rPr>
                <w:noProof/>
                <w:webHidden/>
              </w:rPr>
              <w:tab/>
            </w:r>
            <w:r>
              <w:rPr>
                <w:noProof/>
                <w:webHidden/>
              </w:rPr>
              <w:fldChar w:fldCharType="begin"/>
            </w:r>
            <w:r>
              <w:rPr>
                <w:noProof/>
                <w:webHidden/>
              </w:rPr>
              <w:instrText xml:space="preserve"> PAGEREF _Toc181992348 \h </w:instrText>
            </w:r>
            <w:r>
              <w:rPr>
                <w:noProof/>
                <w:webHidden/>
              </w:rPr>
            </w:r>
            <w:r>
              <w:rPr>
                <w:noProof/>
                <w:webHidden/>
              </w:rPr>
              <w:fldChar w:fldCharType="separate"/>
            </w:r>
            <w:r>
              <w:rPr>
                <w:noProof/>
                <w:webHidden/>
              </w:rPr>
              <w:t>10</w:t>
            </w:r>
            <w:r>
              <w:rPr>
                <w:noProof/>
                <w:webHidden/>
              </w:rPr>
              <w:fldChar w:fldCharType="end"/>
            </w:r>
          </w:hyperlink>
        </w:p>
        <w:p w14:paraId="2F95F9B9" w14:textId="7B8F1E48" w:rsidR="00993E46" w:rsidRDefault="00993E46">
          <w:pPr>
            <w:pStyle w:val="TOC1"/>
            <w:tabs>
              <w:tab w:val="right" w:leader="dot" w:pos="9350"/>
            </w:tabs>
            <w:rPr>
              <w:rFonts w:eastAsiaTheme="minorEastAsia"/>
              <w:noProof/>
              <w:kern w:val="2"/>
              <w:sz w:val="24"/>
              <w:szCs w:val="24"/>
              <w:lang w:eastAsia="en-GB"/>
            </w:rPr>
          </w:pPr>
          <w:hyperlink w:anchor="_Toc181992349" w:history="1">
            <w:r w:rsidRPr="00555C7B">
              <w:rPr>
                <w:rStyle w:val="Hyperlink"/>
                <w:rFonts w:ascii="Arial" w:hAnsi="Arial" w:cs="Arial"/>
                <w:b/>
                <w:bCs/>
                <w:noProof/>
              </w:rPr>
              <w:t>4. Financial Plan and Budget</w:t>
            </w:r>
            <w:r>
              <w:rPr>
                <w:noProof/>
                <w:webHidden/>
              </w:rPr>
              <w:tab/>
            </w:r>
            <w:r>
              <w:rPr>
                <w:noProof/>
                <w:webHidden/>
              </w:rPr>
              <w:fldChar w:fldCharType="begin"/>
            </w:r>
            <w:r>
              <w:rPr>
                <w:noProof/>
                <w:webHidden/>
              </w:rPr>
              <w:instrText xml:space="preserve"> PAGEREF _Toc181992349 \h </w:instrText>
            </w:r>
            <w:r>
              <w:rPr>
                <w:noProof/>
                <w:webHidden/>
              </w:rPr>
            </w:r>
            <w:r>
              <w:rPr>
                <w:noProof/>
                <w:webHidden/>
              </w:rPr>
              <w:fldChar w:fldCharType="separate"/>
            </w:r>
            <w:r>
              <w:rPr>
                <w:noProof/>
                <w:webHidden/>
              </w:rPr>
              <w:t>10</w:t>
            </w:r>
            <w:r>
              <w:rPr>
                <w:noProof/>
                <w:webHidden/>
              </w:rPr>
              <w:fldChar w:fldCharType="end"/>
            </w:r>
          </w:hyperlink>
        </w:p>
        <w:p w14:paraId="2799F6E4" w14:textId="0D6BFC85" w:rsidR="00993E46" w:rsidRDefault="00993E46">
          <w:pPr>
            <w:pStyle w:val="TOC2"/>
            <w:tabs>
              <w:tab w:val="right" w:leader="dot" w:pos="9350"/>
            </w:tabs>
            <w:rPr>
              <w:rFonts w:eastAsiaTheme="minorEastAsia"/>
              <w:noProof/>
              <w:kern w:val="2"/>
              <w:sz w:val="24"/>
              <w:szCs w:val="24"/>
              <w:lang w:eastAsia="en-GB"/>
            </w:rPr>
          </w:pPr>
          <w:hyperlink w:anchor="_Toc181992350" w:history="1">
            <w:r w:rsidRPr="00555C7B">
              <w:rPr>
                <w:rStyle w:val="Hyperlink"/>
                <w:rFonts w:ascii="Arial" w:hAnsi="Arial" w:cs="Arial"/>
                <w:b/>
                <w:bCs/>
                <w:noProof/>
              </w:rPr>
              <w:t>Break Even</w:t>
            </w:r>
            <w:r>
              <w:rPr>
                <w:noProof/>
                <w:webHidden/>
              </w:rPr>
              <w:tab/>
            </w:r>
            <w:r>
              <w:rPr>
                <w:noProof/>
                <w:webHidden/>
              </w:rPr>
              <w:fldChar w:fldCharType="begin"/>
            </w:r>
            <w:r>
              <w:rPr>
                <w:noProof/>
                <w:webHidden/>
              </w:rPr>
              <w:instrText xml:space="preserve"> PAGEREF _Toc181992350 \h </w:instrText>
            </w:r>
            <w:r>
              <w:rPr>
                <w:noProof/>
                <w:webHidden/>
              </w:rPr>
            </w:r>
            <w:r>
              <w:rPr>
                <w:noProof/>
                <w:webHidden/>
              </w:rPr>
              <w:fldChar w:fldCharType="separate"/>
            </w:r>
            <w:r>
              <w:rPr>
                <w:noProof/>
                <w:webHidden/>
              </w:rPr>
              <w:t>10</w:t>
            </w:r>
            <w:r>
              <w:rPr>
                <w:noProof/>
                <w:webHidden/>
              </w:rPr>
              <w:fldChar w:fldCharType="end"/>
            </w:r>
          </w:hyperlink>
        </w:p>
        <w:p w14:paraId="58A143A5" w14:textId="7432CD9C" w:rsidR="00993E46" w:rsidRDefault="00993E46">
          <w:pPr>
            <w:pStyle w:val="TOC2"/>
            <w:tabs>
              <w:tab w:val="right" w:leader="dot" w:pos="9350"/>
            </w:tabs>
            <w:rPr>
              <w:rFonts w:eastAsiaTheme="minorEastAsia"/>
              <w:noProof/>
              <w:kern w:val="2"/>
              <w:sz w:val="24"/>
              <w:szCs w:val="24"/>
              <w:lang w:eastAsia="en-GB"/>
            </w:rPr>
          </w:pPr>
          <w:hyperlink w:anchor="_Toc181992351" w:history="1">
            <w:r w:rsidRPr="00555C7B">
              <w:rPr>
                <w:rStyle w:val="Hyperlink"/>
                <w:rFonts w:ascii="Arial" w:hAnsi="Arial" w:cs="Arial"/>
                <w:b/>
                <w:bCs/>
                <w:noProof/>
              </w:rPr>
              <w:t>Projected Costs</w:t>
            </w:r>
            <w:r>
              <w:rPr>
                <w:noProof/>
                <w:webHidden/>
              </w:rPr>
              <w:tab/>
            </w:r>
            <w:r>
              <w:rPr>
                <w:noProof/>
                <w:webHidden/>
              </w:rPr>
              <w:fldChar w:fldCharType="begin"/>
            </w:r>
            <w:r>
              <w:rPr>
                <w:noProof/>
                <w:webHidden/>
              </w:rPr>
              <w:instrText xml:space="preserve"> PAGEREF _Toc181992351 \h </w:instrText>
            </w:r>
            <w:r>
              <w:rPr>
                <w:noProof/>
                <w:webHidden/>
              </w:rPr>
            </w:r>
            <w:r>
              <w:rPr>
                <w:noProof/>
                <w:webHidden/>
              </w:rPr>
              <w:fldChar w:fldCharType="separate"/>
            </w:r>
            <w:r>
              <w:rPr>
                <w:noProof/>
                <w:webHidden/>
              </w:rPr>
              <w:t>11</w:t>
            </w:r>
            <w:r>
              <w:rPr>
                <w:noProof/>
                <w:webHidden/>
              </w:rPr>
              <w:fldChar w:fldCharType="end"/>
            </w:r>
          </w:hyperlink>
        </w:p>
        <w:p w14:paraId="3DAD0156" w14:textId="10A34FB5" w:rsidR="00993E46" w:rsidRDefault="00993E46">
          <w:pPr>
            <w:pStyle w:val="TOC3"/>
            <w:tabs>
              <w:tab w:val="left" w:pos="960"/>
              <w:tab w:val="right" w:leader="dot" w:pos="9350"/>
            </w:tabs>
            <w:rPr>
              <w:rFonts w:eastAsiaTheme="minorEastAsia"/>
              <w:noProof/>
              <w:kern w:val="2"/>
              <w:sz w:val="24"/>
              <w:szCs w:val="24"/>
              <w:lang w:eastAsia="en-GB"/>
            </w:rPr>
          </w:pPr>
          <w:hyperlink w:anchor="_Toc181992352"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Venue Hire</w:t>
            </w:r>
            <w:r>
              <w:rPr>
                <w:noProof/>
                <w:webHidden/>
              </w:rPr>
              <w:tab/>
            </w:r>
            <w:r>
              <w:rPr>
                <w:noProof/>
                <w:webHidden/>
              </w:rPr>
              <w:fldChar w:fldCharType="begin"/>
            </w:r>
            <w:r>
              <w:rPr>
                <w:noProof/>
                <w:webHidden/>
              </w:rPr>
              <w:instrText xml:space="preserve"> PAGEREF _Toc181992352 \h </w:instrText>
            </w:r>
            <w:r>
              <w:rPr>
                <w:noProof/>
                <w:webHidden/>
              </w:rPr>
            </w:r>
            <w:r>
              <w:rPr>
                <w:noProof/>
                <w:webHidden/>
              </w:rPr>
              <w:fldChar w:fldCharType="separate"/>
            </w:r>
            <w:r>
              <w:rPr>
                <w:noProof/>
                <w:webHidden/>
              </w:rPr>
              <w:t>11</w:t>
            </w:r>
            <w:r>
              <w:rPr>
                <w:noProof/>
                <w:webHidden/>
              </w:rPr>
              <w:fldChar w:fldCharType="end"/>
            </w:r>
          </w:hyperlink>
        </w:p>
        <w:p w14:paraId="31190567" w14:textId="73E435A5" w:rsidR="00993E46" w:rsidRDefault="00993E46">
          <w:pPr>
            <w:pStyle w:val="TOC3"/>
            <w:tabs>
              <w:tab w:val="left" w:pos="960"/>
              <w:tab w:val="right" w:leader="dot" w:pos="9350"/>
            </w:tabs>
            <w:rPr>
              <w:rFonts w:eastAsiaTheme="minorEastAsia"/>
              <w:noProof/>
              <w:kern w:val="2"/>
              <w:sz w:val="24"/>
              <w:szCs w:val="24"/>
              <w:lang w:eastAsia="en-GB"/>
            </w:rPr>
          </w:pPr>
          <w:hyperlink w:anchor="_Toc181992353"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Catering</w:t>
            </w:r>
            <w:r>
              <w:rPr>
                <w:noProof/>
                <w:webHidden/>
              </w:rPr>
              <w:tab/>
            </w:r>
            <w:r>
              <w:rPr>
                <w:noProof/>
                <w:webHidden/>
              </w:rPr>
              <w:fldChar w:fldCharType="begin"/>
            </w:r>
            <w:r>
              <w:rPr>
                <w:noProof/>
                <w:webHidden/>
              </w:rPr>
              <w:instrText xml:space="preserve"> PAGEREF _Toc181992353 \h </w:instrText>
            </w:r>
            <w:r>
              <w:rPr>
                <w:noProof/>
                <w:webHidden/>
              </w:rPr>
            </w:r>
            <w:r>
              <w:rPr>
                <w:noProof/>
                <w:webHidden/>
              </w:rPr>
              <w:fldChar w:fldCharType="separate"/>
            </w:r>
            <w:r>
              <w:rPr>
                <w:noProof/>
                <w:webHidden/>
              </w:rPr>
              <w:t>12</w:t>
            </w:r>
            <w:r>
              <w:rPr>
                <w:noProof/>
                <w:webHidden/>
              </w:rPr>
              <w:fldChar w:fldCharType="end"/>
            </w:r>
          </w:hyperlink>
        </w:p>
        <w:p w14:paraId="27F10CFF" w14:textId="751A6DD2" w:rsidR="00993E46" w:rsidRDefault="00993E46">
          <w:pPr>
            <w:pStyle w:val="TOC3"/>
            <w:tabs>
              <w:tab w:val="left" w:pos="960"/>
              <w:tab w:val="right" w:leader="dot" w:pos="9350"/>
            </w:tabs>
            <w:rPr>
              <w:rFonts w:eastAsiaTheme="minorEastAsia"/>
              <w:noProof/>
              <w:kern w:val="2"/>
              <w:sz w:val="24"/>
              <w:szCs w:val="24"/>
              <w:lang w:eastAsia="en-GB"/>
            </w:rPr>
          </w:pPr>
          <w:hyperlink w:anchor="_Toc181992354"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Staffing</w:t>
            </w:r>
            <w:r>
              <w:rPr>
                <w:noProof/>
                <w:webHidden/>
              </w:rPr>
              <w:tab/>
            </w:r>
            <w:r>
              <w:rPr>
                <w:noProof/>
                <w:webHidden/>
              </w:rPr>
              <w:fldChar w:fldCharType="begin"/>
            </w:r>
            <w:r>
              <w:rPr>
                <w:noProof/>
                <w:webHidden/>
              </w:rPr>
              <w:instrText xml:space="preserve"> PAGEREF _Toc181992354 \h </w:instrText>
            </w:r>
            <w:r>
              <w:rPr>
                <w:noProof/>
                <w:webHidden/>
              </w:rPr>
            </w:r>
            <w:r>
              <w:rPr>
                <w:noProof/>
                <w:webHidden/>
              </w:rPr>
              <w:fldChar w:fldCharType="separate"/>
            </w:r>
            <w:r>
              <w:rPr>
                <w:noProof/>
                <w:webHidden/>
              </w:rPr>
              <w:t>12</w:t>
            </w:r>
            <w:r>
              <w:rPr>
                <w:noProof/>
                <w:webHidden/>
              </w:rPr>
              <w:fldChar w:fldCharType="end"/>
            </w:r>
          </w:hyperlink>
        </w:p>
        <w:p w14:paraId="658C5E8A" w14:textId="4E2E99CA" w:rsidR="00993E46" w:rsidRDefault="00993E46">
          <w:pPr>
            <w:pStyle w:val="TOC3"/>
            <w:tabs>
              <w:tab w:val="left" w:pos="960"/>
              <w:tab w:val="right" w:leader="dot" w:pos="9350"/>
            </w:tabs>
            <w:rPr>
              <w:rFonts w:eastAsiaTheme="minorEastAsia"/>
              <w:noProof/>
              <w:kern w:val="2"/>
              <w:sz w:val="24"/>
              <w:szCs w:val="24"/>
              <w:lang w:eastAsia="en-GB"/>
            </w:rPr>
          </w:pPr>
          <w:hyperlink w:anchor="_Toc181992355"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Activity Expenses</w:t>
            </w:r>
            <w:r>
              <w:rPr>
                <w:noProof/>
                <w:webHidden/>
              </w:rPr>
              <w:tab/>
            </w:r>
            <w:r>
              <w:rPr>
                <w:noProof/>
                <w:webHidden/>
              </w:rPr>
              <w:fldChar w:fldCharType="begin"/>
            </w:r>
            <w:r>
              <w:rPr>
                <w:noProof/>
                <w:webHidden/>
              </w:rPr>
              <w:instrText xml:space="preserve"> PAGEREF _Toc181992355 \h </w:instrText>
            </w:r>
            <w:r>
              <w:rPr>
                <w:noProof/>
                <w:webHidden/>
              </w:rPr>
            </w:r>
            <w:r>
              <w:rPr>
                <w:noProof/>
                <w:webHidden/>
              </w:rPr>
              <w:fldChar w:fldCharType="separate"/>
            </w:r>
            <w:r>
              <w:rPr>
                <w:noProof/>
                <w:webHidden/>
              </w:rPr>
              <w:t>12</w:t>
            </w:r>
            <w:r>
              <w:rPr>
                <w:noProof/>
                <w:webHidden/>
              </w:rPr>
              <w:fldChar w:fldCharType="end"/>
            </w:r>
          </w:hyperlink>
        </w:p>
        <w:p w14:paraId="5513AE0C" w14:textId="7E5CB539" w:rsidR="00993E46" w:rsidRDefault="00993E46">
          <w:pPr>
            <w:pStyle w:val="TOC2"/>
            <w:tabs>
              <w:tab w:val="right" w:leader="dot" w:pos="9350"/>
            </w:tabs>
            <w:rPr>
              <w:rFonts w:eastAsiaTheme="minorEastAsia"/>
              <w:noProof/>
              <w:kern w:val="2"/>
              <w:sz w:val="24"/>
              <w:szCs w:val="24"/>
              <w:lang w:eastAsia="en-GB"/>
            </w:rPr>
          </w:pPr>
          <w:hyperlink w:anchor="_Toc181992356" w:history="1">
            <w:r w:rsidRPr="00555C7B">
              <w:rPr>
                <w:rStyle w:val="Hyperlink"/>
                <w:rFonts w:ascii="Arial" w:hAnsi="Arial" w:cs="Arial"/>
                <w:b/>
                <w:bCs/>
                <w:noProof/>
              </w:rPr>
              <w:t>Revenue Generation</w:t>
            </w:r>
            <w:r>
              <w:rPr>
                <w:noProof/>
                <w:webHidden/>
              </w:rPr>
              <w:tab/>
            </w:r>
            <w:r>
              <w:rPr>
                <w:noProof/>
                <w:webHidden/>
              </w:rPr>
              <w:fldChar w:fldCharType="begin"/>
            </w:r>
            <w:r>
              <w:rPr>
                <w:noProof/>
                <w:webHidden/>
              </w:rPr>
              <w:instrText xml:space="preserve"> PAGEREF _Toc181992356 \h </w:instrText>
            </w:r>
            <w:r>
              <w:rPr>
                <w:noProof/>
                <w:webHidden/>
              </w:rPr>
            </w:r>
            <w:r>
              <w:rPr>
                <w:noProof/>
                <w:webHidden/>
              </w:rPr>
              <w:fldChar w:fldCharType="separate"/>
            </w:r>
            <w:r>
              <w:rPr>
                <w:noProof/>
                <w:webHidden/>
              </w:rPr>
              <w:t>12</w:t>
            </w:r>
            <w:r>
              <w:rPr>
                <w:noProof/>
                <w:webHidden/>
              </w:rPr>
              <w:fldChar w:fldCharType="end"/>
            </w:r>
          </w:hyperlink>
        </w:p>
        <w:p w14:paraId="6F08DAFF" w14:textId="2F30E379" w:rsidR="00993E46" w:rsidRDefault="00993E46">
          <w:pPr>
            <w:pStyle w:val="TOC3"/>
            <w:tabs>
              <w:tab w:val="left" w:pos="960"/>
              <w:tab w:val="right" w:leader="dot" w:pos="9350"/>
            </w:tabs>
            <w:rPr>
              <w:rFonts w:eastAsiaTheme="minorEastAsia"/>
              <w:noProof/>
              <w:kern w:val="2"/>
              <w:sz w:val="24"/>
              <w:szCs w:val="24"/>
              <w:lang w:eastAsia="en-GB"/>
            </w:rPr>
          </w:pPr>
          <w:hyperlink w:anchor="_Toc181992357"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Ticket Sales</w:t>
            </w:r>
            <w:r>
              <w:rPr>
                <w:noProof/>
                <w:webHidden/>
              </w:rPr>
              <w:tab/>
            </w:r>
            <w:r>
              <w:rPr>
                <w:noProof/>
                <w:webHidden/>
              </w:rPr>
              <w:fldChar w:fldCharType="begin"/>
            </w:r>
            <w:r>
              <w:rPr>
                <w:noProof/>
                <w:webHidden/>
              </w:rPr>
              <w:instrText xml:space="preserve"> PAGEREF _Toc181992357 \h </w:instrText>
            </w:r>
            <w:r>
              <w:rPr>
                <w:noProof/>
                <w:webHidden/>
              </w:rPr>
            </w:r>
            <w:r>
              <w:rPr>
                <w:noProof/>
                <w:webHidden/>
              </w:rPr>
              <w:fldChar w:fldCharType="separate"/>
            </w:r>
            <w:r>
              <w:rPr>
                <w:noProof/>
                <w:webHidden/>
              </w:rPr>
              <w:t>12</w:t>
            </w:r>
            <w:r>
              <w:rPr>
                <w:noProof/>
                <w:webHidden/>
              </w:rPr>
              <w:fldChar w:fldCharType="end"/>
            </w:r>
          </w:hyperlink>
        </w:p>
        <w:p w14:paraId="41C66445" w14:textId="0F6215A1" w:rsidR="00993E46" w:rsidRDefault="00993E46">
          <w:pPr>
            <w:pStyle w:val="TOC3"/>
            <w:tabs>
              <w:tab w:val="left" w:pos="960"/>
              <w:tab w:val="right" w:leader="dot" w:pos="9350"/>
            </w:tabs>
            <w:rPr>
              <w:rFonts w:eastAsiaTheme="minorEastAsia"/>
              <w:noProof/>
              <w:kern w:val="2"/>
              <w:sz w:val="24"/>
              <w:szCs w:val="24"/>
              <w:lang w:eastAsia="en-GB"/>
            </w:rPr>
          </w:pPr>
          <w:hyperlink w:anchor="_Toc181992358"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Sponsorship Strategy</w:t>
            </w:r>
            <w:r>
              <w:rPr>
                <w:noProof/>
                <w:webHidden/>
              </w:rPr>
              <w:tab/>
            </w:r>
            <w:r>
              <w:rPr>
                <w:noProof/>
                <w:webHidden/>
              </w:rPr>
              <w:fldChar w:fldCharType="begin"/>
            </w:r>
            <w:r>
              <w:rPr>
                <w:noProof/>
                <w:webHidden/>
              </w:rPr>
              <w:instrText xml:space="preserve"> PAGEREF _Toc181992358 \h </w:instrText>
            </w:r>
            <w:r>
              <w:rPr>
                <w:noProof/>
                <w:webHidden/>
              </w:rPr>
            </w:r>
            <w:r>
              <w:rPr>
                <w:noProof/>
                <w:webHidden/>
              </w:rPr>
              <w:fldChar w:fldCharType="separate"/>
            </w:r>
            <w:r>
              <w:rPr>
                <w:noProof/>
                <w:webHidden/>
              </w:rPr>
              <w:t>12</w:t>
            </w:r>
            <w:r>
              <w:rPr>
                <w:noProof/>
                <w:webHidden/>
              </w:rPr>
              <w:fldChar w:fldCharType="end"/>
            </w:r>
          </w:hyperlink>
        </w:p>
        <w:p w14:paraId="730179D0" w14:textId="12E033FA" w:rsidR="00993E46" w:rsidRDefault="00993E46">
          <w:pPr>
            <w:pStyle w:val="TOC2"/>
            <w:tabs>
              <w:tab w:val="right" w:leader="dot" w:pos="9350"/>
            </w:tabs>
            <w:rPr>
              <w:rFonts w:eastAsiaTheme="minorEastAsia"/>
              <w:noProof/>
              <w:kern w:val="2"/>
              <w:sz w:val="24"/>
              <w:szCs w:val="24"/>
              <w:lang w:eastAsia="en-GB"/>
            </w:rPr>
          </w:pPr>
          <w:hyperlink w:anchor="_Toc181992359" w:history="1">
            <w:r w:rsidRPr="00555C7B">
              <w:rPr>
                <w:rStyle w:val="Hyperlink"/>
                <w:rFonts w:ascii="Arial" w:hAnsi="Arial" w:cs="Arial"/>
                <w:b/>
                <w:bCs/>
                <w:noProof/>
              </w:rPr>
              <w:t>Funding Options</w:t>
            </w:r>
            <w:r>
              <w:rPr>
                <w:noProof/>
                <w:webHidden/>
              </w:rPr>
              <w:tab/>
            </w:r>
            <w:r>
              <w:rPr>
                <w:noProof/>
                <w:webHidden/>
              </w:rPr>
              <w:fldChar w:fldCharType="begin"/>
            </w:r>
            <w:r>
              <w:rPr>
                <w:noProof/>
                <w:webHidden/>
              </w:rPr>
              <w:instrText xml:space="preserve"> PAGEREF _Toc181992359 \h </w:instrText>
            </w:r>
            <w:r>
              <w:rPr>
                <w:noProof/>
                <w:webHidden/>
              </w:rPr>
            </w:r>
            <w:r>
              <w:rPr>
                <w:noProof/>
                <w:webHidden/>
              </w:rPr>
              <w:fldChar w:fldCharType="separate"/>
            </w:r>
            <w:r>
              <w:rPr>
                <w:noProof/>
                <w:webHidden/>
              </w:rPr>
              <w:t>12</w:t>
            </w:r>
            <w:r>
              <w:rPr>
                <w:noProof/>
                <w:webHidden/>
              </w:rPr>
              <w:fldChar w:fldCharType="end"/>
            </w:r>
          </w:hyperlink>
        </w:p>
        <w:p w14:paraId="1AAB1D19" w14:textId="11EEF717" w:rsidR="00993E46" w:rsidRDefault="00993E46">
          <w:pPr>
            <w:pStyle w:val="TOC2"/>
            <w:tabs>
              <w:tab w:val="right" w:leader="dot" w:pos="9350"/>
            </w:tabs>
            <w:rPr>
              <w:rFonts w:eastAsiaTheme="minorEastAsia"/>
              <w:noProof/>
              <w:kern w:val="2"/>
              <w:sz w:val="24"/>
              <w:szCs w:val="24"/>
              <w:lang w:eastAsia="en-GB"/>
            </w:rPr>
          </w:pPr>
          <w:hyperlink w:anchor="_Toc181992360" w:history="1">
            <w:r w:rsidRPr="00555C7B">
              <w:rPr>
                <w:rStyle w:val="Hyperlink"/>
                <w:rFonts w:ascii="Arial" w:hAnsi="Arial" w:cs="Arial"/>
                <w:b/>
                <w:bCs/>
                <w:noProof/>
              </w:rPr>
              <w:t>Financial Projections</w:t>
            </w:r>
            <w:r>
              <w:rPr>
                <w:noProof/>
                <w:webHidden/>
              </w:rPr>
              <w:tab/>
            </w:r>
            <w:r>
              <w:rPr>
                <w:noProof/>
                <w:webHidden/>
              </w:rPr>
              <w:fldChar w:fldCharType="begin"/>
            </w:r>
            <w:r>
              <w:rPr>
                <w:noProof/>
                <w:webHidden/>
              </w:rPr>
              <w:instrText xml:space="preserve"> PAGEREF _Toc181992360 \h </w:instrText>
            </w:r>
            <w:r>
              <w:rPr>
                <w:noProof/>
                <w:webHidden/>
              </w:rPr>
            </w:r>
            <w:r>
              <w:rPr>
                <w:noProof/>
                <w:webHidden/>
              </w:rPr>
              <w:fldChar w:fldCharType="separate"/>
            </w:r>
            <w:r>
              <w:rPr>
                <w:noProof/>
                <w:webHidden/>
              </w:rPr>
              <w:t>12</w:t>
            </w:r>
            <w:r>
              <w:rPr>
                <w:noProof/>
                <w:webHidden/>
              </w:rPr>
              <w:fldChar w:fldCharType="end"/>
            </w:r>
          </w:hyperlink>
        </w:p>
        <w:p w14:paraId="3187F75D" w14:textId="5E8527B9" w:rsidR="00993E46" w:rsidRDefault="00993E46">
          <w:pPr>
            <w:pStyle w:val="TOC1"/>
            <w:tabs>
              <w:tab w:val="right" w:leader="dot" w:pos="9350"/>
            </w:tabs>
            <w:rPr>
              <w:rFonts w:eastAsiaTheme="minorEastAsia"/>
              <w:noProof/>
              <w:kern w:val="2"/>
              <w:sz w:val="24"/>
              <w:szCs w:val="24"/>
              <w:lang w:eastAsia="en-GB"/>
            </w:rPr>
          </w:pPr>
          <w:hyperlink w:anchor="_Toc181992361" w:history="1">
            <w:r w:rsidRPr="00555C7B">
              <w:rPr>
                <w:rStyle w:val="Hyperlink"/>
                <w:rFonts w:ascii="Arial" w:hAnsi="Arial" w:cs="Arial"/>
                <w:b/>
                <w:bCs/>
                <w:noProof/>
              </w:rPr>
              <w:t>5. Marketing and Promotion</w:t>
            </w:r>
            <w:r>
              <w:rPr>
                <w:noProof/>
                <w:webHidden/>
              </w:rPr>
              <w:tab/>
            </w:r>
            <w:r>
              <w:rPr>
                <w:noProof/>
                <w:webHidden/>
              </w:rPr>
              <w:fldChar w:fldCharType="begin"/>
            </w:r>
            <w:r>
              <w:rPr>
                <w:noProof/>
                <w:webHidden/>
              </w:rPr>
              <w:instrText xml:space="preserve"> PAGEREF _Toc181992361 \h </w:instrText>
            </w:r>
            <w:r>
              <w:rPr>
                <w:noProof/>
                <w:webHidden/>
              </w:rPr>
            </w:r>
            <w:r>
              <w:rPr>
                <w:noProof/>
                <w:webHidden/>
              </w:rPr>
              <w:fldChar w:fldCharType="separate"/>
            </w:r>
            <w:r>
              <w:rPr>
                <w:noProof/>
                <w:webHidden/>
              </w:rPr>
              <w:t>13</w:t>
            </w:r>
            <w:r>
              <w:rPr>
                <w:noProof/>
                <w:webHidden/>
              </w:rPr>
              <w:fldChar w:fldCharType="end"/>
            </w:r>
          </w:hyperlink>
        </w:p>
        <w:p w14:paraId="482975DD" w14:textId="1345A04C" w:rsidR="00993E46" w:rsidRDefault="00993E46">
          <w:pPr>
            <w:pStyle w:val="TOC2"/>
            <w:tabs>
              <w:tab w:val="right" w:leader="dot" w:pos="9350"/>
            </w:tabs>
            <w:rPr>
              <w:rFonts w:eastAsiaTheme="minorEastAsia"/>
              <w:noProof/>
              <w:kern w:val="2"/>
              <w:sz w:val="24"/>
              <w:szCs w:val="24"/>
              <w:lang w:eastAsia="en-GB"/>
            </w:rPr>
          </w:pPr>
          <w:hyperlink w:anchor="_Toc181992362" w:history="1">
            <w:r w:rsidRPr="00555C7B">
              <w:rPr>
                <w:rStyle w:val="Hyperlink"/>
                <w:rFonts w:ascii="Arial" w:hAnsi="Arial" w:cs="Arial"/>
                <w:b/>
                <w:bCs/>
                <w:noProof/>
              </w:rPr>
              <w:t>Target Audience</w:t>
            </w:r>
            <w:r>
              <w:rPr>
                <w:noProof/>
                <w:webHidden/>
              </w:rPr>
              <w:tab/>
            </w:r>
            <w:r>
              <w:rPr>
                <w:noProof/>
                <w:webHidden/>
              </w:rPr>
              <w:fldChar w:fldCharType="begin"/>
            </w:r>
            <w:r>
              <w:rPr>
                <w:noProof/>
                <w:webHidden/>
              </w:rPr>
              <w:instrText xml:space="preserve"> PAGEREF _Toc181992362 \h </w:instrText>
            </w:r>
            <w:r>
              <w:rPr>
                <w:noProof/>
                <w:webHidden/>
              </w:rPr>
            </w:r>
            <w:r>
              <w:rPr>
                <w:noProof/>
                <w:webHidden/>
              </w:rPr>
              <w:fldChar w:fldCharType="separate"/>
            </w:r>
            <w:r>
              <w:rPr>
                <w:noProof/>
                <w:webHidden/>
              </w:rPr>
              <w:t>13</w:t>
            </w:r>
            <w:r>
              <w:rPr>
                <w:noProof/>
                <w:webHidden/>
              </w:rPr>
              <w:fldChar w:fldCharType="end"/>
            </w:r>
          </w:hyperlink>
        </w:p>
        <w:p w14:paraId="799B7945" w14:textId="79C1B630" w:rsidR="00993E46" w:rsidRDefault="00993E46">
          <w:pPr>
            <w:pStyle w:val="TOC2"/>
            <w:tabs>
              <w:tab w:val="right" w:leader="dot" w:pos="9350"/>
            </w:tabs>
            <w:rPr>
              <w:rFonts w:eastAsiaTheme="minorEastAsia"/>
              <w:noProof/>
              <w:kern w:val="2"/>
              <w:sz w:val="24"/>
              <w:szCs w:val="24"/>
              <w:lang w:eastAsia="en-GB"/>
            </w:rPr>
          </w:pPr>
          <w:hyperlink w:anchor="_Toc181992363" w:history="1">
            <w:r w:rsidRPr="00555C7B">
              <w:rPr>
                <w:rStyle w:val="Hyperlink"/>
                <w:rFonts w:ascii="Arial" w:hAnsi="Arial" w:cs="Arial"/>
                <w:b/>
                <w:bCs/>
                <w:noProof/>
              </w:rPr>
              <w:t>Marketing Channels</w:t>
            </w:r>
            <w:r>
              <w:rPr>
                <w:noProof/>
                <w:webHidden/>
              </w:rPr>
              <w:tab/>
            </w:r>
            <w:r>
              <w:rPr>
                <w:noProof/>
                <w:webHidden/>
              </w:rPr>
              <w:fldChar w:fldCharType="begin"/>
            </w:r>
            <w:r>
              <w:rPr>
                <w:noProof/>
                <w:webHidden/>
              </w:rPr>
              <w:instrText xml:space="preserve"> PAGEREF _Toc181992363 \h </w:instrText>
            </w:r>
            <w:r>
              <w:rPr>
                <w:noProof/>
                <w:webHidden/>
              </w:rPr>
            </w:r>
            <w:r>
              <w:rPr>
                <w:noProof/>
                <w:webHidden/>
              </w:rPr>
              <w:fldChar w:fldCharType="separate"/>
            </w:r>
            <w:r>
              <w:rPr>
                <w:noProof/>
                <w:webHidden/>
              </w:rPr>
              <w:t>13</w:t>
            </w:r>
            <w:r>
              <w:rPr>
                <w:noProof/>
                <w:webHidden/>
              </w:rPr>
              <w:fldChar w:fldCharType="end"/>
            </w:r>
          </w:hyperlink>
        </w:p>
        <w:p w14:paraId="5C885209" w14:textId="668F03EF" w:rsidR="00993E46" w:rsidRDefault="00993E46">
          <w:pPr>
            <w:pStyle w:val="TOC3"/>
            <w:tabs>
              <w:tab w:val="left" w:pos="960"/>
              <w:tab w:val="right" w:leader="dot" w:pos="9350"/>
            </w:tabs>
            <w:rPr>
              <w:rFonts w:eastAsiaTheme="minorEastAsia"/>
              <w:noProof/>
              <w:kern w:val="2"/>
              <w:sz w:val="24"/>
              <w:szCs w:val="24"/>
              <w:lang w:eastAsia="en-GB"/>
            </w:rPr>
          </w:pPr>
          <w:hyperlink w:anchor="_Toc181992364"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LinkedIn and Twitter</w:t>
            </w:r>
            <w:r>
              <w:rPr>
                <w:noProof/>
                <w:webHidden/>
              </w:rPr>
              <w:tab/>
            </w:r>
            <w:r>
              <w:rPr>
                <w:noProof/>
                <w:webHidden/>
              </w:rPr>
              <w:fldChar w:fldCharType="begin"/>
            </w:r>
            <w:r>
              <w:rPr>
                <w:noProof/>
                <w:webHidden/>
              </w:rPr>
              <w:instrText xml:space="preserve"> PAGEREF _Toc181992364 \h </w:instrText>
            </w:r>
            <w:r>
              <w:rPr>
                <w:noProof/>
                <w:webHidden/>
              </w:rPr>
            </w:r>
            <w:r>
              <w:rPr>
                <w:noProof/>
                <w:webHidden/>
              </w:rPr>
              <w:fldChar w:fldCharType="separate"/>
            </w:r>
            <w:r>
              <w:rPr>
                <w:noProof/>
                <w:webHidden/>
              </w:rPr>
              <w:t>13</w:t>
            </w:r>
            <w:r>
              <w:rPr>
                <w:noProof/>
                <w:webHidden/>
              </w:rPr>
              <w:fldChar w:fldCharType="end"/>
            </w:r>
          </w:hyperlink>
        </w:p>
        <w:p w14:paraId="74C01AC7" w14:textId="5FF94983" w:rsidR="00993E46" w:rsidRDefault="00993E46">
          <w:pPr>
            <w:pStyle w:val="TOC3"/>
            <w:tabs>
              <w:tab w:val="left" w:pos="960"/>
              <w:tab w:val="right" w:leader="dot" w:pos="9350"/>
            </w:tabs>
            <w:rPr>
              <w:rFonts w:eastAsiaTheme="minorEastAsia"/>
              <w:noProof/>
              <w:kern w:val="2"/>
              <w:sz w:val="24"/>
              <w:szCs w:val="24"/>
              <w:lang w:eastAsia="en-GB"/>
            </w:rPr>
          </w:pPr>
          <w:hyperlink w:anchor="_Toc181992365" w:history="1">
            <w:r w:rsidRPr="00555C7B">
              <w:rPr>
                <w:rStyle w:val="Hyperlink"/>
                <w:rFonts w:ascii="Symbol" w:hAnsi="Symbol" w:cs="Arial"/>
                <w:noProof/>
              </w:rPr>
              <w:t></w:t>
            </w:r>
            <w:r>
              <w:rPr>
                <w:rFonts w:eastAsiaTheme="minorEastAsia"/>
                <w:noProof/>
                <w:kern w:val="2"/>
                <w:sz w:val="24"/>
                <w:szCs w:val="24"/>
                <w:lang w:eastAsia="en-GB"/>
              </w:rPr>
              <w:tab/>
            </w:r>
            <w:r w:rsidRPr="00555C7B">
              <w:rPr>
                <w:rStyle w:val="Hyperlink"/>
                <w:rFonts w:ascii="Arial" w:hAnsi="Arial" w:cs="Arial"/>
                <w:i/>
                <w:iCs/>
                <w:noProof/>
              </w:rPr>
              <w:t>Oracle’s Corporate Network</w:t>
            </w:r>
            <w:r>
              <w:rPr>
                <w:noProof/>
                <w:webHidden/>
              </w:rPr>
              <w:tab/>
            </w:r>
            <w:r>
              <w:rPr>
                <w:noProof/>
                <w:webHidden/>
              </w:rPr>
              <w:fldChar w:fldCharType="begin"/>
            </w:r>
            <w:r>
              <w:rPr>
                <w:noProof/>
                <w:webHidden/>
              </w:rPr>
              <w:instrText xml:space="preserve"> PAGEREF _Toc181992365 \h </w:instrText>
            </w:r>
            <w:r>
              <w:rPr>
                <w:noProof/>
                <w:webHidden/>
              </w:rPr>
            </w:r>
            <w:r>
              <w:rPr>
                <w:noProof/>
                <w:webHidden/>
              </w:rPr>
              <w:fldChar w:fldCharType="separate"/>
            </w:r>
            <w:r>
              <w:rPr>
                <w:noProof/>
                <w:webHidden/>
              </w:rPr>
              <w:t>13</w:t>
            </w:r>
            <w:r>
              <w:rPr>
                <w:noProof/>
                <w:webHidden/>
              </w:rPr>
              <w:fldChar w:fldCharType="end"/>
            </w:r>
          </w:hyperlink>
        </w:p>
        <w:p w14:paraId="08D039A2" w14:textId="5CC71111" w:rsidR="00993E46" w:rsidRDefault="00993E46">
          <w:pPr>
            <w:pStyle w:val="TOC2"/>
            <w:tabs>
              <w:tab w:val="right" w:leader="dot" w:pos="9350"/>
            </w:tabs>
            <w:rPr>
              <w:rFonts w:eastAsiaTheme="minorEastAsia"/>
              <w:noProof/>
              <w:kern w:val="2"/>
              <w:sz w:val="24"/>
              <w:szCs w:val="24"/>
              <w:lang w:eastAsia="en-GB"/>
            </w:rPr>
          </w:pPr>
          <w:hyperlink w:anchor="_Toc181992366" w:history="1">
            <w:r w:rsidRPr="00555C7B">
              <w:rPr>
                <w:rStyle w:val="Hyperlink"/>
                <w:rFonts w:ascii="Arial" w:hAnsi="Arial" w:cs="Arial"/>
                <w:b/>
                <w:bCs/>
                <w:noProof/>
              </w:rPr>
              <w:t>Email Campaigns</w:t>
            </w:r>
            <w:r>
              <w:rPr>
                <w:noProof/>
                <w:webHidden/>
              </w:rPr>
              <w:tab/>
            </w:r>
            <w:r>
              <w:rPr>
                <w:noProof/>
                <w:webHidden/>
              </w:rPr>
              <w:fldChar w:fldCharType="begin"/>
            </w:r>
            <w:r>
              <w:rPr>
                <w:noProof/>
                <w:webHidden/>
              </w:rPr>
              <w:instrText xml:space="preserve"> PAGEREF _Toc181992366 \h </w:instrText>
            </w:r>
            <w:r>
              <w:rPr>
                <w:noProof/>
                <w:webHidden/>
              </w:rPr>
            </w:r>
            <w:r>
              <w:rPr>
                <w:noProof/>
                <w:webHidden/>
              </w:rPr>
              <w:fldChar w:fldCharType="separate"/>
            </w:r>
            <w:r>
              <w:rPr>
                <w:noProof/>
                <w:webHidden/>
              </w:rPr>
              <w:t>13</w:t>
            </w:r>
            <w:r>
              <w:rPr>
                <w:noProof/>
                <w:webHidden/>
              </w:rPr>
              <w:fldChar w:fldCharType="end"/>
            </w:r>
          </w:hyperlink>
        </w:p>
        <w:p w14:paraId="373FC0B6" w14:textId="23C40078" w:rsidR="00993E46" w:rsidRDefault="00993E46">
          <w:pPr>
            <w:pStyle w:val="TOC2"/>
            <w:tabs>
              <w:tab w:val="right" w:leader="dot" w:pos="9350"/>
            </w:tabs>
            <w:rPr>
              <w:rFonts w:eastAsiaTheme="minorEastAsia"/>
              <w:noProof/>
              <w:kern w:val="2"/>
              <w:sz w:val="24"/>
              <w:szCs w:val="24"/>
              <w:lang w:eastAsia="en-GB"/>
            </w:rPr>
          </w:pPr>
          <w:hyperlink w:anchor="_Toc181992367" w:history="1">
            <w:r w:rsidRPr="00555C7B">
              <w:rPr>
                <w:rStyle w:val="Hyperlink"/>
                <w:rFonts w:ascii="Arial" w:hAnsi="Arial" w:cs="Arial"/>
                <w:b/>
                <w:bCs/>
                <w:noProof/>
              </w:rPr>
              <w:t>7Ps Framework</w:t>
            </w:r>
            <w:r>
              <w:rPr>
                <w:noProof/>
                <w:webHidden/>
              </w:rPr>
              <w:tab/>
            </w:r>
            <w:r>
              <w:rPr>
                <w:noProof/>
                <w:webHidden/>
              </w:rPr>
              <w:fldChar w:fldCharType="begin"/>
            </w:r>
            <w:r>
              <w:rPr>
                <w:noProof/>
                <w:webHidden/>
              </w:rPr>
              <w:instrText xml:space="preserve"> PAGEREF _Toc181992367 \h </w:instrText>
            </w:r>
            <w:r>
              <w:rPr>
                <w:noProof/>
                <w:webHidden/>
              </w:rPr>
            </w:r>
            <w:r>
              <w:rPr>
                <w:noProof/>
                <w:webHidden/>
              </w:rPr>
              <w:fldChar w:fldCharType="separate"/>
            </w:r>
            <w:r>
              <w:rPr>
                <w:noProof/>
                <w:webHidden/>
              </w:rPr>
              <w:t>14</w:t>
            </w:r>
            <w:r>
              <w:rPr>
                <w:noProof/>
                <w:webHidden/>
              </w:rPr>
              <w:fldChar w:fldCharType="end"/>
            </w:r>
          </w:hyperlink>
        </w:p>
        <w:p w14:paraId="23D0DD30" w14:textId="20804E3E" w:rsidR="00993E46" w:rsidRDefault="00993E46">
          <w:pPr>
            <w:pStyle w:val="TOC2"/>
            <w:tabs>
              <w:tab w:val="right" w:leader="dot" w:pos="9350"/>
            </w:tabs>
            <w:rPr>
              <w:rFonts w:eastAsiaTheme="minorEastAsia"/>
              <w:noProof/>
              <w:kern w:val="2"/>
              <w:sz w:val="24"/>
              <w:szCs w:val="24"/>
              <w:lang w:eastAsia="en-GB"/>
            </w:rPr>
          </w:pPr>
          <w:hyperlink w:anchor="_Toc181992368" w:history="1">
            <w:r w:rsidRPr="00555C7B">
              <w:rPr>
                <w:rStyle w:val="Hyperlink"/>
                <w:rFonts w:ascii="Arial" w:hAnsi="Arial" w:cs="Arial"/>
                <w:b/>
                <w:bCs/>
                <w:noProof/>
              </w:rPr>
              <w:t>Partnerships</w:t>
            </w:r>
            <w:r>
              <w:rPr>
                <w:noProof/>
                <w:webHidden/>
              </w:rPr>
              <w:tab/>
            </w:r>
            <w:r>
              <w:rPr>
                <w:noProof/>
                <w:webHidden/>
              </w:rPr>
              <w:fldChar w:fldCharType="begin"/>
            </w:r>
            <w:r>
              <w:rPr>
                <w:noProof/>
                <w:webHidden/>
              </w:rPr>
              <w:instrText xml:space="preserve"> PAGEREF _Toc181992368 \h </w:instrText>
            </w:r>
            <w:r>
              <w:rPr>
                <w:noProof/>
                <w:webHidden/>
              </w:rPr>
            </w:r>
            <w:r>
              <w:rPr>
                <w:noProof/>
                <w:webHidden/>
              </w:rPr>
              <w:fldChar w:fldCharType="separate"/>
            </w:r>
            <w:r>
              <w:rPr>
                <w:noProof/>
                <w:webHidden/>
              </w:rPr>
              <w:t>14</w:t>
            </w:r>
            <w:r>
              <w:rPr>
                <w:noProof/>
                <w:webHidden/>
              </w:rPr>
              <w:fldChar w:fldCharType="end"/>
            </w:r>
          </w:hyperlink>
        </w:p>
        <w:p w14:paraId="1EC23077" w14:textId="584D1701" w:rsidR="00993E46" w:rsidRDefault="00993E46">
          <w:pPr>
            <w:pStyle w:val="TOC1"/>
            <w:tabs>
              <w:tab w:val="right" w:leader="dot" w:pos="9350"/>
            </w:tabs>
            <w:rPr>
              <w:rFonts w:eastAsiaTheme="minorEastAsia"/>
              <w:noProof/>
              <w:kern w:val="2"/>
              <w:sz w:val="24"/>
              <w:szCs w:val="24"/>
              <w:lang w:eastAsia="en-GB"/>
            </w:rPr>
          </w:pPr>
          <w:hyperlink w:anchor="_Toc181992369" w:history="1">
            <w:r w:rsidRPr="00555C7B">
              <w:rPr>
                <w:rStyle w:val="Hyperlink"/>
                <w:rFonts w:ascii="Arial" w:hAnsi="Arial" w:cs="Arial"/>
                <w:b/>
                <w:bCs/>
                <w:noProof/>
              </w:rPr>
              <w:t>6. Event Programming and Schedule</w:t>
            </w:r>
            <w:r>
              <w:rPr>
                <w:noProof/>
                <w:webHidden/>
              </w:rPr>
              <w:tab/>
            </w:r>
            <w:r>
              <w:rPr>
                <w:noProof/>
                <w:webHidden/>
              </w:rPr>
              <w:fldChar w:fldCharType="begin"/>
            </w:r>
            <w:r>
              <w:rPr>
                <w:noProof/>
                <w:webHidden/>
              </w:rPr>
              <w:instrText xml:space="preserve"> PAGEREF _Toc181992369 \h </w:instrText>
            </w:r>
            <w:r>
              <w:rPr>
                <w:noProof/>
                <w:webHidden/>
              </w:rPr>
            </w:r>
            <w:r>
              <w:rPr>
                <w:noProof/>
                <w:webHidden/>
              </w:rPr>
              <w:fldChar w:fldCharType="separate"/>
            </w:r>
            <w:r>
              <w:rPr>
                <w:noProof/>
                <w:webHidden/>
              </w:rPr>
              <w:t>15</w:t>
            </w:r>
            <w:r>
              <w:rPr>
                <w:noProof/>
                <w:webHidden/>
              </w:rPr>
              <w:fldChar w:fldCharType="end"/>
            </w:r>
          </w:hyperlink>
        </w:p>
        <w:p w14:paraId="1AC9F749" w14:textId="1FEF45B8" w:rsidR="00993E46" w:rsidRDefault="00993E46">
          <w:pPr>
            <w:pStyle w:val="TOC2"/>
            <w:tabs>
              <w:tab w:val="right" w:leader="dot" w:pos="9350"/>
            </w:tabs>
            <w:rPr>
              <w:rFonts w:eastAsiaTheme="minorEastAsia"/>
              <w:noProof/>
              <w:kern w:val="2"/>
              <w:sz w:val="24"/>
              <w:szCs w:val="24"/>
              <w:lang w:eastAsia="en-GB"/>
            </w:rPr>
          </w:pPr>
          <w:hyperlink w:anchor="_Toc181992370" w:history="1">
            <w:r w:rsidRPr="00555C7B">
              <w:rPr>
                <w:rStyle w:val="Hyperlink"/>
                <w:rFonts w:ascii="Arial" w:hAnsi="Arial" w:cs="Arial"/>
                <w:b/>
                <w:bCs/>
                <w:noProof/>
              </w:rPr>
              <w:t>Day 1: Arrival, Registration, Welcome Dinner, and Fireside Networking</w:t>
            </w:r>
            <w:r>
              <w:rPr>
                <w:noProof/>
                <w:webHidden/>
              </w:rPr>
              <w:tab/>
            </w:r>
            <w:r>
              <w:rPr>
                <w:noProof/>
                <w:webHidden/>
              </w:rPr>
              <w:fldChar w:fldCharType="begin"/>
            </w:r>
            <w:r>
              <w:rPr>
                <w:noProof/>
                <w:webHidden/>
              </w:rPr>
              <w:instrText xml:space="preserve"> PAGEREF _Toc181992370 \h </w:instrText>
            </w:r>
            <w:r>
              <w:rPr>
                <w:noProof/>
                <w:webHidden/>
              </w:rPr>
            </w:r>
            <w:r>
              <w:rPr>
                <w:noProof/>
                <w:webHidden/>
              </w:rPr>
              <w:fldChar w:fldCharType="separate"/>
            </w:r>
            <w:r>
              <w:rPr>
                <w:noProof/>
                <w:webHidden/>
              </w:rPr>
              <w:t>15</w:t>
            </w:r>
            <w:r>
              <w:rPr>
                <w:noProof/>
                <w:webHidden/>
              </w:rPr>
              <w:fldChar w:fldCharType="end"/>
            </w:r>
          </w:hyperlink>
        </w:p>
        <w:p w14:paraId="51206BE2" w14:textId="0CB2EE4F" w:rsidR="00993E46" w:rsidRDefault="00993E46">
          <w:pPr>
            <w:pStyle w:val="TOC2"/>
            <w:tabs>
              <w:tab w:val="right" w:leader="dot" w:pos="9350"/>
            </w:tabs>
            <w:rPr>
              <w:rFonts w:eastAsiaTheme="minorEastAsia"/>
              <w:noProof/>
              <w:kern w:val="2"/>
              <w:sz w:val="24"/>
              <w:szCs w:val="24"/>
              <w:lang w:eastAsia="en-GB"/>
            </w:rPr>
          </w:pPr>
          <w:hyperlink w:anchor="_Toc181992371" w:history="1">
            <w:r w:rsidRPr="00555C7B">
              <w:rPr>
                <w:rStyle w:val="Hyperlink"/>
                <w:rFonts w:ascii="Arial" w:hAnsi="Arial" w:cs="Arial"/>
                <w:b/>
                <w:bCs/>
                <w:noProof/>
              </w:rPr>
              <w:t>Day 2: Leadership Workshops and Outdoor Team-Building Activities</w:t>
            </w:r>
            <w:r>
              <w:rPr>
                <w:noProof/>
                <w:webHidden/>
              </w:rPr>
              <w:tab/>
            </w:r>
            <w:r>
              <w:rPr>
                <w:noProof/>
                <w:webHidden/>
              </w:rPr>
              <w:fldChar w:fldCharType="begin"/>
            </w:r>
            <w:r>
              <w:rPr>
                <w:noProof/>
                <w:webHidden/>
              </w:rPr>
              <w:instrText xml:space="preserve"> PAGEREF _Toc181992371 \h </w:instrText>
            </w:r>
            <w:r>
              <w:rPr>
                <w:noProof/>
                <w:webHidden/>
              </w:rPr>
            </w:r>
            <w:r>
              <w:rPr>
                <w:noProof/>
                <w:webHidden/>
              </w:rPr>
              <w:fldChar w:fldCharType="separate"/>
            </w:r>
            <w:r>
              <w:rPr>
                <w:noProof/>
                <w:webHidden/>
              </w:rPr>
              <w:t>15</w:t>
            </w:r>
            <w:r>
              <w:rPr>
                <w:noProof/>
                <w:webHidden/>
              </w:rPr>
              <w:fldChar w:fldCharType="end"/>
            </w:r>
          </w:hyperlink>
        </w:p>
        <w:p w14:paraId="63D79810" w14:textId="4308144F" w:rsidR="00993E46" w:rsidRDefault="00993E46">
          <w:pPr>
            <w:pStyle w:val="TOC2"/>
            <w:tabs>
              <w:tab w:val="right" w:leader="dot" w:pos="9350"/>
            </w:tabs>
            <w:rPr>
              <w:rFonts w:eastAsiaTheme="minorEastAsia"/>
              <w:noProof/>
              <w:kern w:val="2"/>
              <w:sz w:val="24"/>
              <w:szCs w:val="24"/>
              <w:lang w:eastAsia="en-GB"/>
            </w:rPr>
          </w:pPr>
          <w:hyperlink w:anchor="_Toc181992372" w:history="1">
            <w:r w:rsidRPr="00555C7B">
              <w:rPr>
                <w:rStyle w:val="Hyperlink"/>
                <w:rFonts w:ascii="Arial" w:hAnsi="Arial" w:cs="Arial"/>
                <w:b/>
                <w:bCs/>
                <w:noProof/>
              </w:rPr>
              <w:t>Day 3: Concluding Workshops, Networking, Leisure, and Departure</w:t>
            </w:r>
            <w:r>
              <w:rPr>
                <w:noProof/>
                <w:webHidden/>
              </w:rPr>
              <w:tab/>
            </w:r>
            <w:r>
              <w:rPr>
                <w:noProof/>
                <w:webHidden/>
              </w:rPr>
              <w:fldChar w:fldCharType="begin"/>
            </w:r>
            <w:r>
              <w:rPr>
                <w:noProof/>
                <w:webHidden/>
              </w:rPr>
              <w:instrText xml:space="preserve"> PAGEREF _Toc181992372 \h </w:instrText>
            </w:r>
            <w:r>
              <w:rPr>
                <w:noProof/>
                <w:webHidden/>
              </w:rPr>
            </w:r>
            <w:r>
              <w:rPr>
                <w:noProof/>
                <w:webHidden/>
              </w:rPr>
              <w:fldChar w:fldCharType="separate"/>
            </w:r>
            <w:r>
              <w:rPr>
                <w:noProof/>
                <w:webHidden/>
              </w:rPr>
              <w:t>15</w:t>
            </w:r>
            <w:r>
              <w:rPr>
                <w:noProof/>
                <w:webHidden/>
              </w:rPr>
              <w:fldChar w:fldCharType="end"/>
            </w:r>
          </w:hyperlink>
        </w:p>
        <w:p w14:paraId="60F18B48" w14:textId="7FE3B9B8" w:rsidR="00993E46" w:rsidRDefault="00993E46">
          <w:pPr>
            <w:pStyle w:val="TOC1"/>
            <w:tabs>
              <w:tab w:val="right" w:leader="dot" w:pos="9350"/>
            </w:tabs>
            <w:rPr>
              <w:rFonts w:eastAsiaTheme="minorEastAsia"/>
              <w:noProof/>
              <w:kern w:val="2"/>
              <w:sz w:val="24"/>
              <w:szCs w:val="24"/>
              <w:lang w:eastAsia="en-GB"/>
            </w:rPr>
          </w:pPr>
          <w:hyperlink w:anchor="_Toc181992373" w:history="1">
            <w:r w:rsidRPr="00555C7B">
              <w:rPr>
                <w:rStyle w:val="Hyperlink"/>
                <w:rFonts w:ascii="Arial" w:hAnsi="Arial" w:cs="Arial"/>
                <w:b/>
                <w:bCs/>
                <w:noProof/>
              </w:rPr>
              <w:t>7. Risk and SWOT Analysis</w:t>
            </w:r>
            <w:r>
              <w:rPr>
                <w:noProof/>
                <w:webHidden/>
              </w:rPr>
              <w:tab/>
            </w:r>
            <w:r>
              <w:rPr>
                <w:noProof/>
                <w:webHidden/>
              </w:rPr>
              <w:fldChar w:fldCharType="begin"/>
            </w:r>
            <w:r>
              <w:rPr>
                <w:noProof/>
                <w:webHidden/>
              </w:rPr>
              <w:instrText xml:space="preserve"> PAGEREF _Toc181992373 \h </w:instrText>
            </w:r>
            <w:r>
              <w:rPr>
                <w:noProof/>
                <w:webHidden/>
              </w:rPr>
            </w:r>
            <w:r>
              <w:rPr>
                <w:noProof/>
                <w:webHidden/>
              </w:rPr>
              <w:fldChar w:fldCharType="separate"/>
            </w:r>
            <w:r>
              <w:rPr>
                <w:noProof/>
                <w:webHidden/>
              </w:rPr>
              <w:t>16</w:t>
            </w:r>
            <w:r>
              <w:rPr>
                <w:noProof/>
                <w:webHidden/>
              </w:rPr>
              <w:fldChar w:fldCharType="end"/>
            </w:r>
          </w:hyperlink>
        </w:p>
        <w:p w14:paraId="2D793175" w14:textId="765999BE" w:rsidR="00993E46" w:rsidRDefault="00993E46">
          <w:pPr>
            <w:pStyle w:val="TOC2"/>
            <w:tabs>
              <w:tab w:val="right" w:leader="dot" w:pos="9350"/>
            </w:tabs>
            <w:rPr>
              <w:rFonts w:eastAsiaTheme="minorEastAsia"/>
              <w:noProof/>
              <w:kern w:val="2"/>
              <w:sz w:val="24"/>
              <w:szCs w:val="24"/>
              <w:lang w:eastAsia="en-GB"/>
            </w:rPr>
          </w:pPr>
          <w:hyperlink w:anchor="_Toc181992374" w:history="1">
            <w:r w:rsidRPr="00555C7B">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_Toc181992374 \h </w:instrText>
            </w:r>
            <w:r>
              <w:rPr>
                <w:noProof/>
                <w:webHidden/>
              </w:rPr>
            </w:r>
            <w:r>
              <w:rPr>
                <w:noProof/>
                <w:webHidden/>
              </w:rPr>
              <w:fldChar w:fldCharType="separate"/>
            </w:r>
            <w:r>
              <w:rPr>
                <w:noProof/>
                <w:webHidden/>
              </w:rPr>
              <w:t>16</w:t>
            </w:r>
            <w:r>
              <w:rPr>
                <w:noProof/>
                <w:webHidden/>
              </w:rPr>
              <w:fldChar w:fldCharType="end"/>
            </w:r>
          </w:hyperlink>
        </w:p>
        <w:p w14:paraId="1D6B295A" w14:textId="237EB27F" w:rsidR="00993E46" w:rsidRDefault="00993E46">
          <w:pPr>
            <w:pStyle w:val="TOC2"/>
            <w:tabs>
              <w:tab w:val="right" w:leader="dot" w:pos="9350"/>
            </w:tabs>
            <w:rPr>
              <w:rFonts w:eastAsiaTheme="minorEastAsia"/>
              <w:noProof/>
              <w:kern w:val="2"/>
              <w:sz w:val="24"/>
              <w:szCs w:val="24"/>
              <w:lang w:eastAsia="en-GB"/>
            </w:rPr>
          </w:pPr>
          <w:hyperlink w:anchor="_Toc181992375" w:history="1">
            <w:r w:rsidRPr="00555C7B">
              <w:rPr>
                <w:rStyle w:val="Hyperlink"/>
                <w:rFonts w:ascii="Arial" w:hAnsi="Arial" w:cs="Arial"/>
                <w:b/>
                <w:bCs/>
                <w:noProof/>
              </w:rPr>
              <w:t>Risk Management</w:t>
            </w:r>
            <w:r>
              <w:rPr>
                <w:noProof/>
                <w:webHidden/>
              </w:rPr>
              <w:tab/>
            </w:r>
            <w:r>
              <w:rPr>
                <w:noProof/>
                <w:webHidden/>
              </w:rPr>
              <w:fldChar w:fldCharType="begin"/>
            </w:r>
            <w:r>
              <w:rPr>
                <w:noProof/>
                <w:webHidden/>
              </w:rPr>
              <w:instrText xml:space="preserve"> PAGEREF _Toc181992375 \h </w:instrText>
            </w:r>
            <w:r>
              <w:rPr>
                <w:noProof/>
                <w:webHidden/>
              </w:rPr>
            </w:r>
            <w:r>
              <w:rPr>
                <w:noProof/>
                <w:webHidden/>
              </w:rPr>
              <w:fldChar w:fldCharType="separate"/>
            </w:r>
            <w:r>
              <w:rPr>
                <w:noProof/>
                <w:webHidden/>
              </w:rPr>
              <w:t>17</w:t>
            </w:r>
            <w:r>
              <w:rPr>
                <w:noProof/>
                <w:webHidden/>
              </w:rPr>
              <w:fldChar w:fldCharType="end"/>
            </w:r>
          </w:hyperlink>
        </w:p>
        <w:p w14:paraId="331E1EFD" w14:textId="7ED52234" w:rsidR="00993E46" w:rsidRDefault="00993E46">
          <w:pPr>
            <w:pStyle w:val="TOC1"/>
            <w:tabs>
              <w:tab w:val="right" w:leader="dot" w:pos="9350"/>
            </w:tabs>
            <w:rPr>
              <w:rFonts w:eastAsiaTheme="minorEastAsia"/>
              <w:noProof/>
              <w:kern w:val="2"/>
              <w:sz w:val="24"/>
              <w:szCs w:val="24"/>
              <w:lang w:eastAsia="en-GB"/>
            </w:rPr>
          </w:pPr>
          <w:hyperlink w:anchor="_Toc181992376" w:history="1">
            <w:r w:rsidRPr="00555C7B">
              <w:rPr>
                <w:rStyle w:val="Hyperlink"/>
                <w:rFonts w:ascii="Arial" w:hAnsi="Arial" w:cs="Arial"/>
                <w:b/>
                <w:bCs/>
                <w:noProof/>
              </w:rPr>
              <w:t>8. Project Management and Timeline</w:t>
            </w:r>
            <w:r>
              <w:rPr>
                <w:noProof/>
                <w:webHidden/>
              </w:rPr>
              <w:tab/>
            </w:r>
            <w:r>
              <w:rPr>
                <w:noProof/>
                <w:webHidden/>
              </w:rPr>
              <w:fldChar w:fldCharType="begin"/>
            </w:r>
            <w:r>
              <w:rPr>
                <w:noProof/>
                <w:webHidden/>
              </w:rPr>
              <w:instrText xml:space="preserve"> PAGEREF _Toc181992376 \h </w:instrText>
            </w:r>
            <w:r>
              <w:rPr>
                <w:noProof/>
                <w:webHidden/>
              </w:rPr>
            </w:r>
            <w:r>
              <w:rPr>
                <w:noProof/>
                <w:webHidden/>
              </w:rPr>
              <w:fldChar w:fldCharType="separate"/>
            </w:r>
            <w:r>
              <w:rPr>
                <w:noProof/>
                <w:webHidden/>
              </w:rPr>
              <w:t>17</w:t>
            </w:r>
            <w:r>
              <w:rPr>
                <w:noProof/>
                <w:webHidden/>
              </w:rPr>
              <w:fldChar w:fldCharType="end"/>
            </w:r>
          </w:hyperlink>
        </w:p>
        <w:p w14:paraId="259799B7" w14:textId="399ABBFC" w:rsidR="00993E46" w:rsidRDefault="00993E46">
          <w:pPr>
            <w:pStyle w:val="TOC2"/>
            <w:tabs>
              <w:tab w:val="right" w:leader="dot" w:pos="9350"/>
            </w:tabs>
            <w:rPr>
              <w:rFonts w:eastAsiaTheme="minorEastAsia"/>
              <w:noProof/>
              <w:kern w:val="2"/>
              <w:sz w:val="24"/>
              <w:szCs w:val="24"/>
              <w:lang w:eastAsia="en-GB"/>
            </w:rPr>
          </w:pPr>
          <w:hyperlink w:anchor="_Toc181992377" w:history="1">
            <w:r w:rsidRPr="00555C7B">
              <w:rPr>
                <w:rStyle w:val="Hyperlink"/>
                <w:rFonts w:ascii="Arial" w:hAnsi="Arial" w:cs="Arial"/>
                <w:b/>
                <w:bCs/>
                <w:noProof/>
              </w:rPr>
              <w:t>Gantt Chart and Scheduling (Planning and Implementation Phases)</w:t>
            </w:r>
            <w:r>
              <w:rPr>
                <w:noProof/>
                <w:webHidden/>
              </w:rPr>
              <w:tab/>
            </w:r>
            <w:r>
              <w:rPr>
                <w:noProof/>
                <w:webHidden/>
              </w:rPr>
              <w:fldChar w:fldCharType="begin"/>
            </w:r>
            <w:r>
              <w:rPr>
                <w:noProof/>
                <w:webHidden/>
              </w:rPr>
              <w:instrText xml:space="preserve"> PAGEREF _Toc181992377 \h </w:instrText>
            </w:r>
            <w:r>
              <w:rPr>
                <w:noProof/>
                <w:webHidden/>
              </w:rPr>
            </w:r>
            <w:r>
              <w:rPr>
                <w:noProof/>
                <w:webHidden/>
              </w:rPr>
              <w:fldChar w:fldCharType="separate"/>
            </w:r>
            <w:r>
              <w:rPr>
                <w:noProof/>
                <w:webHidden/>
              </w:rPr>
              <w:t>18</w:t>
            </w:r>
            <w:r>
              <w:rPr>
                <w:noProof/>
                <w:webHidden/>
              </w:rPr>
              <w:fldChar w:fldCharType="end"/>
            </w:r>
          </w:hyperlink>
        </w:p>
        <w:p w14:paraId="43F0D819" w14:textId="217E74E3" w:rsidR="00993E46" w:rsidRDefault="00993E46">
          <w:pPr>
            <w:pStyle w:val="TOC2"/>
            <w:tabs>
              <w:tab w:val="right" w:leader="dot" w:pos="9350"/>
            </w:tabs>
            <w:rPr>
              <w:rFonts w:eastAsiaTheme="minorEastAsia"/>
              <w:noProof/>
              <w:kern w:val="2"/>
              <w:sz w:val="24"/>
              <w:szCs w:val="24"/>
              <w:lang w:eastAsia="en-GB"/>
            </w:rPr>
          </w:pPr>
          <w:hyperlink w:anchor="_Toc181992378" w:history="1">
            <w:r w:rsidRPr="00555C7B">
              <w:rPr>
                <w:rStyle w:val="Hyperlink"/>
                <w:rFonts w:ascii="Arial" w:hAnsi="Arial" w:cs="Arial"/>
                <w:b/>
                <w:bCs/>
                <w:noProof/>
              </w:rPr>
              <w:t>Team Structure and Monitoring Progress (Implementation Phase)</w:t>
            </w:r>
            <w:r>
              <w:rPr>
                <w:noProof/>
                <w:webHidden/>
              </w:rPr>
              <w:tab/>
            </w:r>
            <w:r>
              <w:rPr>
                <w:noProof/>
                <w:webHidden/>
              </w:rPr>
              <w:fldChar w:fldCharType="begin"/>
            </w:r>
            <w:r>
              <w:rPr>
                <w:noProof/>
                <w:webHidden/>
              </w:rPr>
              <w:instrText xml:space="preserve"> PAGEREF _Toc181992378 \h </w:instrText>
            </w:r>
            <w:r>
              <w:rPr>
                <w:noProof/>
                <w:webHidden/>
              </w:rPr>
            </w:r>
            <w:r>
              <w:rPr>
                <w:noProof/>
                <w:webHidden/>
              </w:rPr>
              <w:fldChar w:fldCharType="separate"/>
            </w:r>
            <w:r>
              <w:rPr>
                <w:noProof/>
                <w:webHidden/>
              </w:rPr>
              <w:t>18</w:t>
            </w:r>
            <w:r>
              <w:rPr>
                <w:noProof/>
                <w:webHidden/>
              </w:rPr>
              <w:fldChar w:fldCharType="end"/>
            </w:r>
          </w:hyperlink>
        </w:p>
        <w:p w14:paraId="099F1007" w14:textId="793C9E5C" w:rsidR="00993E46" w:rsidRDefault="00993E46">
          <w:pPr>
            <w:pStyle w:val="TOC1"/>
            <w:tabs>
              <w:tab w:val="right" w:leader="dot" w:pos="9350"/>
            </w:tabs>
            <w:rPr>
              <w:rFonts w:eastAsiaTheme="minorEastAsia"/>
              <w:noProof/>
              <w:kern w:val="2"/>
              <w:sz w:val="24"/>
              <w:szCs w:val="24"/>
              <w:lang w:eastAsia="en-GB"/>
            </w:rPr>
          </w:pPr>
          <w:hyperlink w:anchor="_Toc181992379" w:history="1">
            <w:r w:rsidRPr="00555C7B">
              <w:rPr>
                <w:rStyle w:val="Hyperlink"/>
                <w:rFonts w:ascii="Arial" w:hAnsi="Arial" w:cs="Arial"/>
                <w:b/>
                <w:bCs/>
                <w:noProof/>
              </w:rPr>
              <w:t>9. Conclusion and Long-Term Potential</w:t>
            </w:r>
            <w:r>
              <w:rPr>
                <w:noProof/>
                <w:webHidden/>
              </w:rPr>
              <w:tab/>
            </w:r>
            <w:r>
              <w:rPr>
                <w:noProof/>
                <w:webHidden/>
              </w:rPr>
              <w:fldChar w:fldCharType="begin"/>
            </w:r>
            <w:r>
              <w:rPr>
                <w:noProof/>
                <w:webHidden/>
              </w:rPr>
              <w:instrText xml:space="preserve"> PAGEREF _Toc181992379 \h </w:instrText>
            </w:r>
            <w:r>
              <w:rPr>
                <w:noProof/>
                <w:webHidden/>
              </w:rPr>
            </w:r>
            <w:r>
              <w:rPr>
                <w:noProof/>
                <w:webHidden/>
              </w:rPr>
              <w:fldChar w:fldCharType="separate"/>
            </w:r>
            <w:r>
              <w:rPr>
                <w:noProof/>
                <w:webHidden/>
              </w:rPr>
              <w:t>18</w:t>
            </w:r>
            <w:r>
              <w:rPr>
                <w:noProof/>
                <w:webHidden/>
              </w:rPr>
              <w:fldChar w:fldCharType="end"/>
            </w:r>
          </w:hyperlink>
        </w:p>
        <w:p w14:paraId="363680F6" w14:textId="74E119B1" w:rsidR="00993E46" w:rsidRDefault="00993E46">
          <w:pPr>
            <w:pStyle w:val="TOC2"/>
            <w:tabs>
              <w:tab w:val="right" w:leader="dot" w:pos="9350"/>
            </w:tabs>
            <w:rPr>
              <w:rFonts w:eastAsiaTheme="minorEastAsia"/>
              <w:noProof/>
              <w:kern w:val="2"/>
              <w:sz w:val="24"/>
              <w:szCs w:val="24"/>
              <w:lang w:eastAsia="en-GB"/>
            </w:rPr>
          </w:pPr>
          <w:hyperlink w:anchor="_Toc181992380" w:history="1">
            <w:r w:rsidRPr="00555C7B">
              <w:rPr>
                <w:rStyle w:val="Hyperlink"/>
                <w:rFonts w:ascii="Arial" w:hAnsi="Arial" w:cs="Arial"/>
                <w:b/>
                <w:bCs/>
                <w:noProof/>
              </w:rPr>
              <w:t>Annual Event Vision and Strategic Potential</w:t>
            </w:r>
            <w:r>
              <w:rPr>
                <w:noProof/>
                <w:webHidden/>
              </w:rPr>
              <w:tab/>
            </w:r>
            <w:r>
              <w:rPr>
                <w:noProof/>
                <w:webHidden/>
              </w:rPr>
              <w:fldChar w:fldCharType="begin"/>
            </w:r>
            <w:r>
              <w:rPr>
                <w:noProof/>
                <w:webHidden/>
              </w:rPr>
              <w:instrText xml:space="preserve"> PAGEREF _Toc181992380 \h </w:instrText>
            </w:r>
            <w:r>
              <w:rPr>
                <w:noProof/>
                <w:webHidden/>
              </w:rPr>
            </w:r>
            <w:r>
              <w:rPr>
                <w:noProof/>
                <w:webHidden/>
              </w:rPr>
              <w:fldChar w:fldCharType="separate"/>
            </w:r>
            <w:r>
              <w:rPr>
                <w:noProof/>
                <w:webHidden/>
              </w:rPr>
              <w:t>18</w:t>
            </w:r>
            <w:r>
              <w:rPr>
                <w:noProof/>
                <w:webHidden/>
              </w:rPr>
              <w:fldChar w:fldCharType="end"/>
            </w:r>
          </w:hyperlink>
        </w:p>
        <w:p w14:paraId="63FE1B7B" w14:textId="10315E12" w:rsidR="00993E46" w:rsidRDefault="00993E46">
          <w:pPr>
            <w:pStyle w:val="TOC2"/>
            <w:tabs>
              <w:tab w:val="right" w:leader="dot" w:pos="9350"/>
            </w:tabs>
            <w:rPr>
              <w:rFonts w:eastAsiaTheme="minorEastAsia"/>
              <w:noProof/>
              <w:kern w:val="2"/>
              <w:sz w:val="24"/>
              <w:szCs w:val="24"/>
              <w:lang w:eastAsia="en-GB"/>
            </w:rPr>
          </w:pPr>
          <w:hyperlink w:anchor="_Toc181992381" w:history="1">
            <w:r w:rsidRPr="00555C7B">
              <w:rPr>
                <w:rStyle w:val="Hyperlink"/>
                <w:rFonts w:ascii="Arial" w:hAnsi="Arial" w:cs="Arial"/>
                <w:b/>
                <w:bCs/>
                <w:noProof/>
              </w:rPr>
              <w:t>Evaluation Metrics</w:t>
            </w:r>
            <w:r>
              <w:rPr>
                <w:noProof/>
                <w:webHidden/>
              </w:rPr>
              <w:tab/>
            </w:r>
            <w:r>
              <w:rPr>
                <w:noProof/>
                <w:webHidden/>
              </w:rPr>
              <w:fldChar w:fldCharType="begin"/>
            </w:r>
            <w:r>
              <w:rPr>
                <w:noProof/>
                <w:webHidden/>
              </w:rPr>
              <w:instrText xml:space="preserve"> PAGEREF _Toc181992381 \h </w:instrText>
            </w:r>
            <w:r>
              <w:rPr>
                <w:noProof/>
                <w:webHidden/>
              </w:rPr>
            </w:r>
            <w:r>
              <w:rPr>
                <w:noProof/>
                <w:webHidden/>
              </w:rPr>
              <w:fldChar w:fldCharType="separate"/>
            </w:r>
            <w:r>
              <w:rPr>
                <w:noProof/>
                <w:webHidden/>
              </w:rPr>
              <w:t>19</w:t>
            </w:r>
            <w:r>
              <w:rPr>
                <w:noProof/>
                <w:webHidden/>
              </w:rPr>
              <w:fldChar w:fldCharType="end"/>
            </w:r>
          </w:hyperlink>
        </w:p>
        <w:p w14:paraId="26712DC7" w14:textId="2D95108E" w:rsidR="00993E46" w:rsidRDefault="00993E46">
          <w:pPr>
            <w:pStyle w:val="TOC2"/>
            <w:tabs>
              <w:tab w:val="right" w:leader="dot" w:pos="9350"/>
            </w:tabs>
            <w:rPr>
              <w:rFonts w:eastAsiaTheme="minorEastAsia"/>
              <w:noProof/>
              <w:kern w:val="2"/>
              <w:sz w:val="24"/>
              <w:szCs w:val="24"/>
              <w:lang w:eastAsia="en-GB"/>
            </w:rPr>
          </w:pPr>
          <w:hyperlink w:anchor="_Toc181992382" w:history="1">
            <w:r w:rsidRPr="00555C7B">
              <w:rPr>
                <w:rStyle w:val="Hyperlink"/>
                <w:rFonts w:ascii="Arial" w:hAnsi="Arial" w:cs="Arial"/>
                <w:b/>
                <w:bCs/>
                <w:noProof/>
              </w:rPr>
              <w:t>Future Opportunities</w:t>
            </w:r>
            <w:r>
              <w:rPr>
                <w:noProof/>
                <w:webHidden/>
              </w:rPr>
              <w:tab/>
            </w:r>
            <w:r>
              <w:rPr>
                <w:noProof/>
                <w:webHidden/>
              </w:rPr>
              <w:fldChar w:fldCharType="begin"/>
            </w:r>
            <w:r>
              <w:rPr>
                <w:noProof/>
                <w:webHidden/>
              </w:rPr>
              <w:instrText xml:space="preserve"> PAGEREF _Toc181992382 \h </w:instrText>
            </w:r>
            <w:r>
              <w:rPr>
                <w:noProof/>
                <w:webHidden/>
              </w:rPr>
            </w:r>
            <w:r>
              <w:rPr>
                <w:noProof/>
                <w:webHidden/>
              </w:rPr>
              <w:fldChar w:fldCharType="separate"/>
            </w:r>
            <w:r>
              <w:rPr>
                <w:noProof/>
                <w:webHidden/>
              </w:rPr>
              <w:t>19</w:t>
            </w:r>
            <w:r>
              <w:rPr>
                <w:noProof/>
                <w:webHidden/>
              </w:rPr>
              <w:fldChar w:fldCharType="end"/>
            </w:r>
          </w:hyperlink>
        </w:p>
        <w:p w14:paraId="5EF5FAF1" w14:textId="728D0A0D" w:rsidR="00993E46" w:rsidRDefault="00993E46">
          <w:pPr>
            <w:pStyle w:val="TOC1"/>
            <w:tabs>
              <w:tab w:val="right" w:leader="dot" w:pos="9350"/>
            </w:tabs>
            <w:rPr>
              <w:rFonts w:eastAsiaTheme="minorEastAsia"/>
              <w:noProof/>
              <w:kern w:val="2"/>
              <w:sz w:val="24"/>
              <w:szCs w:val="24"/>
              <w:lang w:eastAsia="en-GB"/>
            </w:rPr>
          </w:pPr>
          <w:hyperlink w:anchor="_Toc181992383" w:history="1">
            <w:r w:rsidRPr="00555C7B">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_Toc181992383 \h </w:instrText>
            </w:r>
            <w:r>
              <w:rPr>
                <w:noProof/>
                <w:webHidden/>
              </w:rPr>
            </w:r>
            <w:r>
              <w:rPr>
                <w:noProof/>
                <w:webHidden/>
              </w:rPr>
              <w:fldChar w:fldCharType="separate"/>
            </w:r>
            <w:r>
              <w:rPr>
                <w:noProof/>
                <w:webHidden/>
              </w:rPr>
              <w:t>20</w:t>
            </w:r>
            <w:r>
              <w:rPr>
                <w:noProof/>
                <w:webHidden/>
              </w:rPr>
              <w:fldChar w:fldCharType="end"/>
            </w:r>
          </w:hyperlink>
        </w:p>
        <w:p w14:paraId="1DA8CC9D" w14:textId="16B6DAD4" w:rsidR="00993E46" w:rsidRDefault="00993E46">
          <w:pPr>
            <w:pStyle w:val="TOC2"/>
            <w:tabs>
              <w:tab w:val="right" w:leader="dot" w:pos="9350"/>
            </w:tabs>
            <w:rPr>
              <w:rFonts w:eastAsiaTheme="minorEastAsia"/>
              <w:noProof/>
              <w:kern w:val="2"/>
              <w:sz w:val="24"/>
              <w:szCs w:val="24"/>
              <w:lang w:eastAsia="en-GB"/>
            </w:rPr>
          </w:pPr>
          <w:hyperlink w:anchor="_Toc181992384" w:history="1">
            <w:r w:rsidRPr="00555C7B">
              <w:rPr>
                <w:rStyle w:val="Hyperlink"/>
                <w:rFonts w:ascii="Arial" w:hAnsi="Arial" w:cs="Arial"/>
                <w:b/>
                <w:bCs/>
                <w:noProof/>
              </w:rPr>
              <w:t>Appendix A</w:t>
            </w:r>
            <w:r>
              <w:rPr>
                <w:noProof/>
                <w:webHidden/>
              </w:rPr>
              <w:tab/>
            </w:r>
            <w:r>
              <w:rPr>
                <w:noProof/>
                <w:webHidden/>
              </w:rPr>
              <w:fldChar w:fldCharType="begin"/>
            </w:r>
            <w:r>
              <w:rPr>
                <w:noProof/>
                <w:webHidden/>
              </w:rPr>
              <w:instrText xml:space="preserve"> PAGEREF _Toc181992384 \h </w:instrText>
            </w:r>
            <w:r>
              <w:rPr>
                <w:noProof/>
                <w:webHidden/>
              </w:rPr>
            </w:r>
            <w:r>
              <w:rPr>
                <w:noProof/>
                <w:webHidden/>
              </w:rPr>
              <w:fldChar w:fldCharType="separate"/>
            </w:r>
            <w:r>
              <w:rPr>
                <w:noProof/>
                <w:webHidden/>
              </w:rPr>
              <w:t>20</w:t>
            </w:r>
            <w:r>
              <w:rPr>
                <w:noProof/>
                <w:webHidden/>
              </w:rPr>
              <w:fldChar w:fldCharType="end"/>
            </w:r>
          </w:hyperlink>
        </w:p>
        <w:p w14:paraId="6FBE6D70" w14:textId="15A4FDC6" w:rsidR="00993E46" w:rsidRDefault="00993E46">
          <w:pPr>
            <w:pStyle w:val="TOC2"/>
            <w:tabs>
              <w:tab w:val="right" w:leader="dot" w:pos="9350"/>
            </w:tabs>
            <w:rPr>
              <w:rFonts w:eastAsiaTheme="minorEastAsia"/>
              <w:noProof/>
              <w:kern w:val="2"/>
              <w:sz w:val="24"/>
              <w:szCs w:val="24"/>
              <w:lang w:eastAsia="en-GB"/>
            </w:rPr>
          </w:pPr>
          <w:hyperlink w:anchor="_Toc181992385" w:history="1">
            <w:r w:rsidRPr="00555C7B">
              <w:rPr>
                <w:rStyle w:val="Hyperlink"/>
                <w:rFonts w:ascii="Arial" w:hAnsi="Arial" w:cs="Arial"/>
                <w:b/>
                <w:bCs/>
                <w:noProof/>
              </w:rPr>
              <w:t>Appendix B</w:t>
            </w:r>
            <w:r>
              <w:rPr>
                <w:noProof/>
                <w:webHidden/>
              </w:rPr>
              <w:tab/>
            </w:r>
            <w:r>
              <w:rPr>
                <w:noProof/>
                <w:webHidden/>
              </w:rPr>
              <w:fldChar w:fldCharType="begin"/>
            </w:r>
            <w:r>
              <w:rPr>
                <w:noProof/>
                <w:webHidden/>
              </w:rPr>
              <w:instrText xml:space="preserve"> PAGEREF _Toc181992385 \h </w:instrText>
            </w:r>
            <w:r>
              <w:rPr>
                <w:noProof/>
                <w:webHidden/>
              </w:rPr>
            </w:r>
            <w:r>
              <w:rPr>
                <w:noProof/>
                <w:webHidden/>
              </w:rPr>
              <w:fldChar w:fldCharType="separate"/>
            </w:r>
            <w:r>
              <w:rPr>
                <w:noProof/>
                <w:webHidden/>
              </w:rPr>
              <w:t>21</w:t>
            </w:r>
            <w:r>
              <w:rPr>
                <w:noProof/>
                <w:webHidden/>
              </w:rPr>
              <w:fldChar w:fldCharType="end"/>
            </w:r>
          </w:hyperlink>
        </w:p>
        <w:p w14:paraId="777949AF" w14:textId="05729F6A" w:rsidR="00993E46" w:rsidRDefault="00993E46">
          <w:pPr>
            <w:pStyle w:val="TOC2"/>
            <w:tabs>
              <w:tab w:val="right" w:leader="dot" w:pos="9350"/>
            </w:tabs>
            <w:rPr>
              <w:rFonts w:eastAsiaTheme="minorEastAsia"/>
              <w:noProof/>
              <w:kern w:val="2"/>
              <w:sz w:val="24"/>
              <w:szCs w:val="24"/>
              <w:lang w:eastAsia="en-GB"/>
            </w:rPr>
          </w:pPr>
          <w:hyperlink w:anchor="_Toc181992386" w:history="1">
            <w:r w:rsidRPr="00555C7B">
              <w:rPr>
                <w:rStyle w:val="Hyperlink"/>
                <w:rFonts w:ascii="Arial" w:hAnsi="Arial" w:cs="Arial"/>
                <w:b/>
                <w:bCs/>
                <w:noProof/>
              </w:rPr>
              <w:t>Appendix C</w:t>
            </w:r>
            <w:r>
              <w:rPr>
                <w:noProof/>
                <w:webHidden/>
              </w:rPr>
              <w:tab/>
            </w:r>
            <w:r>
              <w:rPr>
                <w:noProof/>
                <w:webHidden/>
              </w:rPr>
              <w:fldChar w:fldCharType="begin"/>
            </w:r>
            <w:r>
              <w:rPr>
                <w:noProof/>
                <w:webHidden/>
              </w:rPr>
              <w:instrText xml:space="preserve"> PAGEREF _Toc181992386 \h </w:instrText>
            </w:r>
            <w:r>
              <w:rPr>
                <w:noProof/>
                <w:webHidden/>
              </w:rPr>
            </w:r>
            <w:r>
              <w:rPr>
                <w:noProof/>
                <w:webHidden/>
              </w:rPr>
              <w:fldChar w:fldCharType="separate"/>
            </w:r>
            <w:r>
              <w:rPr>
                <w:noProof/>
                <w:webHidden/>
              </w:rPr>
              <w:t>22</w:t>
            </w:r>
            <w:r>
              <w:rPr>
                <w:noProof/>
                <w:webHidden/>
              </w:rPr>
              <w:fldChar w:fldCharType="end"/>
            </w:r>
          </w:hyperlink>
        </w:p>
        <w:p w14:paraId="030CC347" w14:textId="03F77583" w:rsidR="00993E46" w:rsidRDefault="00993E46">
          <w:pPr>
            <w:pStyle w:val="TOC2"/>
            <w:tabs>
              <w:tab w:val="right" w:leader="dot" w:pos="9350"/>
            </w:tabs>
            <w:rPr>
              <w:rFonts w:eastAsiaTheme="minorEastAsia"/>
              <w:noProof/>
              <w:kern w:val="2"/>
              <w:sz w:val="24"/>
              <w:szCs w:val="24"/>
              <w:lang w:eastAsia="en-GB"/>
            </w:rPr>
          </w:pPr>
          <w:hyperlink w:anchor="_Toc181992387" w:history="1">
            <w:r w:rsidRPr="00555C7B">
              <w:rPr>
                <w:rStyle w:val="Hyperlink"/>
                <w:rFonts w:ascii="Arial" w:hAnsi="Arial" w:cs="Arial"/>
                <w:b/>
                <w:bCs/>
                <w:noProof/>
              </w:rPr>
              <w:t>Appendix D</w:t>
            </w:r>
            <w:r>
              <w:rPr>
                <w:noProof/>
                <w:webHidden/>
              </w:rPr>
              <w:tab/>
            </w:r>
            <w:r>
              <w:rPr>
                <w:noProof/>
                <w:webHidden/>
              </w:rPr>
              <w:fldChar w:fldCharType="begin"/>
            </w:r>
            <w:r>
              <w:rPr>
                <w:noProof/>
                <w:webHidden/>
              </w:rPr>
              <w:instrText xml:space="preserve"> PAGEREF _Toc181992387 \h </w:instrText>
            </w:r>
            <w:r>
              <w:rPr>
                <w:noProof/>
                <w:webHidden/>
              </w:rPr>
            </w:r>
            <w:r>
              <w:rPr>
                <w:noProof/>
                <w:webHidden/>
              </w:rPr>
              <w:fldChar w:fldCharType="separate"/>
            </w:r>
            <w:r>
              <w:rPr>
                <w:noProof/>
                <w:webHidden/>
              </w:rPr>
              <w:t>22</w:t>
            </w:r>
            <w:r>
              <w:rPr>
                <w:noProof/>
                <w:webHidden/>
              </w:rPr>
              <w:fldChar w:fldCharType="end"/>
            </w:r>
          </w:hyperlink>
        </w:p>
        <w:p w14:paraId="1BAC2248" w14:textId="12187A02" w:rsidR="00993E46" w:rsidRDefault="00993E46">
          <w:pPr>
            <w:pStyle w:val="TOC2"/>
            <w:tabs>
              <w:tab w:val="right" w:leader="dot" w:pos="9350"/>
            </w:tabs>
            <w:rPr>
              <w:rFonts w:eastAsiaTheme="minorEastAsia"/>
              <w:noProof/>
              <w:kern w:val="2"/>
              <w:sz w:val="24"/>
              <w:szCs w:val="24"/>
              <w:lang w:eastAsia="en-GB"/>
            </w:rPr>
          </w:pPr>
          <w:hyperlink w:anchor="_Toc181992388" w:history="1">
            <w:r w:rsidRPr="00555C7B">
              <w:rPr>
                <w:rStyle w:val="Hyperlink"/>
                <w:rFonts w:ascii="Arial" w:hAnsi="Arial" w:cs="Arial"/>
                <w:b/>
                <w:bCs/>
                <w:noProof/>
              </w:rPr>
              <w:t>Appendix E</w:t>
            </w:r>
            <w:r>
              <w:rPr>
                <w:noProof/>
                <w:webHidden/>
              </w:rPr>
              <w:tab/>
            </w:r>
            <w:r>
              <w:rPr>
                <w:noProof/>
                <w:webHidden/>
              </w:rPr>
              <w:fldChar w:fldCharType="begin"/>
            </w:r>
            <w:r>
              <w:rPr>
                <w:noProof/>
                <w:webHidden/>
              </w:rPr>
              <w:instrText xml:space="preserve"> PAGEREF _Toc181992388 \h </w:instrText>
            </w:r>
            <w:r>
              <w:rPr>
                <w:noProof/>
                <w:webHidden/>
              </w:rPr>
            </w:r>
            <w:r>
              <w:rPr>
                <w:noProof/>
                <w:webHidden/>
              </w:rPr>
              <w:fldChar w:fldCharType="separate"/>
            </w:r>
            <w:r>
              <w:rPr>
                <w:noProof/>
                <w:webHidden/>
              </w:rPr>
              <w:t>23</w:t>
            </w:r>
            <w:r>
              <w:rPr>
                <w:noProof/>
                <w:webHidden/>
              </w:rPr>
              <w:fldChar w:fldCharType="end"/>
            </w:r>
          </w:hyperlink>
        </w:p>
        <w:p w14:paraId="35ABF36F" w14:textId="40E8DE91" w:rsidR="00993E46" w:rsidRDefault="00993E46">
          <w:pPr>
            <w:pStyle w:val="TOC1"/>
            <w:tabs>
              <w:tab w:val="right" w:leader="dot" w:pos="9350"/>
            </w:tabs>
            <w:rPr>
              <w:rFonts w:eastAsiaTheme="minorEastAsia"/>
              <w:noProof/>
              <w:kern w:val="2"/>
              <w:sz w:val="24"/>
              <w:szCs w:val="24"/>
              <w:lang w:eastAsia="en-GB"/>
            </w:rPr>
          </w:pPr>
          <w:hyperlink w:anchor="_Toc181992389" w:history="1">
            <w:r w:rsidRPr="00555C7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_Toc181992389 \h </w:instrText>
            </w:r>
            <w:r>
              <w:rPr>
                <w:noProof/>
                <w:webHidden/>
              </w:rPr>
            </w:r>
            <w:r>
              <w:rPr>
                <w:noProof/>
                <w:webHidden/>
              </w:rPr>
              <w:fldChar w:fldCharType="separate"/>
            </w:r>
            <w:r>
              <w:rPr>
                <w:noProof/>
                <w:webHidden/>
              </w:rPr>
              <w:t>25</w:t>
            </w:r>
            <w:r>
              <w:rPr>
                <w:noProof/>
                <w:webHidden/>
              </w:rPr>
              <w:fldChar w:fldCharType="end"/>
            </w:r>
          </w:hyperlink>
        </w:p>
        <w:p w14:paraId="393CCE94" w14:textId="20A6BA8C" w:rsidR="00993E46" w:rsidRDefault="00993E46">
          <w:r>
            <w:rPr>
              <w:b/>
              <w:bCs/>
              <w:noProof/>
            </w:rPr>
            <w:fldChar w:fldCharType="end"/>
          </w:r>
        </w:p>
      </w:sdtContent>
    </w:sdt>
    <w:p w14:paraId="38938DFB" w14:textId="77777777" w:rsidR="006A4B2D" w:rsidRPr="002B5902" w:rsidRDefault="006A4B2D" w:rsidP="002B5902">
      <w:pPr>
        <w:spacing w:line="360" w:lineRule="auto"/>
        <w:jc w:val="both"/>
        <w:rPr>
          <w:rFonts w:ascii="Arial" w:hAnsi="Arial" w:cs="Arial"/>
          <w:b/>
          <w:bCs/>
          <w:sz w:val="24"/>
          <w:szCs w:val="24"/>
        </w:rPr>
      </w:pPr>
    </w:p>
    <w:p w14:paraId="07C62A71" w14:textId="77777777" w:rsidR="006A4B2D" w:rsidRPr="002B5902" w:rsidRDefault="006A4B2D" w:rsidP="002B5902">
      <w:pPr>
        <w:spacing w:line="360" w:lineRule="auto"/>
        <w:jc w:val="both"/>
        <w:rPr>
          <w:rFonts w:ascii="Arial" w:hAnsi="Arial" w:cs="Arial"/>
          <w:b/>
          <w:bCs/>
          <w:sz w:val="24"/>
          <w:szCs w:val="24"/>
        </w:rPr>
      </w:pPr>
    </w:p>
    <w:p w14:paraId="195317AA" w14:textId="77777777" w:rsidR="006A4B2D" w:rsidRPr="002B5902" w:rsidRDefault="006A4B2D" w:rsidP="002B5902">
      <w:pPr>
        <w:spacing w:line="360" w:lineRule="auto"/>
        <w:jc w:val="both"/>
        <w:rPr>
          <w:rFonts w:ascii="Arial" w:hAnsi="Arial" w:cs="Arial"/>
          <w:b/>
          <w:bCs/>
          <w:sz w:val="24"/>
          <w:szCs w:val="24"/>
        </w:rPr>
      </w:pPr>
    </w:p>
    <w:p w14:paraId="088C186F" w14:textId="77777777" w:rsidR="006A4B2D" w:rsidRPr="002B5902" w:rsidRDefault="006A4B2D" w:rsidP="002B5902">
      <w:pPr>
        <w:spacing w:line="360" w:lineRule="auto"/>
        <w:jc w:val="both"/>
        <w:rPr>
          <w:rFonts w:ascii="Arial" w:hAnsi="Arial" w:cs="Arial"/>
          <w:b/>
          <w:bCs/>
          <w:sz w:val="24"/>
          <w:szCs w:val="24"/>
        </w:rPr>
      </w:pPr>
    </w:p>
    <w:p w14:paraId="5C58F56F" w14:textId="77777777" w:rsidR="006A4B2D" w:rsidRPr="002B5902" w:rsidRDefault="006A4B2D" w:rsidP="002B5902">
      <w:pPr>
        <w:spacing w:line="360" w:lineRule="auto"/>
        <w:jc w:val="both"/>
        <w:rPr>
          <w:rFonts w:ascii="Arial" w:hAnsi="Arial" w:cs="Arial"/>
          <w:b/>
          <w:bCs/>
          <w:sz w:val="24"/>
          <w:szCs w:val="24"/>
        </w:rPr>
      </w:pPr>
    </w:p>
    <w:p w14:paraId="525FE98F" w14:textId="77777777" w:rsidR="006A4B2D" w:rsidRPr="002B5902" w:rsidRDefault="006A4B2D" w:rsidP="002B5902">
      <w:pPr>
        <w:spacing w:line="360" w:lineRule="auto"/>
        <w:jc w:val="both"/>
        <w:rPr>
          <w:rFonts w:ascii="Arial" w:hAnsi="Arial" w:cs="Arial"/>
          <w:b/>
          <w:bCs/>
          <w:sz w:val="24"/>
          <w:szCs w:val="24"/>
        </w:rPr>
      </w:pPr>
    </w:p>
    <w:p w14:paraId="64784524" w14:textId="77777777" w:rsidR="006A4B2D" w:rsidRPr="002B5902" w:rsidRDefault="006A4B2D" w:rsidP="002B5902">
      <w:pPr>
        <w:spacing w:line="360" w:lineRule="auto"/>
        <w:jc w:val="both"/>
        <w:rPr>
          <w:rFonts w:ascii="Arial" w:hAnsi="Arial" w:cs="Arial"/>
          <w:b/>
          <w:bCs/>
          <w:sz w:val="24"/>
          <w:szCs w:val="24"/>
        </w:rPr>
      </w:pPr>
    </w:p>
    <w:p w14:paraId="5FB09824" w14:textId="77777777" w:rsidR="004B3751" w:rsidRPr="002B5902" w:rsidRDefault="004B3751" w:rsidP="002B5902">
      <w:pPr>
        <w:spacing w:line="360" w:lineRule="auto"/>
        <w:jc w:val="both"/>
        <w:rPr>
          <w:rFonts w:ascii="Arial" w:hAnsi="Arial" w:cs="Arial"/>
          <w:b/>
          <w:bCs/>
          <w:sz w:val="24"/>
          <w:szCs w:val="24"/>
        </w:rPr>
      </w:pPr>
      <w:r w:rsidRPr="002B5902">
        <w:rPr>
          <w:rFonts w:ascii="Arial" w:hAnsi="Arial" w:cs="Arial"/>
          <w:noProof/>
          <w:sz w:val="24"/>
          <w:szCs w:val="24"/>
        </w:rPr>
        <w:drawing>
          <wp:inline distT="0" distB="0" distL="0" distR="0" wp14:anchorId="1BAF4BB3" wp14:editId="5758CE4B">
            <wp:extent cx="5943600" cy="3335020"/>
            <wp:effectExtent l="0" t="0" r="0" b="0"/>
            <wp:docPr id="936789656" name="Picture 12" descr="Lake Tahoe Corporate Events | Heavenly Ski Re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Lake Tahoe Corporate Events | Heavenly Ski Reso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35020"/>
                    </a:xfrm>
                    <a:prstGeom prst="rect">
                      <a:avLst/>
                    </a:prstGeom>
                    <a:noFill/>
                    <a:ln>
                      <a:noFill/>
                    </a:ln>
                  </pic:spPr>
                </pic:pic>
              </a:graphicData>
            </a:graphic>
          </wp:inline>
        </w:drawing>
      </w:r>
    </w:p>
    <w:p w14:paraId="232E95DA" w14:textId="04EEFEC6" w:rsidR="000D5D25" w:rsidRPr="00993E46" w:rsidRDefault="000D5D25" w:rsidP="00993E46">
      <w:pPr>
        <w:pStyle w:val="Heading1"/>
        <w:rPr>
          <w:rStyle w:val="Heading1Char"/>
          <w:rFonts w:ascii="Arial" w:hAnsi="Arial" w:cs="Arial"/>
          <w:b/>
          <w:bCs/>
          <w:color w:val="auto"/>
          <w:sz w:val="28"/>
          <w:szCs w:val="28"/>
        </w:rPr>
      </w:pPr>
      <w:bookmarkStart w:id="1" w:name="_Toc181992333"/>
      <w:r w:rsidRPr="00993E46">
        <w:rPr>
          <w:rFonts w:ascii="Arial" w:hAnsi="Arial" w:cs="Arial"/>
          <w:b/>
          <w:bCs/>
          <w:color w:val="auto"/>
          <w:sz w:val="28"/>
          <w:szCs w:val="28"/>
        </w:rPr>
        <w:t xml:space="preserve">1. </w:t>
      </w:r>
      <w:r w:rsidRPr="00993E46">
        <w:rPr>
          <w:rStyle w:val="Heading1Char"/>
          <w:rFonts w:ascii="Arial" w:hAnsi="Arial" w:cs="Arial"/>
          <w:b/>
          <w:bCs/>
          <w:color w:val="auto"/>
          <w:sz w:val="28"/>
          <w:szCs w:val="28"/>
        </w:rPr>
        <w:t>Introduction and Event Overview</w:t>
      </w:r>
      <w:bookmarkEnd w:id="1"/>
    </w:p>
    <w:p w14:paraId="0B4DFE08" w14:textId="031BB84F" w:rsidR="00EE67C4" w:rsidRPr="002B5902" w:rsidRDefault="00EE67C4" w:rsidP="002B5902">
      <w:pPr>
        <w:spacing w:line="360" w:lineRule="auto"/>
        <w:jc w:val="both"/>
        <w:rPr>
          <w:rFonts w:ascii="Arial" w:hAnsi="Arial" w:cs="Arial"/>
          <w:sz w:val="24"/>
          <w:szCs w:val="24"/>
        </w:rPr>
      </w:pPr>
      <w:r w:rsidRPr="002B5902">
        <w:rPr>
          <w:rFonts w:ascii="Arial" w:hAnsi="Arial" w:cs="Arial"/>
          <w:sz w:val="24"/>
          <w:szCs w:val="24"/>
        </w:rPr>
        <w:t xml:space="preserve">The Oracle Winter Summit is a purposeful corporate retreat to improve leadership, collaboration, and teamwork </w:t>
      </w:r>
      <w:r w:rsidR="00D07F2C">
        <w:rPr>
          <w:rFonts w:ascii="Arial" w:hAnsi="Arial" w:cs="Arial"/>
          <w:sz w:val="24"/>
          <w:szCs w:val="24"/>
        </w:rPr>
        <w:t>for</w:t>
      </w:r>
      <w:r w:rsidRPr="002B5902">
        <w:rPr>
          <w:rFonts w:ascii="Arial" w:hAnsi="Arial" w:cs="Arial"/>
          <w:sz w:val="24"/>
          <w:szCs w:val="24"/>
        </w:rPr>
        <w:t xml:space="preserve"> Oracle's senior executives and high-achieving employees. This winter-themed event at the Cairngorm Mountain Resort integrates experiential learning with networking and leisure, specifically crafted </w:t>
      </w:r>
      <w:r w:rsidR="00877D46">
        <w:rPr>
          <w:rFonts w:ascii="Arial" w:hAnsi="Arial" w:cs="Arial"/>
          <w:sz w:val="24"/>
          <w:szCs w:val="24"/>
        </w:rPr>
        <w:t>to</w:t>
      </w:r>
      <w:r w:rsidRPr="002B5902">
        <w:rPr>
          <w:rFonts w:ascii="Arial" w:hAnsi="Arial" w:cs="Arial"/>
          <w:sz w:val="24"/>
          <w:szCs w:val="24"/>
        </w:rPr>
        <w:t xml:space="preserve"> stimulate creativity and innovation. The Summit employs the EMBOK (Event Management Body of Knowledge) framework, utilising a systematic approach across essential domains such as marketing, operations, and risk management </w:t>
      </w:r>
      <w:r w:rsidR="00487E6E">
        <w:rPr>
          <w:rFonts w:ascii="Arial" w:hAnsi="Arial" w:cs="Arial"/>
          <w:sz w:val="24"/>
          <w:szCs w:val="24"/>
        </w:rPr>
        <w:t>to</w:t>
      </w:r>
      <w:r w:rsidRPr="002B5902">
        <w:rPr>
          <w:rFonts w:ascii="Arial" w:hAnsi="Arial" w:cs="Arial"/>
          <w:sz w:val="24"/>
          <w:szCs w:val="24"/>
        </w:rPr>
        <w:t xml:space="preserve"> ensure a </w:t>
      </w:r>
      <w:proofErr w:type="gramStart"/>
      <w:r w:rsidRPr="002B5902">
        <w:rPr>
          <w:rFonts w:ascii="Arial" w:hAnsi="Arial" w:cs="Arial"/>
          <w:sz w:val="24"/>
          <w:szCs w:val="24"/>
        </w:rPr>
        <w:t>high-impact</w:t>
      </w:r>
      <w:proofErr w:type="gramEnd"/>
      <w:r w:rsidRPr="002B5902">
        <w:rPr>
          <w:rFonts w:ascii="Arial" w:hAnsi="Arial" w:cs="Arial"/>
          <w:sz w:val="24"/>
          <w:szCs w:val="24"/>
        </w:rPr>
        <w:t>, flawlessly executed event. The Summit, through focused programming and adaptive strategies, aligns with Oracle's dedication to ongoing enhancement and leadership excellence, seeking to position the Summit as a notable annual event in the technology sector.</w:t>
      </w:r>
    </w:p>
    <w:p w14:paraId="00D2A4E8" w14:textId="77777777" w:rsidR="00263A0E" w:rsidRPr="002B5902" w:rsidRDefault="00263A0E" w:rsidP="002B5902">
      <w:pPr>
        <w:spacing w:line="360" w:lineRule="auto"/>
        <w:jc w:val="both"/>
        <w:rPr>
          <w:rFonts w:ascii="Arial" w:hAnsi="Arial" w:cs="Arial"/>
          <w:vanish/>
          <w:sz w:val="24"/>
          <w:szCs w:val="24"/>
        </w:rPr>
      </w:pPr>
      <w:r w:rsidRPr="002B5902">
        <w:rPr>
          <w:rFonts w:ascii="Arial" w:hAnsi="Arial" w:cs="Arial"/>
          <w:vanish/>
          <w:sz w:val="24"/>
          <w:szCs w:val="24"/>
        </w:rPr>
        <w:lastRenderedPageBreak/>
        <w:t>Top of Form</w:t>
      </w:r>
    </w:p>
    <w:p w14:paraId="2C0D0637" w14:textId="77777777" w:rsidR="00263A0E" w:rsidRPr="002B5902" w:rsidRDefault="00263A0E" w:rsidP="002B5902">
      <w:pPr>
        <w:spacing w:line="360" w:lineRule="auto"/>
        <w:jc w:val="both"/>
        <w:rPr>
          <w:rFonts w:ascii="Arial" w:hAnsi="Arial" w:cs="Arial"/>
          <w:vanish/>
          <w:sz w:val="24"/>
          <w:szCs w:val="24"/>
        </w:rPr>
      </w:pPr>
      <w:r w:rsidRPr="002B5902">
        <w:rPr>
          <w:rFonts w:ascii="Arial" w:hAnsi="Arial" w:cs="Arial"/>
          <w:vanish/>
          <w:sz w:val="24"/>
          <w:szCs w:val="24"/>
        </w:rPr>
        <w:t>Bottom of Form</w:t>
      </w:r>
    </w:p>
    <w:p w14:paraId="78E760DF" w14:textId="77777777" w:rsidR="00305CE5" w:rsidRDefault="00EC7F00" w:rsidP="002B5902">
      <w:pPr>
        <w:spacing w:line="360" w:lineRule="auto"/>
        <w:jc w:val="both"/>
        <w:rPr>
          <w:rFonts w:ascii="Arial" w:hAnsi="Arial" w:cs="Arial"/>
          <w:b/>
          <w:bCs/>
          <w:sz w:val="24"/>
          <w:szCs w:val="24"/>
        </w:rPr>
      </w:pPr>
      <w:r w:rsidRPr="002B5902">
        <w:rPr>
          <w:rFonts w:ascii="Arial" w:hAnsi="Arial" w:cs="Arial"/>
          <w:b/>
          <w:bCs/>
          <w:sz w:val="24"/>
          <w:szCs w:val="24"/>
        </w:rPr>
        <w:br/>
      </w:r>
      <w:r w:rsidRPr="002B5902">
        <w:rPr>
          <w:rFonts w:ascii="Arial" w:hAnsi="Arial" w:cs="Arial"/>
          <w:b/>
          <w:bCs/>
          <w:sz w:val="24"/>
          <w:szCs w:val="24"/>
        </w:rPr>
        <w:br/>
      </w:r>
    </w:p>
    <w:p w14:paraId="3BD4B77F" w14:textId="77777777" w:rsidR="00305CE5" w:rsidRDefault="00305CE5" w:rsidP="002B5902">
      <w:pPr>
        <w:spacing w:line="360" w:lineRule="auto"/>
        <w:jc w:val="both"/>
        <w:rPr>
          <w:rFonts w:ascii="Arial" w:hAnsi="Arial" w:cs="Arial"/>
          <w:b/>
          <w:bCs/>
          <w:sz w:val="24"/>
          <w:szCs w:val="24"/>
        </w:rPr>
      </w:pPr>
    </w:p>
    <w:p w14:paraId="4B56B709" w14:textId="53F9EFB4" w:rsidR="00FC5426" w:rsidRPr="00993E46" w:rsidRDefault="00305CE5" w:rsidP="00993E46">
      <w:pPr>
        <w:pStyle w:val="Heading1"/>
        <w:rPr>
          <w:rFonts w:ascii="Arial" w:hAnsi="Arial" w:cs="Arial"/>
          <w:b/>
          <w:bCs/>
          <w:sz w:val="28"/>
          <w:szCs w:val="28"/>
        </w:rPr>
      </w:pPr>
      <w:bookmarkStart w:id="2" w:name="_Toc181992334"/>
      <w:r w:rsidRPr="00993E46">
        <w:rPr>
          <w:rFonts w:ascii="Arial" w:hAnsi="Arial" w:cs="Arial"/>
          <w:b/>
          <w:bCs/>
          <w:noProof/>
          <w:color w:val="auto"/>
          <w:sz w:val="28"/>
          <w:szCs w:val="28"/>
        </w:rPr>
        <w:drawing>
          <wp:anchor distT="0" distB="0" distL="114300" distR="114300" simplePos="0" relativeHeight="251661312" behindDoc="0" locked="0" layoutInCell="1" allowOverlap="1" wp14:anchorId="7C10FF94" wp14:editId="59D345F3">
            <wp:simplePos x="0" y="0"/>
            <wp:positionH relativeFrom="margin">
              <wp:align>left</wp:align>
            </wp:positionH>
            <wp:positionV relativeFrom="paragraph">
              <wp:posOffset>367665</wp:posOffset>
            </wp:positionV>
            <wp:extent cx="3948430" cy="2635885"/>
            <wp:effectExtent l="0" t="0" r="0" b="0"/>
            <wp:wrapSquare wrapText="bothSides"/>
            <wp:docPr id="2047736835" name="Picture 11" descr="Red Hot Travel &amp; Events | Corporate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Red Hot Travel &amp; Events | Corporate Even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48430" cy="26358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5426" w:rsidRPr="00993E46">
        <w:rPr>
          <w:rFonts w:ascii="Arial" w:hAnsi="Arial" w:cs="Arial"/>
          <w:b/>
          <w:bCs/>
          <w:color w:val="auto"/>
          <w:sz w:val="28"/>
          <w:szCs w:val="28"/>
        </w:rPr>
        <w:t xml:space="preserve">2. </w:t>
      </w:r>
      <w:r w:rsidR="00FC5426" w:rsidRPr="00993E46">
        <w:rPr>
          <w:rStyle w:val="Heading1Char"/>
          <w:rFonts w:ascii="Arial" w:hAnsi="Arial" w:cs="Arial"/>
          <w:b/>
          <w:bCs/>
          <w:color w:val="auto"/>
          <w:sz w:val="28"/>
          <w:szCs w:val="28"/>
        </w:rPr>
        <w:t>Market Analysis and Target Audience</w:t>
      </w:r>
      <w:bookmarkEnd w:id="2"/>
      <w:r w:rsidR="00FC5426" w:rsidRPr="00993E46">
        <w:rPr>
          <w:rFonts w:ascii="Arial" w:hAnsi="Arial" w:cs="Arial"/>
          <w:b/>
          <w:bCs/>
          <w:color w:val="auto"/>
          <w:sz w:val="28"/>
          <w:szCs w:val="28"/>
        </w:rPr>
        <w:t xml:space="preserve"> </w:t>
      </w:r>
    </w:p>
    <w:p w14:paraId="1BBC7F7A" w14:textId="77777777" w:rsidR="00305CE5" w:rsidRPr="0050640B" w:rsidRDefault="00E32C82" w:rsidP="0050640B">
      <w:pPr>
        <w:pStyle w:val="Heading2"/>
        <w:rPr>
          <w:rFonts w:ascii="Arial" w:hAnsi="Arial" w:cs="Arial"/>
          <w:b/>
          <w:bCs/>
          <w:color w:val="auto"/>
          <w:sz w:val="24"/>
          <w:szCs w:val="24"/>
        </w:rPr>
      </w:pPr>
      <w:bookmarkStart w:id="3" w:name="_Toc181992335"/>
      <w:r w:rsidRPr="0050640B">
        <w:rPr>
          <w:rFonts w:ascii="Arial" w:hAnsi="Arial" w:cs="Arial"/>
          <w:b/>
          <w:bCs/>
          <w:color w:val="auto"/>
          <w:sz w:val="24"/>
          <w:szCs w:val="24"/>
        </w:rPr>
        <w:t>Target Audience and Segmentation</w:t>
      </w:r>
      <w:bookmarkEnd w:id="3"/>
    </w:p>
    <w:p w14:paraId="130AE346" w14:textId="6513D79A" w:rsidR="00E32C82" w:rsidRPr="002B5902" w:rsidRDefault="00BB14A0" w:rsidP="002B5902">
      <w:pPr>
        <w:spacing w:line="360" w:lineRule="auto"/>
        <w:jc w:val="both"/>
        <w:rPr>
          <w:rFonts w:ascii="Arial" w:hAnsi="Arial" w:cs="Arial"/>
          <w:sz w:val="24"/>
          <w:szCs w:val="24"/>
        </w:rPr>
      </w:pPr>
      <w:r w:rsidRPr="002B5902">
        <w:rPr>
          <w:rFonts w:ascii="Arial" w:hAnsi="Arial" w:cs="Arial"/>
          <w:sz w:val="24"/>
          <w:szCs w:val="24"/>
        </w:rPr>
        <w:t xml:space="preserve">The Oracle Winter Summit aims to engage senior leaders, mid-level managers, and high-performing employees in alignment with Oracle's strategic objectives of promoting leadership and collaboration. Corporate retreats, particularly in the post-pandemic context, are essential for refreshing team dynamics and adjusting to hybrid work environments that frequently weaken interpersonal </w:t>
      </w:r>
      <w:r w:rsidR="00877D46">
        <w:rPr>
          <w:rFonts w:ascii="Arial" w:hAnsi="Arial" w:cs="Arial"/>
          <w:sz w:val="24"/>
          <w:szCs w:val="24"/>
        </w:rPr>
        <w:t>connections</w:t>
      </w:r>
      <w:r w:rsidRPr="002B5902">
        <w:rPr>
          <w:rFonts w:ascii="Arial" w:hAnsi="Arial" w:cs="Arial"/>
          <w:sz w:val="24"/>
          <w:szCs w:val="24"/>
        </w:rPr>
        <w:t xml:space="preserve"> (Yoon and Wang, 2023). Oracle's focus on executive engagement matches identified industry requirements, as retreats</w:t>
      </w:r>
      <w:r w:rsidR="00487E6E">
        <w:rPr>
          <w:rFonts w:ascii="Arial" w:hAnsi="Arial" w:cs="Arial"/>
          <w:sz w:val="24"/>
          <w:szCs w:val="24"/>
        </w:rPr>
        <w:t>,</w:t>
      </w:r>
      <w:r w:rsidRPr="002B5902">
        <w:rPr>
          <w:rFonts w:ascii="Arial" w:hAnsi="Arial" w:cs="Arial"/>
          <w:sz w:val="24"/>
          <w:szCs w:val="24"/>
        </w:rPr>
        <w:t xml:space="preserve"> have a reputation for solidifying team identity, fostering innovative thought, and boosting leadership skills (</w:t>
      </w:r>
      <w:proofErr w:type="spellStart"/>
      <w:r w:rsidRPr="002B5902">
        <w:rPr>
          <w:rFonts w:ascii="Arial" w:hAnsi="Arial" w:cs="Arial"/>
          <w:sz w:val="24"/>
          <w:szCs w:val="24"/>
        </w:rPr>
        <w:t>Mongkhonvanit</w:t>
      </w:r>
      <w:proofErr w:type="spellEnd"/>
      <w:r w:rsidRPr="002B5902">
        <w:rPr>
          <w:rFonts w:ascii="Arial" w:hAnsi="Arial" w:cs="Arial"/>
          <w:sz w:val="24"/>
          <w:szCs w:val="24"/>
        </w:rPr>
        <w:t xml:space="preserve"> and </w:t>
      </w:r>
      <w:proofErr w:type="spellStart"/>
      <w:r w:rsidRPr="002B5902">
        <w:rPr>
          <w:rFonts w:ascii="Arial" w:hAnsi="Arial" w:cs="Arial"/>
          <w:sz w:val="24"/>
          <w:szCs w:val="24"/>
        </w:rPr>
        <w:t>Chattiwong</w:t>
      </w:r>
      <w:proofErr w:type="spellEnd"/>
      <w:r w:rsidRPr="002B5902">
        <w:rPr>
          <w:rFonts w:ascii="Arial" w:hAnsi="Arial" w:cs="Arial"/>
          <w:sz w:val="24"/>
          <w:szCs w:val="24"/>
        </w:rPr>
        <w:t xml:space="preserve">, 2017). The Marketing Domain of EMBOK </w:t>
      </w:r>
      <w:r w:rsidR="00566F27" w:rsidRPr="002B5902">
        <w:rPr>
          <w:rFonts w:ascii="Arial" w:hAnsi="Arial" w:cs="Arial"/>
          <w:sz w:val="24"/>
          <w:szCs w:val="24"/>
        </w:rPr>
        <w:t xml:space="preserve">(See Appendix </w:t>
      </w:r>
      <w:r w:rsidR="0019184C" w:rsidRPr="002B5902">
        <w:rPr>
          <w:rFonts w:ascii="Arial" w:hAnsi="Arial" w:cs="Arial"/>
          <w:sz w:val="24"/>
          <w:szCs w:val="24"/>
        </w:rPr>
        <w:t xml:space="preserve">E) </w:t>
      </w:r>
      <w:r w:rsidRPr="002B5902">
        <w:rPr>
          <w:rFonts w:ascii="Arial" w:hAnsi="Arial" w:cs="Arial"/>
          <w:sz w:val="24"/>
          <w:szCs w:val="24"/>
        </w:rPr>
        <w:t>provides a systematic framework for identifying and targeting segments through targeted strategies in Marketing Planning, Public Relations, Sponsorship, and Sales, ensuring consistency with Oracle's general goals (Silvers, 2007</w:t>
      </w:r>
      <w:r w:rsidR="00734F25" w:rsidRPr="002B5902">
        <w:rPr>
          <w:rFonts w:ascii="Arial" w:hAnsi="Arial" w:cs="Arial"/>
          <w:sz w:val="24"/>
          <w:szCs w:val="24"/>
        </w:rPr>
        <w:t xml:space="preserve"> </w:t>
      </w:r>
      <w:r w:rsidR="002E46BB" w:rsidRPr="002B5902">
        <w:rPr>
          <w:rFonts w:ascii="Arial" w:hAnsi="Arial" w:cs="Arial"/>
          <w:sz w:val="24"/>
          <w:szCs w:val="24"/>
        </w:rPr>
        <w:t>Bowdin et al., 2010</w:t>
      </w:r>
      <w:r w:rsidRPr="002B5902">
        <w:rPr>
          <w:rFonts w:ascii="Arial" w:hAnsi="Arial" w:cs="Arial"/>
          <w:sz w:val="24"/>
          <w:szCs w:val="24"/>
        </w:rPr>
        <w:t>).</w:t>
      </w:r>
    </w:p>
    <w:p w14:paraId="2A3E3F1F" w14:textId="77777777" w:rsidR="00305CE5" w:rsidRPr="0050640B" w:rsidRDefault="00E32C82" w:rsidP="0050640B">
      <w:pPr>
        <w:pStyle w:val="Heading2"/>
        <w:rPr>
          <w:rFonts w:ascii="Arial" w:hAnsi="Arial" w:cs="Arial"/>
          <w:b/>
          <w:bCs/>
          <w:color w:val="auto"/>
          <w:sz w:val="24"/>
          <w:szCs w:val="24"/>
        </w:rPr>
      </w:pPr>
      <w:bookmarkStart w:id="4" w:name="_Toc181992336"/>
      <w:r w:rsidRPr="0050640B">
        <w:rPr>
          <w:rFonts w:ascii="Arial" w:hAnsi="Arial" w:cs="Arial"/>
          <w:b/>
          <w:bCs/>
          <w:color w:val="auto"/>
          <w:sz w:val="24"/>
          <w:szCs w:val="24"/>
        </w:rPr>
        <w:t>Demand and Trends in the MICE Industry</w:t>
      </w:r>
      <w:bookmarkEnd w:id="4"/>
    </w:p>
    <w:p w14:paraId="23BDB206" w14:textId="77D767E8" w:rsidR="00E32C82" w:rsidRPr="002B5902" w:rsidRDefault="00B61179" w:rsidP="002B5902">
      <w:pPr>
        <w:spacing w:line="360" w:lineRule="auto"/>
        <w:jc w:val="both"/>
        <w:rPr>
          <w:rFonts w:ascii="Arial" w:hAnsi="Arial" w:cs="Arial"/>
          <w:sz w:val="24"/>
          <w:szCs w:val="24"/>
        </w:rPr>
      </w:pPr>
      <w:r w:rsidRPr="002B5902">
        <w:rPr>
          <w:rFonts w:ascii="Arial" w:hAnsi="Arial" w:cs="Arial"/>
          <w:sz w:val="24"/>
          <w:szCs w:val="24"/>
        </w:rPr>
        <w:t>The MICE (Meetings, Incentives, Conferences, and Exhibitions) sector has demonstrated resilience and adaptability in response to disruptions such as the COVID-19 pandemic, with a growing demand for events that integrate business and leisure to address comprehensive employee needs (</w:t>
      </w:r>
      <w:proofErr w:type="spellStart"/>
      <w:r w:rsidRPr="002B5902">
        <w:rPr>
          <w:rFonts w:ascii="Arial" w:hAnsi="Arial" w:cs="Arial"/>
          <w:sz w:val="24"/>
          <w:szCs w:val="24"/>
        </w:rPr>
        <w:t>Aburumman</w:t>
      </w:r>
      <w:proofErr w:type="spellEnd"/>
      <w:r w:rsidRPr="002B5902">
        <w:rPr>
          <w:rFonts w:ascii="Arial" w:hAnsi="Arial" w:cs="Arial"/>
          <w:sz w:val="24"/>
          <w:szCs w:val="24"/>
        </w:rPr>
        <w:t xml:space="preserve">, 2020). This trend promotes a transition </w:t>
      </w:r>
      <w:r w:rsidRPr="002B5902">
        <w:rPr>
          <w:rFonts w:ascii="Arial" w:hAnsi="Arial" w:cs="Arial"/>
          <w:sz w:val="24"/>
          <w:szCs w:val="24"/>
        </w:rPr>
        <w:lastRenderedPageBreak/>
        <w:t>towards experiential and hybrid events that accommodate professional development and recreation (Pakarinen and Hoods, 2018). EMBOK's marketing principles augment Oracle's capacity to capitalise on this trend by organising the Winter Summit as a cohesive experience that addresses the psychological and social requirements of corporate teams, thereby solidifying the event's distinctive position within the MICE sector (</w:t>
      </w:r>
      <w:proofErr w:type="spellStart"/>
      <w:r w:rsidRPr="002B5902">
        <w:rPr>
          <w:rFonts w:ascii="Arial" w:hAnsi="Arial" w:cs="Arial"/>
          <w:sz w:val="24"/>
          <w:szCs w:val="24"/>
        </w:rPr>
        <w:t>Ramely</w:t>
      </w:r>
      <w:proofErr w:type="spellEnd"/>
      <w:r w:rsidRPr="002B5902">
        <w:rPr>
          <w:rFonts w:ascii="Arial" w:hAnsi="Arial" w:cs="Arial"/>
          <w:sz w:val="24"/>
          <w:szCs w:val="24"/>
        </w:rPr>
        <w:t xml:space="preserve"> et al., 2024).</w:t>
      </w:r>
    </w:p>
    <w:p w14:paraId="09D8A4F3" w14:textId="77777777" w:rsidR="00305CE5" w:rsidRPr="0050640B" w:rsidRDefault="00E32C82" w:rsidP="0050640B">
      <w:pPr>
        <w:pStyle w:val="Heading2"/>
        <w:rPr>
          <w:rFonts w:ascii="Arial" w:hAnsi="Arial" w:cs="Arial"/>
          <w:b/>
          <w:bCs/>
          <w:color w:val="auto"/>
          <w:sz w:val="24"/>
          <w:szCs w:val="24"/>
        </w:rPr>
      </w:pPr>
      <w:bookmarkStart w:id="5" w:name="_Toc181992337"/>
      <w:r w:rsidRPr="0050640B">
        <w:rPr>
          <w:rFonts w:ascii="Arial" w:hAnsi="Arial" w:cs="Arial"/>
          <w:b/>
          <w:bCs/>
          <w:color w:val="auto"/>
          <w:sz w:val="24"/>
          <w:szCs w:val="24"/>
        </w:rPr>
        <w:t>Competitor Analysis and Differentiation</w:t>
      </w:r>
      <w:bookmarkEnd w:id="5"/>
    </w:p>
    <w:p w14:paraId="3F634F7F" w14:textId="2BFD1173" w:rsidR="00E32C82" w:rsidRPr="002B5902" w:rsidRDefault="003C0A7E" w:rsidP="002B5902">
      <w:pPr>
        <w:spacing w:line="360" w:lineRule="auto"/>
        <w:jc w:val="both"/>
        <w:rPr>
          <w:rFonts w:ascii="Arial" w:hAnsi="Arial" w:cs="Arial"/>
          <w:sz w:val="24"/>
          <w:szCs w:val="24"/>
        </w:rPr>
      </w:pPr>
      <w:r w:rsidRPr="002B5902">
        <w:rPr>
          <w:rFonts w:ascii="Arial" w:hAnsi="Arial" w:cs="Arial"/>
          <w:sz w:val="24"/>
          <w:szCs w:val="24"/>
        </w:rPr>
        <w:t>Oracle's event could </w:t>
      </w:r>
      <w:r w:rsidR="008B24F5">
        <w:rPr>
          <w:rFonts w:ascii="Arial" w:hAnsi="Arial" w:cs="Arial"/>
          <w:sz w:val="24"/>
          <w:szCs w:val="24"/>
        </w:rPr>
        <w:t>rival</w:t>
      </w:r>
      <w:r w:rsidRPr="002B5902">
        <w:rPr>
          <w:rFonts w:ascii="Arial" w:hAnsi="Arial" w:cs="Arial"/>
          <w:sz w:val="24"/>
          <w:szCs w:val="24"/>
        </w:rPr>
        <w:t xml:space="preserve"> prominent winter resorts in the Alps and opulent UK establishments such as Gleneagles. Its distinctive value proposition resides in </w:t>
      </w:r>
      <w:r w:rsidR="008B24F5">
        <w:rPr>
          <w:rFonts w:ascii="Arial" w:hAnsi="Arial" w:cs="Arial"/>
          <w:sz w:val="24"/>
          <w:szCs w:val="24"/>
        </w:rPr>
        <w:t>integrating</w:t>
      </w:r>
      <w:r w:rsidRPr="002B5902">
        <w:rPr>
          <w:rFonts w:ascii="Arial" w:hAnsi="Arial" w:cs="Arial"/>
          <w:sz w:val="24"/>
          <w:szCs w:val="24"/>
        </w:rPr>
        <w:t xml:space="preserve"> advanced leadership workshops with exclusive winter activities, setting the Summit apart as a harmonious fusion of professional development and recreation (</w:t>
      </w:r>
      <w:r w:rsidR="00877D46">
        <w:rPr>
          <w:rFonts w:ascii="Arial" w:hAnsi="Arial" w:cs="Arial"/>
          <w:sz w:val="24"/>
          <w:szCs w:val="24"/>
        </w:rPr>
        <w:t>Xian-Yong</w:t>
      </w:r>
      <w:r w:rsidRPr="002B5902">
        <w:rPr>
          <w:rFonts w:ascii="Arial" w:hAnsi="Arial" w:cs="Arial"/>
          <w:sz w:val="24"/>
          <w:szCs w:val="24"/>
        </w:rPr>
        <w:t>, 2010). In contrast to competitors that prioritise luxury or leisure, Oracle's leadership-centric strategy corresponds with EMBOK's focus on generating value-driven events, targeting market deficiencies where immersive leadership programs are frequently absent in winter environments (An, Kim and Hur, 2021).</w:t>
      </w:r>
    </w:p>
    <w:p w14:paraId="4E2DD8B6" w14:textId="105C45BA" w:rsidR="00101DEC" w:rsidRPr="0050640B" w:rsidRDefault="00E32C82" w:rsidP="0050640B">
      <w:pPr>
        <w:pStyle w:val="Heading2"/>
        <w:rPr>
          <w:rFonts w:ascii="Arial" w:hAnsi="Arial" w:cs="Arial"/>
          <w:b/>
          <w:bCs/>
          <w:color w:val="auto"/>
          <w:sz w:val="24"/>
          <w:szCs w:val="24"/>
        </w:rPr>
      </w:pPr>
      <w:bookmarkStart w:id="6" w:name="_Toc181992338"/>
      <w:r w:rsidRPr="0050640B">
        <w:rPr>
          <w:rFonts w:ascii="Arial" w:hAnsi="Arial" w:cs="Arial"/>
          <w:b/>
          <w:bCs/>
          <w:color w:val="auto"/>
          <w:sz w:val="24"/>
          <w:szCs w:val="24"/>
        </w:rPr>
        <w:t>Market Gaps and Strategic Positioning</w:t>
      </w:r>
      <w:bookmarkEnd w:id="6"/>
    </w:p>
    <w:p w14:paraId="79144C91" w14:textId="2B582881" w:rsidR="00C527C1" w:rsidRPr="002B5902" w:rsidRDefault="00101DEC" w:rsidP="002B5902">
      <w:pPr>
        <w:spacing w:line="360" w:lineRule="auto"/>
        <w:jc w:val="both"/>
        <w:rPr>
          <w:rFonts w:ascii="Arial" w:hAnsi="Arial" w:cs="Arial"/>
          <w:sz w:val="24"/>
          <w:szCs w:val="24"/>
        </w:rPr>
      </w:pPr>
      <w:r w:rsidRPr="002B5902">
        <w:rPr>
          <w:rFonts w:ascii="Arial" w:hAnsi="Arial" w:cs="Arial"/>
          <w:sz w:val="24"/>
          <w:szCs w:val="24"/>
        </w:rPr>
        <w:t xml:space="preserve">The Oracle Winter Summit </w:t>
      </w:r>
      <w:r w:rsidR="008B24F5">
        <w:rPr>
          <w:rFonts w:ascii="Arial" w:hAnsi="Arial" w:cs="Arial"/>
          <w:sz w:val="24"/>
          <w:szCs w:val="24"/>
        </w:rPr>
        <w:t>capitalises</w:t>
      </w:r>
      <w:r w:rsidRPr="002B5902">
        <w:rPr>
          <w:rFonts w:ascii="Arial" w:hAnsi="Arial" w:cs="Arial"/>
          <w:sz w:val="24"/>
          <w:szCs w:val="24"/>
        </w:rPr>
        <w:t xml:space="preserve"> on market gaps by offering a leadership-centric program in a unique winter setting. This approach, supported by EMBOK’s Marketing Domain, focuses on </w:t>
      </w:r>
      <w:proofErr w:type="gramStart"/>
      <w:r w:rsidRPr="002B5902">
        <w:rPr>
          <w:rFonts w:ascii="Arial" w:hAnsi="Arial" w:cs="Arial"/>
          <w:sz w:val="24"/>
          <w:szCs w:val="24"/>
        </w:rPr>
        <w:t>team-building</w:t>
      </w:r>
      <w:proofErr w:type="gramEnd"/>
      <w:r w:rsidRPr="002B5902">
        <w:rPr>
          <w:rFonts w:ascii="Arial" w:hAnsi="Arial" w:cs="Arial"/>
          <w:sz w:val="24"/>
          <w:szCs w:val="24"/>
        </w:rPr>
        <w:t xml:space="preserve"> and leadership in a non-traditional environment, differentiating the Summit from typical corporate getaways that lack substantive leadership content. It aligns with growing industry trends towards experiential learning and resilience-building exercises, supporting Oracle’s positioning within the MICE sector’s evolving focus on </w:t>
      </w:r>
      <w:r w:rsidR="00877D46">
        <w:rPr>
          <w:rFonts w:ascii="Arial" w:hAnsi="Arial" w:cs="Arial"/>
          <w:sz w:val="24"/>
          <w:szCs w:val="24"/>
        </w:rPr>
        <w:t>personalised</w:t>
      </w:r>
      <w:r w:rsidRPr="002B5902">
        <w:rPr>
          <w:rFonts w:ascii="Arial" w:hAnsi="Arial" w:cs="Arial"/>
          <w:sz w:val="24"/>
          <w:szCs w:val="24"/>
        </w:rPr>
        <w:t xml:space="preserve"> corporate experiences (Halim et al., 2023; Silvers, 2007).</w:t>
      </w:r>
    </w:p>
    <w:p w14:paraId="12436965" w14:textId="77777777" w:rsidR="00305CE5" w:rsidRDefault="00305CE5" w:rsidP="002B5902">
      <w:pPr>
        <w:spacing w:line="360" w:lineRule="auto"/>
        <w:jc w:val="both"/>
        <w:rPr>
          <w:rFonts w:ascii="Arial" w:hAnsi="Arial" w:cs="Arial"/>
          <w:b/>
          <w:bCs/>
          <w:sz w:val="24"/>
          <w:szCs w:val="24"/>
        </w:rPr>
      </w:pPr>
    </w:p>
    <w:p w14:paraId="0B51D0AC" w14:textId="77777777" w:rsidR="00305CE5" w:rsidRDefault="00305CE5" w:rsidP="002B5902">
      <w:pPr>
        <w:spacing w:line="360" w:lineRule="auto"/>
        <w:jc w:val="both"/>
        <w:rPr>
          <w:rFonts w:ascii="Arial" w:hAnsi="Arial" w:cs="Arial"/>
          <w:b/>
          <w:bCs/>
          <w:sz w:val="24"/>
          <w:szCs w:val="24"/>
        </w:rPr>
      </w:pPr>
    </w:p>
    <w:p w14:paraId="28443029" w14:textId="77777777" w:rsidR="00305CE5" w:rsidRDefault="00305CE5" w:rsidP="002B5902">
      <w:pPr>
        <w:spacing w:line="360" w:lineRule="auto"/>
        <w:jc w:val="both"/>
        <w:rPr>
          <w:rFonts w:ascii="Arial" w:hAnsi="Arial" w:cs="Arial"/>
          <w:b/>
          <w:bCs/>
          <w:sz w:val="24"/>
          <w:szCs w:val="24"/>
        </w:rPr>
      </w:pPr>
    </w:p>
    <w:p w14:paraId="0664037E" w14:textId="77777777" w:rsidR="00305CE5" w:rsidRDefault="00305CE5" w:rsidP="002B5902">
      <w:pPr>
        <w:spacing w:line="360" w:lineRule="auto"/>
        <w:jc w:val="both"/>
        <w:rPr>
          <w:rFonts w:ascii="Arial" w:hAnsi="Arial" w:cs="Arial"/>
          <w:b/>
          <w:bCs/>
          <w:sz w:val="24"/>
          <w:szCs w:val="24"/>
        </w:rPr>
      </w:pPr>
    </w:p>
    <w:p w14:paraId="3CB8ACF1" w14:textId="77777777" w:rsidR="00305CE5" w:rsidRDefault="00305CE5" w:rsidP="002B5902">
      <w:pPr>
        <w:spacing w:line="360" w:lineRule="auto"/>
        <w:jc w:val="both"/>
        <w:rPr>
          <w:rFonts w:ascii="Arial" w:hAnsi="Arial" w:cs="Arial"/>
          <w:b/>
          <w:bCs/>
          <w:sz w:val="24"/>
          <w:szCs w:val="24"/>
        </w:rPr>
      </w:pPr>
    </w:p>
    <w:p w14:paraId="16852C48" w14:textId="77777777" w:rsidR="00305CE5" w:rsidRDefault="00305CE5" w:rsidP="002B5902">
      <w:pPr>
        <w:spacing w:line="360" w:lineRule="auto"/>
        <w:jc w:val="both"/>
        <w:rPr>
          <w:rFonts w:ascii="Arial" w:hAnsi="Arial" w:cs="Arial"/>
          <w:b/>
          <w:bCs/>
          <w:sz w:val="24"/>
          <w:szCs w:val="24"/>
        </w:rPr>
      </w:pPr>
    </w:p>
    <w:p w14:paraId="4524380E" w14:textId="77777777" w:rsidR="00305CE5" w:rsidRDefault="00305CE5" w:rsidP="002B5902">
      <w:pPr>
        <w:spacing w:line="360" w:lineRule="auto"/>
        <w:jc w:val="both"/>
        <w:rPr>
          <w:rFonts w:ascii="Arial" w:hAnsi="Arial" w:cs="Arial"/>
          <w:b/>
          <w:bCs/>
          <w:sz w:val="24"/>
          <w:szCs w:val="24"/>
        </w:rPr>
      </w:pPr>
    </w:p>
    <w:p w14:paraId="3759C32E" w14:textId="0E008613" w:rsidR="00A34E5A" w:rsidRPr="00993E46" w:rsidRDefault="00A34E5A" w:rsidP="00993E46">
      <w:pPr>
        <w:pStyle w:val="Heading1"/>
        <w:rPr>
          <w:rFonts w:ascii="Arial" w:hAnsi="Arial" w:cs="Arial"/>
          <w:b/>
          <w:bCs/>
          <w:color w:val="auto"/>
          <w:sz w:val="28"/>
          <w:szCs w:val="28"/>
        </w:rPr>
      </w:pPr>
      <w:bookmarkStart w:id="7" w:name="_Toc181992339"/>
      <w:r w:rsidRPr="00993E46">
        <w:rPr>
          <w:rFonts w:ascii="Arial" w:hAnsi="Arial" w:cs="Arial"/>
          <w:b/>
          <w:bCs/>
          <w:color w:val="auto"/>
          <w:sz w:val="28"/>
          <w:szCs w:val="28"/>
        </w:rPr>
        <w:t xml:space="preserve">3. </w:t>
      </w:r>
      <w:r w:rsidRPr="00993E46">
        <w:rPr>
          <w:rStyle w:val="Heading1Char"/>
          <w:rFonts w:ascii="Arial" w:hAnsi="Arial" w:cs="Arial"/>
          <w:b/>
          <w:bCs/>
          <w:color w:val="auto"/>
          <w:sz w:val="28"/>
          <w:szCs w:val="28"/>
        </w:rPr>
        <w:t>Operational Logistics</w:t>
      </w:r>
      <w:bookmarkEnd w:id="7"/>
      <w:r w:rsidRPr="00993E46">
        <w:rPr>
          <w:rFonts w:ascii="Arial" w:hAnsi="Arial" w:cs="Arial"/>
          <w:b/>
          <w:bCs/>
          <w:color w:val="auto"/>
          <w:sz w:val="28"/>
          <w:szCs w:val="28"/>
        </w:rPr>
        <w:t xml:space="preserve"> </w:t>
      </w:r>
    </w:p>
    <w:p w14:paraId="30DE72D2" w14:textId="77777777" w:rsidR="00305CE5" w:rsidRPr="00716297" w:rsidRDefault="00412293" w:rsidP="00716297">
      <w:pPr>
        <w:pStyle w:val="Heading2"/>
        <w:rPr>
          <w:rFonts w:ascii="Arial" w:hAnsi="Arial" w:cs="Arial"/>
          <w:b/>
          <w:bCs/>
          <w:sz w:val="24"/>
          <w:szCs w:val="24"/>
        </w:rPr>
      </w:pPr>
      <w:bookmarkStart w:id="8" w:name="_Toc181992340"/>
      <w:r w:rsidRPr="00716297">
        <w:rPr>
          <w:rFonts w:ascii="Arial" w:hAnsi="Arial" w:cs="Arial"/>
          <w:b/>
          <w:bCs/>
          <w:noProof/>
          <w:color w:val="auto"/>
          <w:sz w:val="24"/>
          <w:szCs w:val="24"/>
        </w:rPr>
        <w:drawing>
          <wp:anchor distT="0" distB="0" distL="114300" distR="114300" simplePos="0" relativeHeight="251660288" behindDoc="0" locked="0" layoutInCell="1" allowOverlap="1" wp14:anchorId="5A6F3B6E" wp14:editId="151FE3BA">
            <wp:simplePos x="0" y="0"/>
            <wp:positionH relativeFrom="margin">
              <wp:align>right</wp:align>
            </wp:positionH>
            <wp:positionV relativeFrom="paragraph">
              <wp:posOffset>441424</wp:posOffset>
            </wp:positionV>
            <wp:extent cx="3340127" cy="1923803"/>
            <wp:effectExtent l="0" t="0" r="0" b="635"/>
            <wp:wrapSquare wrapText="bothSides"/>
            <wp:docPr id="548777411" name="Picture 10" descr="MACDONALD AVIEMORE RESORT - Updated 2024 Reviews, Photos &amp;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MACDONALD AVIEMORE RESORT - Updated 2024 Reviews, Photos &amp; Pri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0127" cy="1923803"/>
                    </a:xfrm>
                    <a:prstGeom prst="rect">
                      <a:avLst/>
                    </a:prstGeom>
                    <a:noFill/>
                    <a:ln>
                      <a:noFill/>
                    </a:ln>
                  </pic:spPr>
                </pic:pic>
              </a:graphicData>
            </a:graphic>
          </wp:anchor>
        </w:drawing>
      </w:r>
      <w:r w:rsidR="0022487C" w:rsidRPr="00716297">
        <w:rPr>
          <w:rFonts w:ascii="Arial" w:hAnsi="Arial" w:cs="Arial"/>
          <w:b/>
          <w:bCs/>
          <w:color w:val="auto"/>
          <w:sz w:val="24"/>
          <w:szCs w:val="24"/>
        </w:rPr>
        <w:t>Venue Overview</w:t>
      </w:r>
      <w:bookmarkEnd w:id="8"/>
    </w:p>
    <w:p w14:paraId="6C6934D0" w14:textId="45C37583" w:rsidR="0022487C" w:rsidRPr="002B5902" w:rsidRDefault="00D07F2C" w:rsidP="002B5902">
      <w:pPr>
        <w:spacing w:line="360" w:lineRule="auto"/>
        <w:jc w:val="both"/>
        <w:rPr>
          <w:rFonts w:ascii="Arial" w:hAnsi="Arial" w:cs="Arial"/>
          <w:sz w:val="24"/>
          <w:szCs w:val="24"/>
        </w:rPr>
      </w:pPr>
      <w:r>
        <w:rPr>
          <w:rFonts w:ascii="Arial" w:hAnsi="Arial" w:cs="Arial"/>
          <w:sz w:val="24"/>
          <w:szCs w:val="24"/>
        </w:rPr>
        <w:t>To</w:t>
      </w:r>
      <w:r w:rsidR="00004A0D" w:rsidRPr="002B5902">
        <w:rPr>
          <w:rFonts w:ascii="Arial" w:hAnsi="Arial" w:cs="Arial"/>
          <w:sz w:val="24"/>
          <w:szCs w:val="24"/>
        </w:rPr>
        <w:t xml:space="preserve"> support the Oracle Winter </w:t>
      </w:r>
      <w:r w:rsidR="00877D46">
        <w:rPr>
          <w:rFonts w:ascii="Arial" w:hAnsi="Arial" w:cs="Arial"/>
          <w:sz w:val="24"/>
          <w:szCs w:val="24"/>
        </w:rPr>
        <w:t xml:space="preserve">Summit's dual focus on leadership development and </w:t>
      </w:r>
      <w:proofErr w:type="gramStart"/>
      <w:r w:rsidR="00877D46">
        <w:rPr>
          <w:rFonts w:ascii="Arial" w:hAnsi="Arial" w:cs="Arial"/>
          <w:sz w:val="24"/>
          <w:szCs w:val="24"/>
        </w:rPr>
        <w:t>team-building</w:t>
      </w:r>
      <w:proofErr w:type="gramEnd"/>
      <w:r w:rsidR="00877D46">
        <w:rPr>
          <w:rFonts w:ascii="Arial" w:hAnsi="Arial" w:cs="Arial"/>
          <w:sz w:val="24"/>
          <w:szCs w:val="24"/>
        </w:rPr>
        <w:t xml:space="preserve"> through experiential learning, the Cairngorm Mountain Resort in Aviemore, Scotland, was carefully chosen for this occasion</w:t>
      </w:r>
      <w:r w:rsidR="00004A0D" w:rsidRPr="002B5902">
        <w:rPr>
          <w:rFonts w:ascii="Arial" w:hAnsi="Arial" w:cs="Arial"/>
          <w:sz w:val="24"/>
          <w:szCs w:val="24"/>
        </w:rPr>
        <w:t xml:space="preserve">. It combines professional meeting infrastructure, stylish lodging, and winter sports offerings. This corresponds with the Operations Domain of the EMBOK framework, </w:t>
      </w:r>
      <w:r>
        <w:rPr>
          <w:rFonts w:ascii="Arial" w:hAnsi="Arial" w:cs="Arial"/>
          <w:sz w:val="24"/>
          <w:szCs w:val="24"/>
        </w:rPr>
        <w:t>highlighting</w:t>
      </w:r>
      <w:r w:rsidR="00004A0D" w:rsidRPr="002B5902">
        <w:rPr>
          <w:rFonts w:ascii="Arial" w:hAnsi="Arial" w:cs="Arial"/>
          <w:sz w:val="24"/>
          <w:szCs w:val="24"/>
        </w:rPr>
        <w:t xml:space="preserve"> the effective management of logistics and venue facilities to fulfil participant expectations (Silvers, 2007</w:t>
      </w:r>
      <w:r w:rsidR="00EA1473" w:rsidRPr="002B5902">
        <w:rPr>
          <w:rFonts w:ascii="Arial" w:hAnsi="Arial" w:cs="Arial"/>
          <w:sz w:val="24"/>
          <w:szCs w:val="24"/>
        </w:rPr>
        <w:t>; Bowdin et al., 2010</w:t>
      </w:r>
      <w:r w:rsidR="00004A0D" w:rsidRPr="002B5902">
        <w:rPr>
          <w:rFonts w:ascii="Arial" w:hAnsi="Arial" w:cs="Arial"/>
          <w:sz w:val="24"/>
          <w:szCs w:val="24"/>
        </w:rPr>
        <w:t xml:space="preserve">). The venue's infrastructure supports various programs, such as workshops, fireside discussions, and outdoor excursions, providing a </w:t>
      </w:r>
      <w:r>
        <w:rPr>
          <w:rFonts w:ascii="Arial" w:hAnsi="Arial" w:cs="Arial"/>
          <w:sz w:val="24"/>
          <w:szCs w:val="24"/>
        </w:rPr>
        <w:t>solid</w:t>
      </w:r>
      <w:r w:rsidR="00004A0D" w:rsidRPr="002B5902">
        <w:rPr>
          <w:rFonts w:ascii="Arial" w:hAnsi="Arial" w:cs="Arial"/>
          <w:sz w:val="24"/>
          <w:szCs w:val="24"/>
        </w:rPr>
        <w:t xml:space="preserve"> environment for corporate activities (Holden, 1998).</w:t>
      </w:r>
    </w:p>
    <w:p w14:paraId="7F9BF4C2" w14:textId="77777777" w:rsidR="00305CE5" w:rsidRPr="00716297" w:rsidRDefault="0022487C" w:rsidP="00716297">
      <w:pPr>
        <w:pStyle w:val="Heading2"/>
        <w:rPr>
          <w:rFonts w:ascii="Arial" w:hAnsi="Arial" w:cs="Arial"/>
          <w:b/>
          <w:bCs/>
          <w:color w:val="auto"/>
          <w:sz w:val="24"/>
          <w:szCs w:val="24"/>
        </w:rPr>
      </w:pPr>
      <w:bookmarkStart w:id="9" w:name="_Toc181992341"/>
      <w:r w:rsidRPr="00716297">
        <w:rPr>
          <w:rFonts w:ascii="Arial" w:hAnsi="Arial" w:cs="Arial"/>
          <w:b/>
          <w:bCs/>
          <w:color w:val="auto"/>
          <w:sz w:val="24"/>
          <w:szCs w:val="24"/>
        </w:rPr>
        <w:t>Venue Considerations</w:t>
      </w:r>
      <w:bookmarkEnd w:id="9"/>
    </w:p>
    <w:p w14:paraId="1B1C09A0" w14:textId="4B1F89FB" w:rsidR="0022487C" w:rsidRPr="002B5902" w:rsidRDefault="00D969C5" w:rsidP="002B5902">
      <w:pPr>
        <w:spacing w:line="360" w:lineRule="auto"/>
        <w:jc w:val="both"/>
        <w:rPr>
          <w:rFonts w:ascii="Arial" w:hAnsi="Arial" w:cs="Arial"/>
          <w:sz w:val="24"/>
          <w:szCs w:val="24"/>
        </w:rPr>
      </w:pPr>
      <w:r w:rsidRPr="002B5902">
        <w:rPr>
          <w:rFonts w:ascii="Arial" w:hAnsi="Arial" w:cs="Arial"/>
          <w:sz w:val="24"/>
          <w:szCs w:val="24"/>
        </w:rPr>
        <w:t xml:space="preserve">Accessibility is </w:t>
      </w:r>
      <w:r w:rsidR="00D07F2C">
        <w:rPr>
          <w:rFonts w:ascii="Arial" w:hAnsi="Arial" w:cs="Arial"/>
          <w:sz w:val="24"/>
          <w:szCs w:val="24"/>
        </w:rPr>
        <w:t xml:space="preserve">crucial </w:t>
      </w:r>
      <w:r w:rsidRPr="002B5902">
        <w:rPr>
          <w:rFonts w:ascii="Arial" w:hAnsi="Arial" w:cs="Arial"/>
          <w:sz w:val="24"/>
          <w:szCs w:val="24"/>
        </w:rPr>
        <w:t xml:space="preserve">in choosing Cairngorm Mountain Resort due to its closeness to Inverness Airport and significant rail connections, rendering it suitable for corporate events (Sugden, 1968). Premium accommodations fulfil the comfort requirements of Oracle's senior executives, while modern audiovisual technology and dependable Wi-Fi are crucial for effective presentations and uninterrupted connectivity (Nolan, 2020). EMBOK's focus on </w:t>
      </w:r>
      <w:r w:rsidR="00877D46">
        <w:rPr>
          <w:rFonts w:ascii="Arial" w:hAnsi="Arial" w:cs="Arial"/>
          <w:sz w:val="24"/>
          <w:szCs w:val="24"/>
        </w:rPr>
        <w:t>technical support within the operations domain corresponds with these factors, guaranteeing the availability of technical resources to facilitate dynamic workshops and interactive sessions effectively</w:t>
      </w:r>
      <w:r w:rsidRPr="002B5902">
        <w:rPr>
          <w:rFonts w:ascii="Arial" w:hAnsi="Arial" w:cs="Arial"/>
          <w:sz w:val="24"/>
          <w:szCs w:val="24"/>
        </w:rPr>
        <w:t>.</w:t>
      </w:r>
    </w:p>
    <w:p w14:paraId="617D935D" w14:textId="7ECD68F5" w:rsidR="00EA1881" w:rsidRPr="00716297" w:rsidRDefault="00FF48C7" w:rsidP="00716297">
      <w:pPr>
        <w:pStyle w:val="Heading2"/>
        <w:rPr>
          <w:rFonts w:ascii="Arial" w:hAnsi="Arial" w:cs="Arial"/>
          <w:b/>
          <w:bCs/>
          <w:color w:val="auto"/>
          <w:sz w:val="24"/>
          <w:szCs w:val="24"/>
        </w:rPr>
      </w:pPr>
      <w:bookmarkStart w:id="10" w:name="_Toc181992342"/>
      <w:r w:rsidRPr="00716297">
        <w:rPr>
          <w:rFonts w:ascii="Arial" w:hAnsi="Arial" w:cs="Arial"/>
          <w:b/>
          <w:bCs/>
          <w:color w:val="auto"/>
          <w:sz w:val="24"/>
          <w:szCs w:val="24"/>
        </w:rPr>
        <w:t>Health and Safety, Accessibility, and Inclusivity</w:t>
      </w:r>
      <w:bookmarkEnd w:id="10"/>
    </w:p>
    <w:p w14:paraId="70321C3F" w14:textId="42F62D39" w:rsidR="00FF48C7" w:rsidRPr="002B5902" w:rsidRDefault="00FF48C7" w:rsidP="002B5902">
      <w:pPr>
        <w:spacing w:line="360" w:lineRule="auto"/>
        <w:jc w:val="both"/>
        <w:rPr>
          <w:rFonts w:ascii="Arial" w:hAnsi="Arial" w:cs="Arial"/>
          <w:sz w:val="24"/>
          <w:szCs w:val="24"/>
        </w:rPr>
      </w:pPr>
      <w:r w:rsidRPr="00FF48C7">
        <w:rPr>
          <w:rFonts w:ascii="Arial" w:hAnsi="Arial" w:cs="Arial"/>
          <w:sz w:val="24"/>
          <w:szCs w:val="24"/>
        </w:rPr>
        <w:t xml:space="preserve">The Oracle Winter Summit prioritises Health and Safety, Accessibility, and Inclusivity </w:t>
      </w:r>
      <w:r w:rsidR="00487E6E">
        <w:rPr>
          <w:rFonts w:ascii="Arial" w:hAnsi="Arial" w:cs="Arial"/>
          <w:sz w:val="24"/>
          <w:szCs w:val="24"/>
        </w:rPr>
        <w:t>by creating</w:t>
      </w:r>
      <w:r w:rsidRPr="00FF48C7">
        <w:rPr>
          <w:rFonts w:ascii="Arial" w:hAnsi="Arial" w:cs="Arial"/>
          <w:sz w:val="24"/>
          <w:szCs w:val="24"/>
        </w:rPr>
        <w:t xml:space="preserve"> emergency protocols, accessible facilities, and inclusive services. Measures </w:t>
      </w:r>
      <w:r w:rsidRPr="00FF48C7">
        <w:rPr>
          <w:rFonts w:ascii="Arial" w:hAnsi="Arial" w:cs="Arial"/>
          <w:sz w:val="24"/>
          <w:szCs w:val="24"/>
        </w:rPr>
        <w:lastRenderedPageBreak/>
        <w:t>cover on-site medical staff (</w:t>
      </w:r>
      <w:proofErr w:type="spellStart"/>
      <w:r w:rsidRPr="00FF48C7">
        <w:rPr>
          <w:rFonts w:ascii="Arial" w:hAnsi="Arial" w:cs="Arial"/>
          <w:sz w:val="24"/>
          <w:szCs w:val="24"/>
        </w:rPr>
        <w:t>Creazza</w:t>
      </w:r>
      <w:proofErr w:type="spellEnd"/>
      <w:r w:rsidRPr="00FF48C7">
        <w:rPr>
          <w:rFonts w:ascii="Arial" w:hAnsi="Arial" w:cs="Arial"/>
          <w:sz w:val="24"/>
          <w:szCs w:val="24"/>
        </w:rPr>
        <w:t xml:space="preserve">, </w:t>
      </w:r>
      <w:proofErr w:type="spellStart"/>
      <w:r w:rsidRPr="00FF48C7">
        <w:rPr>
          <w:rFonts w:ascii="Arial" w:hAnsi="Arial" w:cs="Arial"/>
          <w:sz w:val="24"/>
          <w:szCs w:val="24"/>
        </w:rPr>
        <w:t>Colicchia</w:t>
      </w:r>
      <w:proofErr w:type="spellEnd"/>
      <w:r w:rsidRPr="00FF48C7">
        <w:rPr>
          <w:rFonts w:ascii="Arial" w:hAnsi="Arial" w:cs="Arial"/>
          <w:sz w:val="24"/>
          <w:szCs w:val="24"/>
        </w:rPr>
        <w:t xml:space="preserve">, &amp; </w:t>
      </w:r>
      <w:proofErr w:type="spellStart"/>
      <w:r w:rsidRPr="00FF48C7">
        <w:rPr>
          <w:rFonts w:ascii="Arial" w:hAnsi="Arial" w:cs="Arial"/>
          <w:sz w:val="24"/>
          <w:szCs w:val="24"/>
        </w:rPr>
        <w:t>Dallari</w:t>
      </w:r>
      <w:proofErr w:type="spellEnd"/>
      <w:r w:rsidRPr="00FF48C7">
        <w:rPr>
          <w:rFonts w:ascii="Arial" w:hAnsi="Arial" w:cs="Arial"/>
          <w:sz w:val="24"/>
          <w:szCs w:val="24"/>
        </w:rPr>
        <w:t xml:space="preserve">, 2015), accessible transportation (Sugden, 1968), and varied dietary selections, fostering a respectful and inclusive atmosphere (Silvers, 2007). Inclusivity training improves employees' cultural awareness. </w:t>
      </w:r>
    </w:p>
    <w:p w14:paraId="47541BCA" w14:textId="77777777" w:rsidR="00305CE5" w:rsidRPr="00716297" w:rsidRDefault="0022487C" w:rsidP="00716297">
      <w:pPr>
        <w:pStyle w:val="Heading2"/>
        <w:rPr>
          <w:rFonts w:ascii="Arial" w:hAnsi="Arial" w:cs="Arial"/>
          <w:b/>
          <w:bCs/>
          <w:color w:val="auto"/>
          <w:sz w:val="24"/>
          <w:szCs w:val="24"/>
        </w:rPr>
      </w:pPr>
      <w:bookmarkStart w:id="11" w:name="_Toc181992343"/>
      <w:r w:rsidRPr="00716297">
        <w:rPr>
          <w:rFonts w:ascii="Arial" w:hAnsi="Arial" w:cs="Arial"/>
          <w:b/>
          <w:bCs/>
          <w:color w:val="auto"/>
          <w:sz w:val="24"/>
          <w:szCs w:val="24"/>
        </w:rPr>
        <w:t>Venue Inspection Points</w:t>
      </w:r>
      <w:bookmarkEnd w:id="11"/>
    </w:p>
    <w:p w14:paraId="1DA9EE8F" w14:textId="5E74F126" w:rsidR="0022487C" w:rsidRPr="002B5902" w:rsidRDefault="0022487C" w:rsidP="002B5902">
      <w:pPr>
        <w:spacing w:line="360" w:lineRule="auto"/>
        <w:jc w:val="both"/>
        <w:rPr>
          <w:rFonts w:ascii="Arial" w:hAnsi="Arial" w:cs="Arial"/>
          <w:sz w:val="24"/>
          <w:szCs w:val="24"/>
        </w:rPr>
      </w:pPr>
      <w:r w:rsidRPr="002B5902">
        <w:rPr>
          <w:rFonts w:ascii="Arial" w:hAnsi="Arial" w:cs="Arial"/>
          <w:sz w:val="24"/>
          <w:szCs w:val="24"/>
        </w:rPr>
        <w:t>Key inspection points include:</w:t>
      </w:r>
    </w:p>
    <w:p w14:paraId="1B31969A" w14:textId="589029B6" w:rsidR="0022487C" w:rsidRPr="002B5902" w:rsidRDefault="0022487C" w:rsidP="002B5902">
      <w:pPr>
        <w:numPr>
          <w:ilvl w:val="0"/>
          <w:numId w:val="21"/>
        </w:numPr>
        <w:spacing w:line="360" w:lineRule="auto"/>
        <w:jc w:val="both"/>
        <w:rPr>
          <w:rFonts w:ascii="Arial" w:hAnsi="Arial" w:cs="Arial"/>
          <w:sz w:val="24"/>
          <w:szCs w:val="24"/>
        </w:rPr>
      </w:pPr>
      <w:bookmarkStart w:id="12" w:name="_Toc181992344"/>
      <w:r w:rsidRPr="00716297">
        <w:rPr>
          <w:rStyle w:val="Heading3Char"/>
          <w:rFonts w:ascii="Arial" w:hAnsi="Arial" w:cs="Arial"/>
          <w:i/>
          <w:iCs/>
          <w:color w:val="auto"/>
          <w:sz w:val="24"/>
          <w:szCs w:val="24"/>
        </w:rPr>
        <w:t>Transport</w:t>
      </w:r>
      <w:bookmarkEnd w:id="12"/>
      <w:r w:rsidRPr="002B5902">
        <w:rPr>
          <w:rFonts w:ascii="Arial" w:hAnsi="Arial" w:cs="Arial"/>
          <w:sz w:val="24"/>
          <w:szCs w:val="24"/>
        </w:rPr>
        <w:t>: Verifying easy access to airports and train stations for efficient attendee travel.</w:t>
      </w:r>
    </w:p>
    <w:p w14:paraId="586B63B1" w14:textId="37A35574" w:rsidR="0022487C" w:rsidRPr="002B5902" w:rsidRDefault="0022487C" w:rsidP="002B5902">
      <w:pPr>
        <w:numPr>
          <w:ilvl w:val="0"/>
          <w:numId w:val="21"/>
        </w:numPr>
        <w:spacing w:line="360" w:lineRule="auto"/>
        <w:jc w:val="both"/>
        <w:rPr>
          <w:rFonts w:ascii="Arial" w:hAnsi="Arial" w:cs="Arial"/>
          <w:sz w:val="24"/>
          <w:szCs w:val="24"/>
        </w:rPr>
      </w:pPr>
      <w:bookmarkStart w:id="13" w:name="_Toc181992345"/>
      <w:r w:rsidRPr="00716297">
        <w:rPr>
          <w:rStyle w:val="Heading3Char"/>
          <w:rFonts w:ascii="Arial" w:hAnsi="Arial" w:cs="Arial"/>
          <w:i/>
          <w:iCs/>
          <w:sz w:val="24"/>
          <w:szCs w:val="24"/>
        </w:rPr>
        <w:t>Technical Facilities:</w:t>
      </w:r>
      <w:bookmarkEnd w:id="13"/>
      <w:r w:rsidRPr="002B5902">
        <w:rPr>
          <w:rFonts w:ascii="Arial" w:hAnsi="Arial" w:cs="Arial"/>
          <w:sz w:val="24"/>
          <w:szCs w:val="24"/>
        </w:rPr>
        <w:t xml:space="preserve"> Assessing AV functionality and </w:t>
      </w:r>
      <w:r w:rsidR="00D07F2C">
        <w:rPr>
          <w:rFonts w:ascii="Arial" w:hAnsi="Arial" w:cs="Arial"/>
          <w:sz w:val="24"/>
          <w:szCs w:val="24"/>
        </w:rPr>
        <w:t>robust</w:t>
      </w:r>
      <w:r w:rsidRPr="002B5902">
        <w:rPr>
          <w:rFonts w:ascii="Arial" w:hAnsi="Arial" w:cs="Arial"/>
          <w:sz w:val="24"/>
          <w:szCs w:val="24"/>
        </w:rPr>
        <w:t xml:space="preserve"> internet connectivity, both crucial for high-quality corporate events.</w:t>
      </w:r>
    </w:p>
    <w:p w14:paraId="2ADC5DA9" w14:textId="6D2FE312" w:rsidR="0022487C" w:rsidRPr="002B5902" w:rsidRDefault="0022487C" w:rsidP="002B5902">
      <w:pPr>
        <w:numPr>
          <w:ilvl w:val="0"/>
          <w:numId w:val="21"/>
        </w:numPr>
        <w:spacing w:line="360" w:lineRule="auto"/>
        <w:jc w:val="both"/>
        <w:rPr>
          <w:rFonts w:ascii="Arial" w:hAnsi="Arial" w:cs="Arial"/>
          <w:sz w:val="24"/>
          <w:szCs w:val="24"/>
        </w:rPr>
      </w:pPr>
      <w:bookmarkStart w:id="14" w:name="_Toc181992346"/>
      <w:r w:rsidRPr="00716297">
        <w:rPr>
          <w:rStyle w:val="Heading3Char"/>
          <w:rFonts w:ascii="Arial" w:hAnsi="Arial" w:cs="Arial"/>
          <w:i/>
          <w:iCs/>
          <w:sz w:val="24"/>
          <w:szCs w:val="24"/>
        </w:rPr>
        <w:t>Catering</w:t>
      </w:r>
      <w:bookmarkEnd w:id="14"/>
      <w:r w:rsidRPr="002B5902">
        <w:rPr>
          <w:rFonts w:ascii="Arial" w:hAnsi="Arial" w:cs="Arial"/>
          <w:sz w:val="24"/>
          <w:szCs w:val="24"/>
        </w:rPr>
        <w:t>: Ensuring diverse, high-quality dining experiences through on-site and external catering options (</w:t>
      </w:r>
      <w:proofErr w:type="spellStart"/>
      <w:r w:rsidRPr="002B5902">
        <w:rPr>
          <w:rFonts w:ascii="Arial" w:hAnsi="Arial" w:cs="Arial"/>
          <w:sz w:val="24"/>
          <w:szCs w:val="24"/>
        </w:rPr>
        <w:t>Creazza</w:t>
      </w:r>
      <w:proofErr w:type="spellEnd"/>
      <w:r w:rsidRPr="002B5902">
        <w:rPr>
          <w:rFonts w:ascii="Arial" w:hAnsi="Arial" w:cs="Arial"/>
          <w:sz w:val="24"/>
          <w:szCs w:val="24"/>
        </w:rPr>
        <w:t xml:space="preserve">, </w:t>
      </w:r>
      <w:proofErr w:type="spellStart"/>
      <w:r w:rsidRPr="002B5902">
        <w:rPr>
          <w:rFonts w:ascii="Arial" w:hAnsi="Arial" w:cs="Arial"/>
          <w:sz w:val="24"/>
          <w:szCs w:val="24"/>
        </w:rPr>
        <w:t>Colicchia</w:t>
      </w:r>
      <w:proofErr w:type="spellEnd"/>
      <w:r w:rsidRPr="002B5902">
        <w:rPr>
          <w:rFonts w:ascii="Arial" w:hAnsi="Arial" w:cs="Arial"/>
          <w:sz w:val="24"/>
          <w:szCs w:val="24"/>
        </w:rPr>
        <w:t xml:space="preserve">, and </w:t>
      </w:r>
      <w:proofErr w:type="spellStart"/>
      <w:r w:rsidRPr="002B5902">
        <w:rPr>
          <w:rFonts w:ascii="Arial" w:hAnsi="Arial" w:cs="Arial"/>
          <w:sz w:val="24"/>
          <w:szCs w:val="24"/>
        </w:rPr>
        <w:t>Dallari</w:t>
      </w:r>
      <w:proofErr w:type="spellEnd"/>
      <w:r w:rsidRPr="002B5902">
        <w:rPr>
          <w:rFonts w:ascii="Arial" w:hAnsi="Arial" w:cs="Arial"/>
          <w:sz w:val="24"/>
          <w:szCs w:val="24"/>
        </w:rPr>
        <w:t>, 2015).</w:t>
      </w:r>
    </w:p>
    <w:p w14:paraId="49E6CA3F" w14:textId="77777777" w:rsidR="00305CE5" w:rsidRPr="00716297" w:rsidRDefault="0022487C" w:rsidP="00716297">
      <w:pPr>
        <w:pStyle w:val="Heading2"/>
        <w:rPr>
          <w:rFonts w:ascii="Arial" w:hAnsi="Arial" w:cs="Arial"/>
          <w:b/>
          <w:bCs/>
          <w:color w:val="auto"/>
          <w:sz w:val="24"/>
          <w:szCs w:val="24"/>
        </w:rPr>
      </w:pPr>
      <w:bookmarkStart w:id="15" w:name="_Toc181992347"/>
      <w:r w:rsidRPr="00716297">
        <w:rPr>
          <w:rFonts w:ascii="Arial" w:hAnsi="Arial" w:cs="Arial"/>
          <w:b/>
          <w:bCs/>
          <w:color w:val="auto"/>
          <w:sz w:val="24"/>
          <w:szCs w:val="24"/>
        </w:rPr>
        <w:t>Staffing Needs</w:t>
      </w:r>
      <w:bookmarkEnd w:id="15"/>
    </w:p>
    <w:p w14:paraId="6301E67F" w14:textId="016990DB" w:rsidR="0022487C" w:rsidRPr="002B5902" w:rsidRDefault="004108B1" w:rsidP="002B5902">
      <w:pPr>
        <w:spacing w:line="360" w:lineRule="auto"/>
        <w:jc w:val="both"/>
        <w:rPr>
          <w:rFonts w:ascii="Arial" w:hAnsi="Arial" w:cs="Arial"/>
          <w:sz w:val="24"/>
          <w:szCs w:val="24"/>
        </w:rPr>
      </w:pPr>
      <w:r w:rsidRPr="002B5902">
        <w:rPr>
          <w:rFonts w:ascii="Arial" w:hAnsi="Arial" w:cs="Arial"/>
          <w:sz w:val="24"/>
          <w:szCs w:val="24"/>
        </w:rPr>
        <w:t>The operational requirements of the Summit necessitate a proficient workforce exceeding 50 individuals, comprising AV technicians, facilitators, and coordinators (</w:t>
      </w:r>
      <w:proofErr w:type="spellStart"/>
      <w:r w:rsidRPr="002B5902">
        <w:rPr>
          <w:rFonts w:ascii="Arial" w:hAnsi="Arial" w:cs="Arial"/>
          <w:sz w:val="24"/>
          <w:szCs w:val="24"/>
        </w:rPr>
        <w:t>Lockstone</w:t>
      </w:r>
      <w:proofErr w:type="spellEnd"/>
      <w:r w:rsidRPr="002B5902">
        <w:rPr>
          <w:rFonts w:ascii="Arial" w:hAnsi="Arial" w:cs="Arial"/>
          <w:sz w:val="24"/>
          <w:szCs w:val="24"/>
        </w:rPr>
        <w:t>-Binney, Hanlon, and Jago, 2020). The Operations Domain of EMBOK emphasises the significance of staffing for efficient logistics, and by prioritising local hires, Oracle increases community value and utilises regional expertise.</w:t>
      </w:r>
    </w:p>
    <w:p w14:paraId="42C46D3E" w14:textId="77777777" w:rsidR="00305CE5" w:rsidRPr="00716297" w:rsidRDefault="0022487C" w:rsidP="00716297">
      <w:pPr>
        <w:pStyle w:val="Heading2"/>
        <w:rPr>
          <w:rFonts w:ascii="Arial" w:hAnsi="Arial" w:cs="Arial"/>
          <w:b/>
          <w:bCs/>
          <w:color w:val="auto"/>
          <w:sz w:val="24"/>
          <w:szCs w:val="24"/>
        </w:rPr>
      </w:pPr>
      <w:bookmarkStart w:id="16" w:name="_Toc181992348"/>
      <w:r w:rsidRPr="00716297">
        <w:rPr>
          <w:rFonts w:ascii="Arial" w:hAnsi="Arial" w:cs="Arial"/>
          <w:b/>
          <w:bCs/>
          <w:color w:val="auto"/>
          <w:sz w:val="24"/>
          <w:szCs w:val="24"/>
        </w:rPr>
        <w:t>Technical Support</w:t>
      </w:r>
      <w:bookmarkEnd w:id="16"/>
    </w:p>
    <w:p w14:paraId="5AF488A0" w14:textId="1AC2EB2A" w:rsidR="0022487C" w:rsidRPr="002B5902" w:rsidRDefault="00C46F11" w:rsidP="002B5902">
      <w:pPr>
        <w:spacing w:line="360" w:lineRule="auto"/>
        <w:jc w:val="both"/>
        <w:rPr>
          <w:rFonts w:ascii="Arial" w:hAnsi="Arial" w:cs="Arial"/>
          <w:sz w:val="24"/>
          <w:szCs w:val="24"/>
        </w:rPr>
      </w:pPr>
      <w:r w:rsidRPr="002B5902">
        <w:rPr>
          <w:rFonts w:ascii="Arial" w:hAnsi="Arial" w:cs="Arial"/>
          <w:sz w:val="24"/>
          <w:szCs w:val="24"/>
        </w:rPr>
        <w:t>The Summit’s operational needs require a skilled staff of more than 50 people, including AV technicians, facilitators, and coordinators (</w:t>
      </w:r>
      <w:proofErr w:type="spellStart"/>
      <w:r w:rsidRPr="002B5902">
        <w:rPr>
          <w:rFonts w:ascii="Arial" w:hAnsi="Arial" w:cs="Arial"/>
          <w:sz w:val="24"/>
          <w:szCs w:val="24"/>
        </w:rPr>
        <w:t>Lockstone</w:t>
      </w:r>
      <w:proofErr w:type="spellEnd"/>
      <w:r w:rsidRPr="002B5902">
        <w:rPr>
          <w:rFonts w:ascii="Arial" w:hAnsi="Arial" w:cs="Arial"/>
          <w:sz w:val="24"/>
          <w:szCs w:val="24"/>
        </w:rPr>
        <w:t>-Binney, Hanlon, and Jago, 2020). The Operations Domain of EMBOK underscores the importance of staffing for effective logistics, and by prioritising local hires, Oracle increases community value and uses regional expertise.</w:t>
      </w:r>
    </w:p>
    <w:p w14:paraId="6063FBB8" w14:textId="14FC42D4" w:rsidR="00A34E5A" w:rsidRPr="002B5902" w:rsidRDefault="00A34E5A" w:rsidP="002B5902">
      <w:pPr>
        <w:spacing w:line="360" w:lineRule="auto"/>
        <w:jc w:val="both"/>
        <w:rPr>
          <w:rFonts w:ascii="Arial" w:hAnsi="Arial" w:cs="Arial"/>
          <w:sz w:val="24"/>
          <w:szCs w:val="24"/>
        </w:rPr>
      </w:pPr>
    </w:p>
    <w:p w14:paraId="3765059C" w14:textId="0F0A1185" w:rsidR="00007F55" w:rsidRPr="00993E46" w:rsidRDefault="00007F55" w:rsidP="00993E46">
      <w:pPr>
        <w:pStyle w:val="Heading1"/>
        <w:rPr>
          <w:rFonts w:ascii="Arial" w:hAnsi="Arial" w:cs="Arial"/>
          <w:b/>
          <w:bCs/>
          <w:color w:val="auto"/>
          <w:sz w:val="28"/>
          <w:szCs w:val="28"/>
        </w:rPr>
      </w:pPr>
      <w:bookmarkStart w:id="17" w:name="_Toc181992349"/>
      <w:r w:rsidRPr="00993E46">
        <w:rPr>
          <w:rFonts w:ascii="Arial" w:hAnsi="Arial" w:cs="Arial"/>
          <w:b/>
          <w:bCs/>
          <w:color w:val="auto"/>
          <w:sz w:val="28"/>
          <w:szCs w:val="28"/>
        </w:rPr>
        <w:lastRenderedPageBreak/>
        <w:t xml:space="preserve">4. </w:t>
      </w:r>
      <w:r w:rsidRPr="00993E46">
        <w:rPr>
          <w:rStyle w:val="Heading1Char"/>
          <w:rFonts w:ascii="Arial" w:hAnsi="Arial" w:cs="Arial"/>
          <w:b/>
          <w:bCs/>
          <w:color w:val="auto"/>
          <w:sz w:val="28"/>
          <w:szCs w:val="28"/>
        </w:rPr>
        <w:t>Financial Plan and Budget</w:t>
      </w:r>
      <w:bookmarkEnd w:id="17"/>
      <w:r w:rsidRPr="00993E46">
        <w:rPr>
          <w:rFonts w:ascii="Arial" w:hAnsi="Arial" w:cs="Arial"/>
          <w:b/>
          <w:bCs/>
          <w:color w:val="auto"/>
          <w:sz w:val="28"/>
          <w:szCs w:val="28"/>
        </w:rPr>
        <w:t xml:space="preserve"> </w:t>
      </w:r>
    </w:p>
    <w:p w14:paraId="63F8D16E" w14:textId="689FD4CC" w:rsidR="00C36CD9" w:rsidRPr="00716297" w:rsidRDefault="00C36CD9" w:rsidP="00716297">
      <w:pPr>
        <w:pStyle w:val="Heading2"/>
        <w:rPr>
          <w:rFonts w:ascii="Arial" w:hAnsi="Arial" w:cs="Arial"/>
          <w:b/>
          <w:bCs/>
          <w:color w:val="auto"/>
          <w:sz w:val="24"/>
          <w:szCs w:val="24"/>
        </w:rPr>
      </w:pPr>
      <w:bookmarkStart w:id="18" w:name="_Toc181992350"/>
      <w:r w:rsidRPr="00716297">
        <w:rPr>
          <w:rFonts w:ascii="Arial" w:hAnsi="Arial" w:cs="Arial"/>
          <w:b/>
          <w:bCs/>
          <w:color w:val="auto"/>
          <w:sz w:val="24"/>
          <w:szCs w:val="24"/>
        </w:rPr>
        <w:t>Break Even</w:t>
      </w:r>
      <w:bookmarkEnd w:id="18"/>
      <w:r w:rsidRPr="00716297">
        <w:rPr>
          <w:rFonts w:ascii="Arial" w:hAnsi="Arial" w:cs="Arial"/>
          <w:b/>
          <w:bCs/>
          <w:color w:val="auto"/>
          <w:sz w:val="24"/>
          <w:szCs w:val="24"/>
        </w:rPr>
        <w:t xml:space="preserve"> </w:t>
      </w:r>
    </w:p>
    <w:p w14:paraId="1E1764A9" w14:textId="65B908C8" w:rsidR="003220B8" w:rsidRPr="003220B8" w:rsidRDefault="00487E6E" w:rsidP="002B5902">
      <w:pPr>
        <w:spacing w:line="360" w:lineRule="auto"/>
        <w:jc w:val="both"/>
        <w:rPr>
          <w:rFonts w:ascii="Arial" w:hAnsi="Arial" w:cs="Arial"/>
          <w:sz w:val="24"/>
          <w:szCs w:val="24"/>
        </w:rPr>
      </w:pPr>
      <w:r>
        <w:rPr>
          <w:rFonts w:ascii="Arial" w:hAnsi="Arial" w:cs="Arial"/>
          <w:sz w:val="24"/>
          <w:szCs w:val="24"/>
        </w:rPr>
        <w:t>Below</w:t>
      </w:r>
      <w:r w:rsidR="003220B8" w:rsidRPr="003220B8">
        <w:rPr>
          <w:rFonts w:ascii="Arial" w:hAnsi="Arial" w:cs="Arial"/>
          <w:sz w:val="24"/>
          <w:szCs w:val="24"/>
        </w:rPr>
        <w:t xml:space="preserve"> is a detailed analysis of fixed costs and revenue generation for the Oracle Winter Summit, including venue, catering, staffing, and activity expenditures. It indicates an anticipated profit of £50,000, derived by deducting total fixed costs from the overall revenue obtained from ticket sales and sponsorships.</w:t>
      </w:r>
    </w:p>
    <w:tbl>
      <w:tblPr>
        <w:tblStyle w:val="TableGrid"/>
        <w:tblW w:w="0" w:type="auto"/>
        <w:tblLook w:val="04A0" w:firstRow="1" w:lastRow="0" w:firstColumn="1" w:lastColumn="0" w:noHBand="0" w:noVBand="1"/>
      </w:tblPr>
      <w:tblGrid>
        <w:gridCol w:w="3116"/>
        <w:gridCol w:w="3117"/>
        <w:gridCol w:w="3117"/>
      </w:tblGrid>
      <w:tr w:rsidR="00EE22D9" w:rsidRPr="002B5902" w14:paraId="29FC3494" w14:textId="77777777" w:rsidTr="003220B8">
        <w:tc>
          <w:tcPr>
            <w:tcW w:w="3116" w:type="dxa"/>
          </w:tcPr>
          <w:p w14:paraId="3F28E97A" w14:textId="5C943467" w:rsidR="00EE22D9" w:rsidRPr="002B5902" w:rsidRDefault="00EE22D9" w:rsidP="002B5902">
            <w:pPr>
              <w:spacing w:line="360" w:lineRule="auto"/>
              <w:jc w:val="both"/>
              <w:rPr>
                <w:rFonts w:ascii="Arial" w:hAnsi="Arial" w:cs="Arial"/>
                <w:b/>
                <w:bCs/>
                <w:sz w:val="24"/>
                <w:szCs w:val="24"/>
              </w:rPr>
            </w:pPr>
            <w:r w:rsidRPr="002B5902">
              <w:rPr>
                <w:rFonts w:ascii="Arial" w:hAnsi="Arial" w:cs="Arial"/>
                <w:b/>
                <w:bCs/>
                <w:color w:val="000000"/>
                <w:sz w:val="24"/>
                <w:szCs w:val="24"/>
              </w:rPr>
              <w:t>Category</w:t>
            </w:r>
          </w:p>
        </w:tc>
        <w:tc>
          <w:tcPr>
            <w:tcW w:w="3117" w:type="dxa"/>
          </w:tcPr>
          <w:p w14:paraId="1F91C0A5" w14:textId="3CAB2889" w:rsidR="00EE22D9" w:rsidRPr="002B5902" w:rsidRDefault="00EE22D9" w:rsidP="002B5902">
            <w:pPr>
              <w:spacing w:line="360" w:lineRule="auto"/>
              <w:jc w:val="both"/>
              <w:rPr>
                <w:rFonts w:ascii="Arial" w:hAnsi="Arial" w:cs="Arial"/>
                <w:b/>
                <w:bCs/>
                <w:sz w:val="24"/>
                <w:szCs w:val="24"/>
              </w:rPr>
            </w:pPr>
            <w:r w:rsidRPr="002B5902">
              <w:rPr>
                <w:rFonts w:ascii="Arial" w:hAnsi="Arial" w:cs="Arial"/>
                <w:b/>
                <w:bCs/>
                <w:color w:val="000000"/>
                <w:sz w:val="24"/>
                <w:szCs w:val="24"/>
              </w:rPr>
              <w:t>Description</w:t>
            </w:r>
          </w:p>
        </w:tc>
        <w:tc>
          <w:tcPr>
            <w:tcW w:w="3117" w:type="dxa"/>
          </w:tcPr>
          <w:p w14:paraId="35982CD2" w14:textId="0D3EF6CD" w:rsidR="00EE22D9" w:rsidRPr="002B5902" w:rsidRDefault="00EE22D9" w:rsidP="002B5902">
            <w:pPr>
              <w:spacing w:line="360" w:lineRule="auto"/>
              <w:jc w:val="both"/>
              <w:rPr>
                <w:rFonts w:ascii="Arial" w:hAnsi="Arial" w:cs="Arial"/>
                <w:b/>
                <w:bCs/>
                <w:sz w:val="24"/>
                <w:szCs w:val="24"/>
              </w:rPr>
            </w:pPr>
            <w:r w:rsidRPr="002B5902">
              <w:rPr>
                <w:rFonts w:ascii="Arial" w:hAnsi="Arial" w:cs="Arial"/>
                <w:b/>
                <w:bCs/>
                <w:color w:val="000000"/>
                <w:sz w:val="24"/>
                <w:szCs w:val="24"/>
              </w:rPr>
              <w:t>Amount (£)</w:t>
            </w:r>
          </w:p>
        </w:tc>
      </w:tr>
      <w:tr w:rsidR="00EE22D9" w:rsidRPr="002B5902" w14:paraId="03207DD1" w14:textId="77777777" w:rsidTr="008329D0">
        <w:tc>
          <w:tcPr>
            <w:tcW w:w="3116" w:type="dxa"/>
            <w:vAlign w:val="bottom"/>
          </w:tcPr>
          <w:p w14:paraId="4B79E5C3" w14:textId="438EC095"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Fixed Costs</w:t>
            </w:r>
          </w:p>
        </w:tc>
        <w:tc>
          <w:tcPr>
            <w:tcW w:w="3117" w:type="dxa"/>
            <w:vAlign w:val="bottom"/>
          </w:tcPr>
          <w:p w14:paraId="1E703512" w14:textId="567EF11D"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Venue Hire</w:t>
            </w:r>
          </w:p>
        </w:tc>
        <w:tc>
          <w:tcPr>
            <w:tcW w:w="3117" w:type="dxa"/>
            <w:vAlign w:val="bottom"/>
          </w:tcPr>
          <w:p w14:paraId="51B0B51A" w14:textId="62D29E34"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50</w:t>
            </w:r>
            <w:r w:rsidR="000100D7">
              <w:rPr>
                <w:rFonts w:ascii="Arial" w:hAnsi="Arial" w:cs="Arial"/>
                <w:color w:val="000000"/>
                <w:sz w:val="24"/>
                <w:szCs w:val="24"/>
              </w:rPr>
              <w:t>,</w:t>
            </w:r>
            <w:r w:rsidRPr="002B5902">
              <w:rPr>
                <w:rFonts w:ascii="Arial" w:hAnsi="Arial" w:cs="Arial"/>
                <w:color w:val="000000"/>
                <w:sz w:val="24"/>
                <w:szCs w:val="24"/>
              </w:rPr>
              <w:t>000</w:t>
            </w:r>
          </w:p>
        </w:tc>
      </w:tr>
      <w:tr w:rsidR="00EE22D9" w:rsidRPr="002B5902" w14:paraId="6FD11E6A" w14:textId="77777777" w:rsidTr="008329D0">
        <w:tc>
          <w:tcPr>
            <w:tcW w:w="3116" w:type="dxa"/>
            <w:vAlign w:val="bottom"/>
          </w:tcPr>
          <w:p w14:paraId="10876676" w14:textId="70C2DBFF"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Fixed Costs</w:t>
            </w:r>
          </w:p>
        </w:tc>
        <w:tc>
          <w:tcPr>
            <w:tcW w:w="3117" w:type="dxa"/>
            <w:vAlign w:val="bottom"/>
          </w:tcPr>
          <w:p w14:paraId="357284CD" w14:textId="7E7EC9F5"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Catering</w:t>
            </w:r>
          </w:p>
        </w:tc>
        <w:tc>
          <w:tcPr>
            <w:tcW w:w="3117" w:type="dxa"/>
            <w:vAlign w:val="bottom"/>
          </w:tcPr>
          <w:p w14:paraId="055D8557" w14:textId="450C0F86"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30</w:t>
            </w:r>
            <w:r w:rsidR="000100D7">
              <w:rPr>
                <w:rFonts w:ascii="Arial" w:hAnsi="Arial" w:cs="Arial"/>
                <w:color w:val="000000"/>
                <w:sz w:val="24"/>
                <w:szCs w:val="24"/>
              </w:rPr>
              <w:t>,</w:t>
            </w:r>
            <w:r w:rsidRPr="002B5902">
              <w:rPr>
                <w:rFonts w:ascii="Arial" w:hAnsi="Arial" w:cs="Arial"/>
                <w:color w:val="000000"/>
                <w:sz w:val="24"/>
                <w:szCs w:val="24"/>
              </w:rPr>
              <w:t>000</w:t>
            </w:r>
          </w:p>
        </w:tc>
      </w:tr>
      <w:tr w:rsidR="00EE22D9" w:rsidRPr="002B5902" w14:paraId="70C2A748" w14:textId="77777777" w:rsidTr="008329D0">
        <w:tc>
          <w:tcPr>
            <w:tcW w:w="3116" w:type="dxa"/>
            <w:vAlign w:val="bottom"/>
          </w:tcPr>
          <w:p w14:paraId="4488B11C" w14:textId="3EFD1D7C"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Fixed Costs</w:t>
            </w:r>
          </w:p>
        </w:tc>
        <w:tc>
          <w:tcPr>
            <w:tcW w:w="3117" w:type="dxa"/>
            <w:vAlign w:val="bottom"/>
          </w:tcPr>
          <w:p w14:paraId="4AFF4887" w14:textId="0F60FF9B"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Staffing</w:t>
            </w:r>
          </w:p>
        </w:tc>
        <w:tc>
          <w:tcPr>
            <w:tcW w:w="3117" w:type="dxa"/>
            <w:vAlign w:val="bottom"/>
          </w:tcPr>
          <w:p w14:paraId="3E8E3637" w14:textId="7ABC7153"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25</w:t>
            </w:r>
            <w:r w:rsidR="000100D7">
              <w:rPr>
                <w:rFonts w:ascii="Arial" w:hAnsi="Arial" w:cs="Arial"/>
                <w:color w:val="000000"/>
                <w:sz w:val="24"/>
                <w:szCs w:val="24"/>
              </w:rPr>
              <w:t>,</w:t>
            </w:r>
            <w:r w:rsidRPr="002B5902">
              <w:rPr>
                <w:rFonts w:ascii="Arial" w:hAnsi="Arial" w:cs="Arial"/>
                <w:color w:val="000000"/>
                <w:sz w:val="24"/>
                <w:szCs w:val="24"/>
              </w:rPr>
              <w:t>000</w:t>
            </w:r>
          </w:p>
        </w:tc>
      </w:tr>
      <w:tr w:rsidR="00EE22D9" w:rsidRPr="002B5902" w14:paraId="53D1E76E" w14:textId="77777777" w:rsidTr="008329D0">
        <w:tc>
          <w:tcPr>
            <w:tcW w:w="3116" w:type="dxa"/>
            <w:vAlign w:val="bottom"/>
          </w:tcPr>
          <w:p w14:paraId="7698640C" w14:textId="3FAB5FD8"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Fixed Costs</w:t>
            </w:r>
          </w:p>
        </w:tc>
        <w:tc>
          <w:tcPr>
            <w:tcW w:w="3117" w:type="dxa"/>
            <w:vAlign w:val="bottom"/>
          </w:tcPr>
          <w:p w14:paraId="4F4319F8" w14:textId="2C88AFEC"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Activity Expenses</w:t>
            </w:r>
          </w:p>
        </w:tc>
        <w:tc>
          <w:tcPr>
            <w:tcW w:w="3117" w:type="dxa"/>
            <w:vAlign w:val="bottom"/>
          </w:tcPr>
          <w:p w14:paraId="5C481170" w14:textId="2A5481B4"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20</w:t>
            </w:r>
            <w:r w:rsidR="000100D7">
              <w:rPr>
                <w:rFonts w:ascii="Arial" w:hAnsi="Arial" w:cs="Arial"/>
                <w:color w:val="000000"/>
                <w:sz w:val="24"/>
                <w:szCs w:val="24"/>
              </w:rPr>
              <w:t>,</w:t>
            </w:r>
            <w:r w:rsidRPr="002B5902">
              <w:rPr>
                <w:rFonts w:ascii="Arial" w:hAnsi="Arial" w:cs="Arial"/>
                <w:color w:val="000000"/>
                <w:sz w:val="24"/>
                <w:szCs w:val="24"/>
              </w:rPr>
              <w:t>000</w:t>
            </w:r>
          </w:p>
        </w:tc>
      </w:tr>
      <w:tr w:rsidR="00EE22D9" w:rsidRPr="002B5902" w14:paraId="17EA6BB3" w14:textId="77777777" w:rsidTr="008329D0">
        <w:tc>
          <w:tcPr>
            <w:tcW w:w="3116" w:type="dxa"/>
            <w:vAlign w:val="bottom"/>
          </w:tcPr>
          <w:p w14:paraId="36A83676" w14:textId="109B1186"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Total Fixed Costs</w:t>
            </w:r>
          </w:p>
        </w:tc>
        <w:tc>
          <w:tcPr>
            <w:tcW w:w="3117" w:type="dxa"/>
            <w:vAlign w:val="bottom"/>
          </w:tcPr>
          <w:p w14:paraId="6E3E1BFD" w14:textId="27FBFD53"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Total Fixed Costs</w:t>
            </w:r>
          </w:p>
        </w:tc>
        <w:tc>
          <w:tcPr>
            <w:tcW w:w="3117" w:type="dxa"/>
            <w:vAlign w:val="bottom"/>
          </w:tcPr>
          <w:p w14:paraId="5FC4B1EB" w14:textId="0700964F"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125</w:t>
            </w:r>
            <w:r w:rsidR="000100D7">
              <w:rPr>
                <w:rFonts w:ascii="Arial" w:hAnsi="Arial" w:cs="Arial"/>
                <w:color w:val="000000"/>
                <w:sz w:val="24"/>
                <w:szCs w:val="24"/>
              </w:rPr>
              <w:t>,</w:t>
            </w:r>
            <w:r w:rsidRPr="002B5902">
              <w:rPr>
                <w:rFonts w:ascii="Arial" w:hAnsi="Arial" w:cs="Arial"/>
                <w:color w:val="000000"/>
                <w:sz w:val="24"/>
                <w:szCs w:val="24"/>
              </w:rPr>
              <w:t>000</w:t>
            </w:r>
          </w:p>
        </w:tc>
      </w:tr>
      <w:tr w:rsidR="00EE22D9" w:rsidRPr="002B5902" w14:paraId="0D6A6135" w14:textId="77777777" w:rsidTr="008329D0">
        <w:tc>
          <w:tcPr>
            <w:tcW w:w="3116" w:type="dxa"/>
            <w:vAlign w:val="bottom"/>
          </w:tcPr>
          <w:p w14:paraId="17327803" w14:textId="6379A75C"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Revenue Generation</w:t>
            </w:r>
          </w:p>
        </w:tc>
        <w:tc>
          <w:tcPr>
            <w:tcW w:w="3117" w:type="dxa"/>
            <w:vAlign w:val="bottom"/>
          </w:tcPr>
          <w:p w14:paraId="0632D798" w14:textId="4D166B7C"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Ticket Sales (150 tickets at £750 each)</w:t>
            </w:r>
          </w:p>
        </w:tc>
        <w:tc>
          <w:tcPr>
            <w:tcW w:w="3117" w:type="dxa"/>
            <w:vAlign w:val="bottom"/>
          </w:tcPr>
          <w:p w14:paraId="6785A727" w14:textId="3C9305DA"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112</w:t>
            </w:r>
            <w:r w:rsidR="000100D7">
              <w:rPr>
                <w:rFonts w:ascii="Arial" w:hAnsi="Arial" w:cs="Arial"/>
                <w:color w:val="000000"/>
                <w:sz w:val="24"/>
                <w:szCs w:val="24"/>
              </w:rPr>
              <w:t>,</w:t>
            </w:r>
            <w:r w:rsidRPr="002B5902">
              <w:rPr>
                <w:rFonts w:ascii="Arial" w:hAnsi="Arial" w:cs="Arial"/>
                <w:color w:val="000000"/>
                <w:sz w:val="24"/>
                <w:szCs w:val="24"/>
              </w:rPr>
              <w:t>500</w:t>
            </w:r>
          </w:p>
        </w:tc>
      </w:tr>
      <w:tr w:rsidR="00EE22D9" w:rsidRPr="002B5902" w14:paraId="240527FF" w14:textId="77777777" w:rsidTr="008329D0">
        <w:tc>
          <w:tcPr>
            <w:tcW w:w="3116" w:type="dxa"/>
            <w:vAlign w:val="bottom"/>
          </w:tcPr>
          <w:p w14:paraId="451FE028" w14:textId="0661C7D7"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Revenue Generation</w:t>
            </w:r>
          </w:p>
        </w:tc>
        <w:tc>
          <w:tcPr>
            <w:tcW w:w="3117" w:type="dxa"/>
            <w:vAlign w:val="bottom"/>
          </w:tcPr>
          <w:p w14:paraId="72E73752" w14:textId="703C4A0F"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Sponsorship Strategy (50% of expenses)</w:t>
            </w:r>
          </w:p>
        </w:tc>
        <w:tc>
          <w:tcPr>
            <w:tcW w:w="3117" w:type="dxa"/>
            <w:vAlign w:val="bottom"/>
          </w:tcPr>
          <w:p w14:paraId="2B4227FF" w14:textId="6F545C07"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62</w:t>
            </w:r>
            <w:r w:rsidR="000100D7">
              <w:rPr>
                <w:rFonts w:ascii="Arial" w:hAnsi="Arial" w:cs="Arial"/>
                <w:color w:val="000000"/>
                <w:sz w:val="24"/>
                <w:szCs w:val="24"/>
              </w:rPr>
              <w:t>,</w:t>
            </w:r>
            <w:r w:rsidRPr="002B5902">
              <w:rPr>
                <w:rFonts w:ascii="Arial" w:hAnsi="Arial" w:cs="Arial"/>
                <w:color w:val="000000"/>
                <w:sz w:val="24"/>
                <w:szCs w:val="24"/>
              </w:rPr>
              <w:t>500</w:t>
            </w:r>
          </w:p>
        </w:tc>
      </w:tr>
      <w:tr w:rsidR="00EE22D9" w:rsidRPr="002B5902" w14:paraId="0E75C792" w14:textId="77777777" w:rsidTr="008329D0">
        <w:tc>
          <w:tcPr>
            <w:tcW w:w="3116" w:type="dxa"/>
            <w:vAlign w:val="bottom"/>
          </w:tcPr>
          <w:p w14:paraId="4C29DB92" w14:textId="0B15F497"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Total Revenue</w:t>
            </w:r>
          </w:p>
        </w:tc>
        <w:tc>
          <w:tcPr>
            <w:tcW w:w="3117" w:type="dxa"/>
            <w:vAlign w:val="bottom"/>
          </w:tcPr>
          <w:p w14:paraId="7CD957A9" w14:textId="6454E8F8"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Total Revenue</w:t>
            </w:r>
          </w:p>
        </w:tc>
        <w:tc>
          <w:tcPr>
            <w:tcW w:w="3117" w:type="dxa"/>
            <w:vAlign w:val="bottom"/>
          </w:tcPr>
          <w:p w14:paraId="3904F69D" w14:textId="125B5E99"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175</w:t>
            </w:r>
            <w:r w:rsidR="000100D7">
              <w:rPr>
                <w:rFonts w:ascii="Arial" w:hAnsi="Arial" w:cs="Arial"/>
                <w:color w:val="000000"/>
                <w:sz w:val="24"/>
                <w:szCs w:val="24"/>
              </w:rPr>
              <w:t>,</w:t>
            </w:r>
            <w:r w:rsidRPr="002B5902">
              <w:rPr>
                <w:rFonts w:ascii="Arial" w:hAnsi="Arial" w:cs="Arial"/>
                <w:color w:val="000000"/>
                <w:sz w:val="24"/>
                <w:szCs w:val="24"/>
              </w:rPr>
              <w:t>000</w:t>
            </w:r>
          </w:p>
        </w:tc>
      </w:tr>
      <w:tr w:rsidR="00EE22D9" w:rsidRPr="002B5902" w14:paraId="1B22DA61" w14:textId="77777777" w:rsidTr="008329D0">
        <w:tc>
          <w:tcPr>
            <w:tcW w:w="3116" w:type="dxa"/>
            <w:vAlign w:val="bottom"/>
          </w:tcPr>
          <w:p w14:paraId="5775DA0B" w14:textId="79EA7D06"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Profit</w:t>
            </w:r>
          </w:p>
        </w:tc>
        <w:tc>
          <w:tcPr>
            <w:tcW w:w="3117" w:type="dxa"/>
            <w:vAlign w:val="bottom"/>
          </w:tcPr>
          <w:p w14:paraId="5F3AC610" w14:textId="33CB43B2"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Profit Calculation</w:t>
            </w:r>
          </w:p>
        </w:tc>
        <w:tc>
          <w:tcPr>
            <w:tcW w:w="3117" w:type="dxa"/>
            <w:vAlign w:val="bottom"/>
          </w:tcPr>
          <w:p w14:paraId="6CCD4D7E" w14:textId="5648D658" w:rsidR="00EE22D9" w:rsidRPr="002B5902" w:rsidRDefault="00EE22D9" w:rsidP="002B5902">
            <w:pPr>
              <w:spacing w:line="360" w:lineRule="auto"/>
              <w:jc w:val="both"/>
              <w:rPr>
                <w:rFonts w:ascii="Arial" w:hAnsi="Arial" w:cs="Arial"/>
                <w:b/>
                <w:bCs/>
                <w:sz w:val="24"/>
                <w:szCs w:val="24"/>
              </w:rPr>
            </w:pPr>
            <w:r w:rsidRPr="002B5902">
              <w:rPr>
                <w:rFonts w:ascii="Arial" w:hAnsi="Arial" w:cs="Arial"/>
                <w:color w:val="000000"/>
                <w:sz w:val="24"/>
                <w:szCs w:val="24"/>
              </w:rPr>
              <w:t>50</w:t>
            </w:r>
            <w:r w:rsidR="000100D7">
              <w:rPr>
                <w:rFonts w:ascii="Arial" w:hAnsi="Arial" w:cs="Arial"/>
                <w:color w:val="000000"/>
                <w:sz w:val="24"/>
                <w:szCs w:val="24"/>
              </w:rPr>
              <w:t>,</w:t>
            </w:r>
            <w:r w:rsidRPr="002B5902">
              <w:rPr>
                <w:rFonts w:ascii="Arial" w:hAnsi="Arial" w:cs="Arial"/>
                <w:color w:val="000000"/>
                <w:sz w:val="24"/>
                <w:szCs w:val="24"/>
              </w:rPr>
              <w:t>000</w:t>
            </w:r>
          </w:p>
        </w:tc>
      </w:tr>
    </w:tbl>
    <w:p w14:paraId="4052C6FD" w14:textId="77777777" w:rsidR="00C36CD9" w:rsidRPr="002B5902" w:rsidRDefault="00C36CD9" w:rsidP="002B5902">
      <w:pPr>
        <w:spacing w:line="360" w:lineRule="auto"/>
        <w:jc w:val="both"/>
        <w:rPr>
          <w:rFonts w:ascii="Arial" w:hAnsi="Arial" w:cs="Arial"/>
          <w:b/>
          <w:bCs/>
          <w:sz w:val="24"/>
          <w:szCs w:val="24"/>
        </w:rPr>
      </w:pPr>
    </w:p>
    <w:p w14:paraId="7D9A92CD" w14:textId="77777777" w:rsidR="000100D7" w:rsidRDefault="000100D7" w:rsidP="002B5902">
      <w:pPr>
        <w:spacing w:line="360" w:lineRule="auto"/>
        <w:jc w:val="both"/>
        <w:rPr>
          <w:rFonts w:ascii="Arial" w:hAnsi="Arial" w:cs="Arial"/>
          <w:b/>
          <w:bCs/>
          <w:sz w:val="24"/>
          <w:szCs w:val="24"/>
        </w:rPr>
      </w:pPr>
    </w:p>
    <w:p w14:paraId="65926F44" w14:textId="77777777" w:rsidR="000100D7" w:rsidRPr="00716297" w:rsidRDefault="004140B7" w:rsidP="00716297">
      <w:pPr>
        <w:pStyle w:val="Heading2"/>
        <w:rPr>
          <w:rFonts w:ascii="Arial" w:hAnsi="Arial" w:cs="Arial"/>
          <w:b/>
          <w:bCs/>
          <w:color w:val="auto"/>
          <w:sz w:val="24"/>
          <w:szCs w:val="24"/>
        </w:rPr>
      </w:pPr>
      <w:bookmarkStart w:id="19" w:name="_Toc181992351"/>
      <w:r w:rsidRPr="00716297">
        <w:rPr>
          <w:rFonts w:ascii="Arial" w:hAnsi="Arial" w:cs="Arial"/>
          <w:b/>
          <w:bCs/>
          <w:color w:val="auto"/>
          <w:sz w:val="24"/>
          <w:szCs w:val="24"/>
        </w:rPr>
        <w:t>Projected</w:t>
      </w:r>
      <w:r w:rsidR="000100D7" w:rsidRPr="00716297">
        <w:rPr>
          <w:rFonts w:ascii="Arial" w:hAnsi="Arial" w:cs="Arial"/>
          <w:b/>
          <w:bCs/>
          <w:color w:val="auto"/>
          <w:sz w:val="24"/>
          <w:szCs w:val="24"/>
        </w:rPr>
        <w:t xml:space="preserve"> </w:t>
      </w:r>
      <w:r w:rsidRPr="00716297">
        <w:rPr>
          <w:rFonts w:ascii="Arial" w:hAnsi="Arial" w:cs="Arial"/>
          <w:b/>
          <w:bCs/>
          <w:color w:val="auto"/>
          <w:sz w:val="24"/>
          <w:szCs w:val="24"/>
        </w:rPr>
        <w:t>Costs</w:t>
      </w:r>
      <w:bookmarkEnd w:id="19"/>
    </w:p>
    <w:p w14:paraId="1EED73F8" w14:textId="2259AEC5" w:rsidR="004140B7" w:rsidRPr="002B5902" w:rsidRDefault="004140B7" w:rsidP="000100D7">
      <w:pPr>
        <w:spacing w:line="360" w:lineRule="auto"/>
        <w:jc w:val="both"/>
        <w:rPr>
          <w:rFonts w:ascii="Arial" w:hAnsi="Arial" w:cs="Arial"/>
          <w:sz w:val="24"/>
          <w:szCs w:val="24"/>
        </w:rPr>
      </w:pPr>
      <w:r w:rsidRPr="002B5902">
        <w:rPr>
          <w:rFonts w:ascii="Arial" w:hAnsi="Arial" w:cs="Arial"/>
          <w:sz w:val="24"/>
          <w:szCs w:val="24"/>
        </w:rPr>
        <w:br/>
      </w:r>
      <w:r w:rsidR="00854282" w:rsidRPr="002B5902">
        <w:rPr>
          <w:rFonts w:ascii="Arial" w:hAnsi="Arial" w:cs="Arial"/>
          <w:sz w:val="24"/>
          <w:szCs w:val="24"/>
        </w:rPr>
        <w:t xml:space="preserve">The projected budget of £130,000 for the Oracle Winter Summit demonstrates a judicious strategy </w:t>
      </w:r>
      <w:r w:rsidR="00D07F2C">
        <w:rPr>
          <w:rFonts w:ascii="Arial" w:hAnsi="Arial" w:cs="Arial"/>
          <w:sz w:val="24"/>
          <w:szCs w:val="24"/>
        </w:rPr>
        <w:t>emphasising</w:t>
      </w:r>
      <w:r w:rsidR="00854282" w:rsidRPr="002B5902">
        <w:rPr>
          <w:rFonts w:ascii="Arial" w:hAnsi="Arial" w:cs="Arial"/>
          <w:sz w:val="24"/>
          <w:szCs w:val="24"/>
        </w:rPr>
        <w:t xml:space="preserve"> high-quality experiences while ensuring fiscal responsibility. This corresponds with the Administration Domain in EMBOK, which promotes effective financial management and resource allocation that guarantee fiscal responsibility in events with significant operational expenses (Silvers, 2007</w:t>
      </w:r>
      <w:r w:rsidR="00D57380" w:rsidRPr="002B5902">
        <w:rPr>
          <w:rFonts w:ascii="Arial" w:hAnsi="Arial" w:cs="Arial"/>
          <w:sz w:val="24"/>
          <w:szCs w:val="24"/>
        </w:rPr>
        <w:t>):</w:t>
      </w:r>
    </w:p>
    <w:p w14:paraId="1686BF66" w14:textId="159A3E13" w:rsidR="004140B7" w:rsidRPr="002B5902" w:rsidRDefault="004140B7" w:rsidP="002B5902">
      <w:pPr>
        <w:numPr>
          <w:ilvl w:val="0"/>
          <w:numId w:val="22"/>
        </w:numPr>
        <w:spacing w:line="360" w:lineRule="auto"/>
        <w:jc w:val="both"/>
        <w:rPr>
          <w:rFonts w:ascii="Arial" w:hAnsi="Arial" w:cs="Arial"/>
          <w:sz w:val="24"/>
          <w:szCs w:val="24"/>
        </w:rPr>
      </w:pPr>
      <w:bookmarkStart w:id="20" w:name="_Toc181992352"/>
      <w:r w:rsidRPr="00716297">
        <w:rPr>
          <w:rStyle w:val="Heading3Char"/>
          <w:rFonts w:ascii="Arial" w:hAnsi="Arial" w:cs="Arial"/>
          <w:i/>
          <w:iCs/>
          <w:color w:val="auto"/>
          <w:sz w:val="24"/>
          <w:szCs w:val="24"/>
        </w:rPr>
        <w:t>Venue Hire</w:t>
      </w:r>
      <w:bookmarkEnd w:id="20"/>
      <w:r w:rsidRPr="00716297">
        <w:rPr>
          <w:rFonts w:ascii="Arial" w:hAnsi="Arial" w:cs="Arial"/>
          <w:b/>
          <w:bCs/>
          <w:sz w:val="24"/>
          <w:szCs w:val="24"/>
        </w:rPr>
        <w:t xml:space="preserve"> </w:t>
      </w:r>
      <w:r w:rsidRPr="002B5902">
        <w:rPr>
          <w:rFonts w:ascii="Arial" w:hAnsi="Arial" w:cs="Arial"/>
          <w:b/>
          <w:bCs/>
          <w:sz w:val="24"/>
          <w:szCs w:val="24"/>
        </w:rPr>
        <w:t>(£50,000)</w:t>
      </w:r>
      <w:r w:rsidRPr="002B5902">
        <w:rPr>
          <w:rFonts w:ascii="Arial" w:hAnsi="Arial" w:cs="Arial"/>
          <w:sz w:val="24"/>
          <w:szCs w:val="24"/>
        </w:rPr>
        <w:t xml:space="preserve">: </w:t>
      </w:r>
      <w:r w:rsidR="007472BD" w:rsidRPr="002B5902">
        <w:rPr>
          <w:rFonts w:ascii="Arial" w:hAnsi="Arial" w:cs="Arial"/>
          <w:sz w:val="24"/>
          <w:szCs w:val="24"/>
        </w:rPr>
        <w:t xml:space="preserve">The Cairngorm Mountain Resort's extensive amenities and unique access foster an immersive setting for leadership development and </w:t>
      </w:r>
      <w:r w:rsidR="007472BD" w:rsidRPr="002B5902">
        <w:rPr>
          <w:rFonts w:ascii="Arial" w:hAnsi="Arial" w:cs="Arial"/>
          <w:sz w:val="24"/>
          <w:szCs w:val="24"/>
        </w:rPr>
        <w:lastRenderedPageBreak/>
        <w:t>networking, thereby validating the elevated expenses associated with meeting spaces, upscale accommodations, and winter activity venues (Salama, 2021).</w:t>
      </w:r>
    </w:p>
    <w:p w14:paraId="4A695869" w14:textId="0C34AAD2" w:rsidR="004140B7" w:rsidRPr="002B5902" w:rsidRDefault="004140B7" w:rsidP="002B5902">
      <w:pPr>
        <w:numPr>
          <w:ilvl w:val="0"/>
          <w:numId w:val="22"/>
        </w:numPr>
        <w:spacing w:line="360" w:lineRule="auto"/>
        <w:jc w:val="both"/>
        <w:rPr>
          <w:rFonts w:ascii="Arial" w:hAnsi="Arial" w:cs="Arial"/>
          <w:sz w:val="24"/>
          <w:szCs w:val="24"/>
        </w:rPr>
      </w:pPr>
      <w:bookmarkStart w:id="21" w:name="_Toc181992353"/>
      <w:r w:rsidRPr="00716297">
        <w:rPr>
          <w:rStyle w:val="Heading3Char"/>
          <w:rFonts w:ascii="Arial" w:hAnsi="Arial" w:cs="Arial"/>
          <w:i/>
          <w:iCs/>
          <w:color w:val="auto"/>
          <w:sz w:val="24"/>
          <w:szCs w:val="24"/>
        </w:rPr>
        <w:t>Catering</w:t>
      </w:r>
      <w:bookmarkEnd w:id="21"/>
      <w:r w:rsidRPr="002B5902">
        <w:rPr>
          <w:rFonts w:ascii="Arial" w:hAnsi="Arial" w:cs="Arial"/>
          <w:b/>
          <w:bCs/>
          <w:sz w:val="24"/>
          <w:szCs w:val="24"/>
        </w:rPr>
        <w:t xml:space="preserve"> (£30,000)</w:t>
      </w:r>
      <w:r w:rsidRPr="002B5902">
        <w:rPr>
          <w:rFonts w:ascii="Arial" w:hAnsi="Arial" w:cs="Arial"/>
          <w:sz w:val="24"/>
          <w:szCs w:val="24"/>
        </w:rPr>
        <w:t xml:space="preserve">: </w:t>
      </w:r>
      <w:r w:rsidR="001B59C7" w:rsidRPr="002B5902">
        <w:rPr>
          <w:rFonts w:ascii="Arial" w:hAnsi="Arial" w:cs="Arial"/>
          <w:sz w:val="24"/>
          <w:szCs w:val="24"/>
        </w:rPr>
        <w:t xml:space="preserve">Quality and varied catering </w:t>
      </w:r>
      <w:r w:rsidR="00877D46">
        <w:rPr>
          <w:rFonts w:ascii="Arial" w:hAnsi="Arial" w:cs="Arial"/>
          <w:sz w:val="24"/>
          <w:szCs w:val="24"/>
        </w:rPr>
        <w:t>improve</w:t>
      </w:r>
      <w:r w:rsidR="001B59C7" w:rsidRPr="002B5902">
        <w:rPr>
          <w:rFonts w:ascii="Arial" w:hAnsi="Arial" w:cs="Arial"/>
          <w:sz w:val="24"/>
          <w:szCs w:val="24"/>
        </w:rPr>
        <w:t xml:space="preserve"> attendee satisfaction and networking, consistent with research indicating that thoughtfully selected meal options increase event efficacy (Kelly et al., 2019).</w:t>
      </w:r>
    </w:p>
    <w:p w14:paraId="4671A25D" w14:textId="5F1532FF" w:rsidR="004140B7" w:rsidRPr="002B5902" w:rsidRDefault="004140B7" w:rsidP="002B5902">
      <w:pPr>
        <w:numPr>
          <w:ilvl w:val="0"/>
          <w:numId w:val="22"/>
        </w:numPr>
        <w:spacing w:line="360" w:lineRule="auto"/>
        <w:jc w:val="both"/>
        <w:rPr>
          <w:rFonts w:ascii="Arial" w:hAnsi="Arial" w:cs="Arial"/>
          <w:sz w:val="24"/>
          <w:szCs w:val="24"/>
        </w:rPr>
      </w:pPr>
      <w:bookmarkStart w:id="22" w:name="_Toc181992354"/>
      <w:r w:rsidRPr="00716297">
        <w:rPr>
          <w:rStyle w:val="Heading3Char"/>
          <w:rFonts w:ascii="Arial" w:hAnsi="Arial" w:cs="Arial"/>
          <w:i/>
          <w:iCs/>
          <w:color w:val="auto"/>
          <w:sz w:val="24"/>
          <w:szCs w:val="24"/>
        </w:rPr>
        <w:t>Staffing</w:t>
      </w:r>
      <w:bookmarkEnd w:id="22"/>
      <w:r w:rsidRPr="00716297">
        <w:rPr>
          <w:rFonts w:ascii="Arial" w:hAnsi="Arial" w:cs="Arial"/>
          <w:b/>
          <w:bCs/>
          <w:sz w:val="24"/>
          <w:szCs w:val="24"/>
        </w:rPr>
        <w:t xml:space="preserve"> </w:t>
      </w:r>
      <w:r w:rsidRPr="002B5902">
        <w:rPr>
          <w:rFonts w:ascii="Arial" w:hAnsi="Arial" w:cs="Arial"/>
          <w:b/>
          <w:bCs/>
          <w:sz w:val="24"/>
          <w:szCs w:val="24"/>
        </w:rPr>
        <w:t>(£25,000)</w:t>
      </w:r>
      <w:r w:rsidRPr="002B5902">
        <w:rPr>
          <w:rFonts w:ascii="Arial" w:hAnsi="Arial" w:cs="Arial"/>
          <w:sz w:val="24"/>
          <w:szCs w:val="24"/>
        </w:rPr>
        <w:t xml:space="preserve">: </w:t>
      </w:r>
      <w:r w:rsidR="00D07F2C">
        <w:rPr>
          <w:rFonts w:ascii="Arial" w:hAnsi="Arial" w:cs="Arial"/>
          <w:sz w:val="24"/>
          <w:szCs w:val="24"/>
        </w:rPr>
        <w:t>Hiring</w:t>
      </w:r>
      <w:r w:rsidR="00EA7791" w:rsidRPr="002B5902">
        <w:rPr>
          <w:rFonts w:ascii="Arial" w:hAnsi="Arial" w:cs="Arial"/>
          <w:sz w:val="24"/>
          <w:szCs w:val="24"/>
        </w:rPr>
        <w:t xml:space="preserve"> over 50 proficient staff members, comprising AV technicians, event coordinators, and facilitators, guarantees flawless execution. Prioritising local hires, as </w:t>
      </w:r>
      <w:r w:rsidR="00D07F2C">
        <w:rPr>
          <w:rFonts w:ascii="Arial" w:hAnsi="Arial" w:cs="Arial"/>
          <w:sz w:val="24"/>
          <w:szCs w:val="24"/>
        </w:rPr>
        <w:t>EMBOK’s Administration Domain recommends</w:t>
      </w:r>
      <w:r w:rsidR="00EA7791" w:rsidRPr="002B5902">
        <w:rPr>
          <w:rFonts w:ascii="Arial" w:hAnsi="Arial" w:cs="Arial"/>
          <w:sz w:val="24"/>
          <w:szCs w:val="24"/>
        </w:rPr>
        <w:t>, increases community value and operational flexibility (</w:t>
      </w:r>
      <w:proofErr w:type="spellStart"/>
      <w:r w:rsidR="00EA7791" w:rsidRPr="002B5902">
        <w:rPr>
          <w:rFonts w:ascii="Arial" w:hAnsi="Arial" w:cs="Arial"/>
          <w:sz w:val="24"/>
          <w:szCs w:val="24"/>
        </w:rPr>
        <w:t>Lockstone</w:t>
      </w:r>
      <w:proofErr w:type="spellEnd"/>
      <w:r w:rsidR="00EA7791" w:rsidRPr="002B5902">
        <w:rPr>
          <w:rFonts w:ascii="Arial" w:hAnsi="Arial" w:cs="Arial"/>
          <w:sz w:val="24"/>
          <w:szCs w:val="24"/>
        </w:rPr>
        <w:t>-Binney, Hanlon, and Jago, 2020).</w:t>
      </w:r>
    </w:p>
    <w:p w14:paraId="106EAB0C" w14:textId="051D82AB" w:rsidR="004140B7" w:rsidRPr="002B5902" w:rsidRDefault="004140B7" w:rsidP="002B5902">
      <w:pPr>
        <w:numPr>
          <w:ilvl w:val="0"/>
          <w:numId w:val="22"/>
        </w:numPr>
        <w:spacing w:line="360" w:lineRule="auto"/>
        <w:jc w:val="both"/>
        <w:rPr>
          <w:rFonts w:ascii="Arial" w:hAnsi="Arial" w:cs="Arial"/>
          <w:sz w:val="24"/>
          <w:szCs w:val="24"/>
        </w:rPr>
      </w:pPr>
      <w:bookmarkStart w:id="23" w:name="_Toc181992355"/>
      <w:r w:rsidRPr="00716297">
        <w:rPr>
          <w:rStyle w:val="Heading3Char"/>
          <w:rFonts w:ascii="Arial" w:hAnsi="Arial" w:cs="Arial"/>
          <w:i/>
          <w:iCs/>
          <w:color w:val="auto"/>
          <w:sz w:val="24"/>
          <w:szCs w:val="24"/>
        </w:rPr>
        <w:t>Activity Expenses</w:t>
      </w:r>
      <w:bookmarkEnd w:id="23"/>
      <w:r w:rsidRPr="00716297">
        <w:rPr>
          <w:rFonts w:ascii="Arial" w:hAnsi="Arial" w:cs="Arial"/>
          <w:b/>
          <w:bCs/>
          <w:sz w:val="24"/>
          <w:szCs w:val="24"/>
        </w:rPr>
        <w:t xml:space="preserve"> </w:t>
      </w:r>
      <w:r w:rsidRPr="002B5902">
        <w:rPr>
          <w:rFonts w:ascii="Arial" w:hAnsi="Arial" w:cs="Arial"/>
          <w:b/>
          <w:bCs/>
          <w:sz w:val="24"/>
          <w:szCs w:val="24"/>
        </w:rPr>
        <w:t>(£20,000)</w:t>
      </w:r>
      <w:r w:rsidRPr="002B5902">
        <w:rPr>
          <w:rFonts w:ascii="Arial" w:hAnsi="Arial" w:cs="Arial"/>
          <w:sz w:val="24"/>
          <w:szCs w:val="24"/>
        </w:rPr>
        <w:t xml:space="preserve">: </w:t>
      </w:r>
      <w:r w:rsidR="009A3166" w:rsidRPr="002B5902">
        <w:rPr>
          <w:rFonts w:ascii="Arial" w:hAnsi="Arial" w:cs="Arial"/>
          <w:sz w:val="24"/>
          <w:szCs w:val="24"/>
        </w:rPr>
        <w:t xml:space="preserve">Expenses related to skiing, snowboarding, and team-building activities promote experiential learning and advance the </w:t>
      </w:r>
      <w:r w:rsidR="00877D46">
        <w:rPr>
          <w:rFonts w:ascii="Arial" w:hAnsi="Arial" w:cs="Arial"/>
          <w:sz w:val="24"/>
          <w:szCs w:val="24"/>
        </w:rPr>
        <w:t>Summit's</w:t>
      </w:r>
      <w:r w:rsidR="009A3166" w:rsidRPr="002B5902">
        <w:rPr>
          <w:rFonts w:ascii="Arial" w:hAnsi="Arial" w:cs="Arial"/>
          <w:sz w:val="24"/>
          <w:szCs w:val="24"/>
        </w:rPr>
        <w:t xml:space="preserve"> objective of strengthening team dynamics (</w:t>
      </w:r>
      <w:proofErr w:type="spellStart"/>
      <w:r w:rsidR="009A3166" w:rsidRPr="002B5902">
        <w:rPr>
          <w:rFonts w:ascii="Arial" w:hAnsi="Arial" w:cs="Arial"/>
          <w:sz w:val="24"/>
          <w:szCs w:val="24"/>
        </w:rPr>
        <w:t>Creazza</w:t>
      </w:r>
      <w:proofErr w:type="spellEnd"/>
      <w:r w:rsidR="009A3166" w:rsidRPr="002B5902">
        <w:rPr>
          <w:rFonts w:ascii="Arial" w:hAnsi="Arial" w:cs="Arial"/>
          <w:sz w:val="24"/>
          <w:szCs w:val="24"/>
        </w:rPr>
        <w:t xml:space="preserve">, </w:t>
      </w:r>
      <w:proofErr w:type="spellStart"/>
      <w:r w:rsidR="009A3166" w:rsidRPr="002B5902">
        <w:rPr>
          <w:rFonts w:ascii="Arial" w:hAnsi="Arial" w:cs="Arial"/>
          <w:sz w:val="24"/>
          <w:szCs w:val="24"/>
        </w:rPr>
        <w:t>Colicchia</w:t>
      </w:r>
      <w:proofErr w:type="spellEnd"/>
      <w:r w:rsidR="009A3166" w:rsidRPr="002B5902">
        <w:rPr>
          <w:rFonts w:ascii="Arial" w:hAnsi="Arial" w:cs="Arial"/>
          <w:sz w:val="24"/>
          <w:szCs w:val="24"/>
        </w:rPr>
        <w:t xml:space="preserve">, and </w:t>
      </w:r>
      <w:proofErr w:type="spellStart"/>
      <w:r w:rsidR="009A3166" w:rsidRPr="002B5902">
        <w:rPr>
          <w:rFonts w:ascii="Arial" w:hAnsi="Arial" w:cs="Arial"/>
          <w:sz w:val="24"/>
          <w:szCs w:val="24"/>
        </w:rPr>
        <w:t>Dallari</w:t>
      </w:r>
      <w:proofErr w:type="spellEnd"/>
      <w:r w:rsidR="009A3166" w:rsidRPr="002B5902">
        <w:rPr>
          <w:rFonts w:ascii="Arial" w:hAnsi="Arial" w:cs="Arial"/>
          <w:sz w:val="24"/>
          <w:szCs w:val="24"/>
        </w:rPr>
        <w:t>, 2015).</w:t>
      </w:r>
    </w:p>
    <w:p w14:paraId="0496C758" w14:textId="77777777" w:rsidR="00305CE5" w:rsidRPr="00716297" w:rsidRDefault="004140B7" w:rsidP="00716297">
      <w:pPr>
        <w:pStyle w:val="Heading2"/>
        <w:rPr>
          <w:rFonts w:ascii="Arial" w:hAnsi="Arial" w:cs="Arial"/>
          <w:b/>
          <w:bCs/>
          <w:color w:val="auto"/>
          <w:sz w:val="24"/>
          <w:szCs w:val="24"/>
        </w:rPr>
      </w:pPr>
      <w:bookmarkStart w:id="24" w:name="_Toc181992356"/>
      <w:r w:rsidRPr="00716297">
        <w:rPr>
          <w:rFonts w:ascii="Arial" w:hAnsi="Arial" w:cs="Arial"/>
          <w:b/>
          <w:bCs/>
          <w:color w:val="auto"/>
          <w:sz w:val="24"/>
          <w:szCs w:val="24"/>
        </w:rPr>
        <w:t>Revenue Generation</w:t>
      </w:r>
      <w:bookmarkEnd w:id="24"/>
    </w:p>
    <w:p w14:paraId="00A495FF" w14:textId="20B616D6" w:rsidR="004140B7" w:rsidRPr="002B5902" w:rsidRDefault="004140B7" w:rsidP="002B5902">
      <w:pPr>
        <w:spacing w:line="360" w:lineRule="auto"/>
        <w:jc w:val="both"/>
        <w:rPr>
          <w:rFonts w:ascii="Arial" w:hAnsi="Arial" w:cs="Arial"/>
          <w:sz w:val="24"/>
          <w:szCs w:val="24"/>
        </w:rPr>
      </w:pPr>
      <w:r w:rsidRPr="002B5902">
        <w:rPr>
          <w:rFonts w:ascii="Arial" w:hAnsi="Arial" w:cs="Arial"/>
          <w:sz w:val="24"/>
          <w:szCs w:val="24"/>
        </w:rPr>
        <w:t>To achieve a sustainable financial model, Oracle employs a multi-channel revenue strategy:</w:t>
      </w:r>
    </w:p>
    <w:p w14:paraId="451B18AD" w14:textId="77777777" w:rsidR="004140B7" w:rsidRPr="002B5902" w:rsidRDefault="004140B7" w:rsidP="002B5902">
      <w:pPr>
        <w:numPr>
          <w:ilvl w:val="0"/>
          <w:numId w:val="23"/>
        </w:numPr>
        <w:spacing w:line="360" w:lineRule="auto"/>
        <w:jc w:val="both"/>
        <w:rPr>
          <w:rFonts w:ascii="Arial" w:hAnsi="Arial" w:cs="Arial"/>
          <w:sz w:val="24"/>
          <w:szCs w:val="24"/>
        </w:rPr>
      </w:pPr>
      <w:bookmarkStart w:id="25" w:name="_Toc181992357"/>
      <w:r w:rsidRPr="00716297">
        <w:rPr>
          <w:rStyle w:val="Heading3Char"/>
          <w:rFonts w:ascii="Arial" w:hAnsi="Arial" w:cs="Arial"/>
          <w:i/>
          <w:iCs/>
          <w:color w:val="auto"/>
          <w:sz w:val="24"/>
          <w:szCs w:val="24"/>
        </w:rPr>
        <w:t>Ticket Sales</w:t>
      </w:r>
      <w:bookmarkEnd w:id="25"/>
      <w:r w:rsidRPr="002B5902">
        <w:rPr>
          <w:rFonts w:ascii="Arial" w:hAnsi="Arial" w:cs="Arial"/>
          <w:sz w:val="24"/>
          <w:szCs w:val="24"/>
        </w:rPr>
        <w:t>: Flexible pricing between £500 and £1000 per participant ensures accessibility while covering significant portions of costs (Gajjar and Parmar, 2020).</w:t>
      </w:r>
    </w:p>
    <w:p w14:paraId="429D71FE" w14:textId="032422C3" w:rsidR="00DC0A68" w:rsidRPr="002B5902" w:rsidRDefault="004140B7" w:rsidP="002B5902">
      <w:pPr>
        <w:numPr>
          <w:ilvl w:val="0"/>
          <w:numId w:val="23"/>
        </w:numPr>
        <w:spacing w:line="360" w:lineRule="auto"/>
        <w:jc w:val="both"/>
        <w:rPr>
          <w:rFonts w:ascii="Arial" w:hAnsi="Arial" w:cs="Arial"/>
          <w:sz w:val="24"/>
          <w:szCs w:val="24"/>
        </w:rPr>
      </w:pPr>
      <w:bookmarkStart w:id="26" w:name="_Toc181992358"/>
      <w:r w:rsidRPr="00716297">
        <w:rPr>
          <w:rStyle w:val="Heading3Char"/>
          <w:rFonts w:ascii="Arial" w:hAnsi="Arial" w:cs="Arial"/>
          <w:i/>
          <w:iCs/>
          <w:color w:val="auto"/>
          <w:sz w:val="24"/>
          <w:szCs w:val="24"/>
        </w:rPr>
        <w:t>Sponsorship Strategy</w:t>
      </w:r>
      <w:bookmarkEnd w:id="26"/>
      <w:r w:rsidRPr="002B5902">
        <w:rPr>
          <w:rFonts w:ascii="Arial" w:hAnsi="Arial" w:cs="Arial"/>
          <w:sz w:val="24"/>
          <w:szCs w:val="24"/>
        </w:rPr>
        <w:t xml:space="preserve">: </w:t>
      </w:r>
      <w:r w:rsidR="00DC0A68" w:rsidRPr="002B5902">
        <w:rPr>
          <w:rFonts w:ascii="Arial" w:hAnsi="Arial" w:cs="Arial"/>
          <w:sz w:val="24"/>
          <w:szCs w:val="24"/>
        </w:rPr>
        <w:t xml:space="preserve">A tiered sponsorship model involving technology partners </w:t>
      </w:r>
      <w:r w:rsidR="00D07F2C">
        <w:rPr>
          <w:rFonts w:ascii="Arial" w:hAnsi="Arial" w:cs="Arial"/>
          <w:sz w:val="24"/>
          <w:szCs w:val="24"/>
        </w:rPr>
        <w:t>like</w:t>
      </w:r>
      <w:r w:rsidR="00DC0A68" w:rsidRPr="002B5902">
        <w:rPr>
          <w:rFonts w:ascii="Arial" w:hAnsi="Arial" w:cs="Arial"/>
          <w:sz w:val="24"/>
          <w:szCs w:val="24"/>
        </w:rPr>
        <w:t xml:space="preserve"> Microsoft could cover up to 50% of expenses, boosting financial stability and solidifying partnerships (Berrett and Slack, 1999).</w:t>
      </w:r>
    </w:p>
    <w:p w14:paraId="72274B1C" w14:textId="77777777" w:rsidR="00305CE5" w:rsidRPr="00716297" w:rsidRDefault="004140B7" w:rsidP="00716297">
      <w:pPr>
        <w:pStyle w:val="Heading2"/>
        <w:rPr>
          <w:rFonts w:ascii="Arial" w:hAnsi="Arial" w:cs="Arial"/>
          <w:b/>
          <w:bCs/>
          <w:color w:val="auto"/>
          <w:sz w:val="24"/>
          <w:szCs w:val="24"/>
        </w:rPr>
      </w:pPr>
      <w:bookmarkStart w:id="27" w:name="_Toc181992359"/>
      <w:r w:rsidRPr="00716297">
        <w:rPr>
          <w:rFonts w:ascii="Arial" w:hAnsi="Arial" w:cs="Arial"/>
          <w:b/>
          <w:bCs/>
          <w:color w:val="auto"/>
          <w:sz w:val="24"/>
          <w:szCs w:val="24"/>
        </w:rPr>
        <w:t>Funding Options</w:t>
      </w:r>
      <w:bookmarkEnd w:id="27"/>
    </w:p>
    <w:p w14:paraId="62B09951" w14:textId="6ACB9DA5" w:rsidR="004140B7" w:rsidRPr="00305CE5" w:rsidRDefault="004A0622" w:rsidP="00305CE5">
      <w:pPr>
        <w:spacing w:line="360" w:lineRule="auto"/>
        <w:jc w:val="both"/>
        <w:rPr>
          <w:rFonts w:ascii="Arial" w:hAnsi="Arial" w:cs="Arial"/>
          <w:sz w:val="24"/>
          <w:szCs w:val="24"/>
        </w:rPr>
      </w:pPr>
      <w:r w:rsidRPr="00305CE5">
        <w:rPr>
          <w:rFonts w:ascii="Arial" w:hAnsi="Arial" w:cs="Arial"/>
          <w:sz w:val="24"/>
          <w:szCs w:val="24"/>
        </w:rPr>
        <w:t xml:space="preserve">Oracle considers subsidies from the UK </w:t>
      </w:r>
      <w:r w:rsidR="00877D46">
        <w:rPr>
          <w:rFonts w:ascii="Arial" w:hAnsi="Arial" w:cs="Arial"/>
          <w:sz w:val="24"/>
          <w:szCs w:val="24"/>
        </w:rPr>
        <w:t>Tourism Board</w:t>
      </w:r>
      <w:r w:rsidRPr="00305CE5">
        <w:rPr>
          <w:rFonts w:ascii="Arial" w:hAnsi="Arial" w:cs="Arial"/>
          <w:sz w:val="24"/>
          <w:szCs w:val="24"/>
        </w:rPr>
        <w:t xml:space="preserve"> and business development grants to diminish dependence on ticket sales exclusively, which encourages regional economic growth (Ahmed, 2021).</w:t>
      </w:r>
    </w:p>
    <w:p w14:paraId="11688511" w14:textId="77777777" w:rsidR="00305CE5" w:rsidRPr="00716297" w:rsidRDefault="004140B7" w:rsidP="00716297">
      <w:pPr>
        <w:pStyle w:val="Heading2"/>
        <w:rPr>
          <w:rFonts w:ascii="Arial" w:hAnsi="Arial" w:cs="Arial"/>
          <w:b/>
          <w:bCs/>
          <w:color w:val="auto"/>
          <w:sz w:val="24"/>
          <w:szCs w:val="24"/>
        </w:rPr>
      </w:pPr>
      <w:bookmarkStart w:id="28" w:name="_Toc181992360"/>
      <w:r w:rsidRPr="00716297">
        <w:rPr>
          <w:rFonts w:ascii="Arial" w:hAnsi="Arial" w:cs="Arial"/>
          <w:b/>
          <w:bCs/>
          <w:color w:val="auto"/>
          <w:sz w:val="24"/>
          <w:szCs w:val="24"/>
        </w:rPr>
        <w:t>Financial Projections</w:t>
      </w:r>
      <w:bookmarkEnd w:id="28"/>
    </w:p>
    <w:p w14:paraId="249EEEAA" w14:textId="348B2AD1" w:rsidR="0039154A" w:rsidRPr="002B5902" w:rsidRDefault="0039154A" w:rsidP="002B5902">
      <w:pPr>
        <w:spacing w:line="360" w:lineRule="auto"/>
        <w:jc w:val="both"/>
        <w:rPr>
          <w:rFonts w:ascii="Arial" w:hAnsi="Arial" w:cs="Arial"/>
          <w:sz w:val="24"/>
          <w:szCs w:val="24"/>
        </w:rPr>
      </w:pPr>
      <w:r w:rsidRPr="002B5902">
        <w:rPr>
          <w:rFonts w:ascii="Arial" w:hAnsi="Arial" w:cs="Arial"/>
          <w:sz w:val="24"/>
          <w:szCs w:val="24"/>
        </w:rPr>
        <w:t xml:space="preserve">The budget seeks to accomplish a breakeven point or a slight profit, reconciling revenue from ticket sales and sponsorships with total expenses. The Administration Domain of </w:t>
      </w:r>
      <w:r w:rsidRPr="002B5902">
        <w:rPr>
          <w:rFonts w:ascii="Arial" w:hAnsi="Arial" w:cs="Arial"/>
          <w:sz w:val="24"/>
          <w:szCs w:val="24"/>
        </w:rPr>
        <w:lastRenderedPageBreak/>
        <w:t>EMBOK promotes prudent fiscal planning, highlighting flexible strategies to maintain financial stability despite fluctuating participation and sponsorship (Mallen and Adams, 2017; Silvers, 2007).</w:t>
      </w:r>
    </w:p>
    <w:p w14:paraId="31D224FA" w14:textId="77777777" w:rsidR="0039154A" w:rsidRPr="002B5902" w:rsidRDefault="0039154A" w:rsidP="002B5902">
      <w:pPr>
        <w:spacing w:line="360" w:lineRule="auto"/>
        <w:jc w:val="both"/>
        <w:rPr>
          <w:rFonts w:ascii="Arial" w:hAnsi="Arial" w:cs="Arial"/>
          <w:sz w:val="24"/>
          <w:szCs w:val="24"/>
        </w:rPr>
      </w:pPr>
    </w:p>
    <w:p w14:paraId="7BC5BA15" w14:textId="3B5C7C08" w:rsidR="009C1365" w:rsidRPr="00993E46" w:rsidRDefault="009C1365" w:rsidP="00993E46">
      <w:pPr>
        <w:pStyle w:val="Heading1"/>
        <w:rPr>
          <w:rFonts w:ascii="Arial" w:hAnsi="Arial" w:cs="Arial"/>
          <w:b/>
          <w:bCs/>
          <w:color w:val="auto"/>
          <w:sz w:val="28"/>
          <w:szCs w:val="28"/>
        </w:rPr>
      </w:pPr>
      <w:bookmarkStart w:id="29" w:name="_Toc181992361"/>
      <w:r w:rsidRPr="00993E46">
        <w:rPr>
          <w:rFonts w:ascii="Arial" w:hAnsi="Arial" w:cs="Arial"/>
          <w:b/>
          <w:bCs/>
          <w:color w:val="auto"/>
          <w:sz w:val="28"/>
          <w:szCs w:val="28"/>
        </w:rPr>
        <w:t xml:space="preserve">5. </w:t>
      </w:r>
      <w:r w:rsidRPr="00993E46">
        <w:rPr>
          <w:rStyle w:val="Heading1Char"/>
          <w:rFonts w:ascii="Arial" w:hAnsi="Arial" w:cs="Arial"/>
          <w:b/>
          <w:bCs/>
          <w:color w:val="auto"/>
          <w:sz w:val="28"/>
          <w:szCs w:val="28"/>
        </w:rPr>
        <w:t>Marketing and Promotion</w:t>
      </w:r>
      <w:bookmarkEnd w:id="29"/>
      <w:r w:rsidRPr="00993E46">
        <w:rPr>
          <w:rFonts w:ascii="Arial" w:hAnsi="Arial" w:cs="Arial"/>
          <w:b/>
          <w:bCs/>
          <w:color w:val="auto"/>
          <w:sz w:val="28"/>
          <w:szCs w:val="28"/>
        </w:rPr>
        <w:t xml:space="preserve"> </w:t>
      </w:r>
    </w:p>
    <w:p w14:paraId="72C4A295" w14:textId="77777777" w:rsidR="00305CE5" w:rsidRPr="00716297" w:rsidRDefault="00122900" w:rsidP="00716297">
      <w:pPr>
        <w:pStyle w:val="Heading2"/>
        <w:rPr>
          <w:rFonts w:ascii="Arial" w:hAnsi="Arial" w:cs="Arial"/>
          <w:b/>
          <w:bCs/>
          <w:color w:val="auto"/>
          <w:sz w:val="24"/>
          <w:szCs w:val="24"/>
        </w:rPr>
      </w:pPr>
      <w:bookmarkStart w:id="30" w:name="_Toc181992362"/>
      <w:r w:rsidRPr="00716297">
        <w:rPr>
          <w:rFonts w:ascii="Arial" w:hAnsi="Arial" w:cs="Arial"/>
          <w:b/>
          <w:bCs/>
          <w:color w:val="auto"/>
          <w:sz w:val="24"/>
          <w:szCs w:val="24"/>
        </w:rPr>
        <w:t>Target Audience</w:t>
      </w:r>
      <w:bookmarkEnd w:id="30"/>
    </w:p>
    <w:p w14:paraId="6E17B291" w14:textId="2966A447" w:rsidR="00122900" w:rsidRPr="002B5902" w:rsidRDefault="0029561E" w:rsidP="002B5902">
      <w:pPr>
        <w:spacing w:line="360" w:lineRule="auto"/>
        <w:jc w:val="both"/>
        <w:rPr>
          <w:rFonts w:ascii="Arial" w:hAnsi="Arial" w:cs="Arial"/>
          <w:sz w:val="24"/>
          <w:szCs w:val="24"/>
        </w:rPr>
      </w:pPr>
      <w:r w:rsidRPr="002B5902">
        <w:rPr>
          <w:rFonts w:ascii="Arial" w:hAnsi="Arial" w:cs="Arial"/>
          <w:sz w:val="24"/>
          <w:szCs w:val="24"/>
        </w:rPr>
        <w:t xml:space="preserve">The principal audience for the Oracle Winter Summit comprises senior executives, HR managers, and event coordinators within the technology sector, all </w:t>
      </w:r>
      <w:r w:rsidR="00D07F2C">
        <w:rPr>
          <w:rFonts w:ascii="Arial" w:hAnsi="Arial" w:cs="Arial"/>
          <w:sz w:val="24"/>
          <w:szCs w:val="24"/>
        </w:rPr>
        <w:t>pursuing</w:t>
      </w:r>
      <w:r w:rsidRPr="002B5902">
        <w:rPr>
          <w:rFonts w:ascii="Arial" w:hAnsi="Arial" w:cs="Arial"/>
          <w:sz w:val="24"/>
          <w:szCs w:val="24"/>
        </w:rPr>
        <w:t xml:space="preserve"> innovative leadership and team-building opportunities to enhance professional development. Following the pandemic, a renewed focus on in-person engagement makes carefully organised events valuable for restoring team dynamics and promoting strategic thinking among senior participants </w:t>
      </w:r>
      <w:r w:rsidR="00D07F2C">
        <w:rPr>
          <w:rFonts w:ascii="Arial" w:hAnsi="Arial" w:cs="Arial"/>
          <w:sz w:val="24"/>
          <w:szCs w:val="24"/>
        </w:rPr>
        <w:t>by</w:t>
      </w:r>
      <w:r w:rsidRPr="002B5902">
        <w:rPr>
          <w:rFonts w:ascii="Arial" w:hAnsi="Arial" w:cs="Arial"/>
          <w:sz w:val="24"/>
          <w:szCs w:val="24"/>
        </w:rPr>
        <w:t xml:space="preserve"> Oracle's leadership objectives (Halim et al., 2023). The </w:t>
      </w:r>
      <w:r w:rsidR="00877D46">
        <w:rPr>
          <w:rFonts w:ascii="Arial" w:hAnsi="Arial" w:cs="Arial"/>
          <w:sz w:val="24"/>
          <w:szCs w:val="24"/>
        </w:rPr>
        <w:t>marketing domain in EMBOK directs Oracle to target these segments through structured strategies such as sponsorship, public relations, and customised promotions, allowing Oracle to communicate successfully</w:t>
      </w:r>
      <w:r w:rsidRPr="002B5902">
        <w:rPr>
          <w:rFonts w:ascii="Arial" w:hAnsi="Arial" w:cs="Arial"/>
          <w:sz w:val="24"/>
          <w:szCs w:val="24"/>
        </w:rPr>
        <w:t xml:space="preserve"> with these influential decision-makers (Silvers, 2007).</w:t>
      </w:r>
    </w:p>
    <w:p w14:paraId="16F710E0" w14:textId="77777777" w:rsidR="00305CE5" w:rsidRPr="00716297" w:rsidRDefault="00122900" w:rsidP="00716297">
      <w:pPr>
        <w:pStyle w:val="Heading2"/>
        <w:rPr>
          <w:rFonts w:ascii="Arial" w:hAnsi="Arial" w:cs="Arial"/>
          <w:b/>
          <w:bCs/>
          <w:color w:val="auto"/>
          <w:sz w:val="24"/>
          <w:szCs w:val="24"/>
        </w:rPr>
      </w:pPr>
      <w:bookmarkStart w:id="31" w:name="_Toc181992363"/>
      <w:r w:rsidRPr="00716297">
        <w:rPr>
          <w:rFonts w:ascii="Arial" w:hAnsi="Arial" w:cs="Arial"/>
          <w:b/>
          <w:bCs/>
          <w:color w:val="auto"/>
          <w:sz w:val="24"/>
          <w:szCs w:val="24"/>
        </w:rPr>
        <w:t>Marketing Channels</w:t>
      </w:r>
      <w:bookmarkEnd w:id="31"/>
    </w:p>
    <w:p w14:paraId="1E2A4FD3" w14:textId="5BF9BDE6" w:rsidR="00122900" w:rsidRPr="002B5902" w:rsidRDefault="00122900" w:rsidP="002B5902">
      <w:pPr>
        <w:spacing w:line="360" w:lineRule="auto"/>
        <w:jc w:val="both"/>
        <w:rPr>
          <w:rFonts w:ascii="Arial" w:hAnsi="Arial" w:cs="Arial"/>
          <w:sz w:val="24"/>
          <w:szCs w:val="24"/>
        </w:rPr>
      </w:pPr>
      <w:r w:rsidRPr="002B5902">
        <w:rPr>
          <w:rFonts w:ascii="Arial" w:hAnsi="Arial" w:cs="Arial"/>
          <w:sz w:val="24"/>
          <w:szCs w:val="24"/>
        </w:rPr>
        <w:t xml:space="preserve">Oracle’s marketing strategy </w:t>
      </w:r>
      <w:r w:rsidR="0029561E" w:rsidRPr="002B5902">
        <w:rPr>
          <w:rFonts w:ascii="Arial" w:hAnsi="Arial" w:cs="Arial"/>
          <w:sz w:val="24"/>
          <w:szCs w:val="24"/>
        </w:rPr>
        <w:t>utilises</w:t>
      </w:r>
      <w:r w:rsidRPr="002B5902">
        <w:rPr>
          <w:rFonts w:ascii="Arial" w:hAnsi="Arial" w:cs="Arial"/>
          <w:sz w:val="24"/>
          <w:szCs w:val="24"/>
        </w:rPr>
        <w:t xml:space="preserve"> digital platforms popular among tech professionals:</w:t>
      </w:r>
    </w:p>
    <w:p w14:paraId="584521E6" w14:textId="2AE5DAE1" w:rsidR="00122900" w:rsidRPr="002B5902" w:rsidRDefault="00122900" w:rsidP="002B5902">
      <w:pPr>
        <w:numPr>
          <w:ilvl w:val="0"/>
          <w:numId w:val="24"/>
        </w:numPr>
        <w:spacing w:line="360" w:lineRule="auto"/>
        <w:jc w:val="both"/>
        <w:rPr>
          <w:rFonts w:ascii="Arial" w:hAnsi="Arial" w:cs="Arial"/>
          <w:sz w:val="24"/>
          <w:szCs w:val="24"/>
        </w:rPr>
      </w:pPr>
      <w:bookmarkStart w:id="32" w:name="_Toc181992364"/>
      <w:r w:rsidRPr="00716297">
        <w:rPr>
          <w:rStyle w:val="Heading3Char"/>
          <w:rFonts w:ascii="Arial" w:hAnsi="Arial" w:cs="Arial"/>
          <w:i/>
          <w:iCs/>
          <w:color w:val="auto"/>
          <w:sz w:val="24"/>
          <w:szCs w:val="24"/>
        </w:rPr>
        <w:t>LinkedIn and Twitter</w:t>
      </w:r>
      <w:bookmarkEnd w:id="32"/>
      <w:r w:rsidRPr="002B5902">
        <w:rPr>
          <w:rFonts w:ascii="Arial" w:hAnsi="Arial" w:cs="Arial"/>
          <w:sz w:val="24"/>
          <w:szCs w:val="24"/>
        </w:rPr>
        <w:t xml:space="preserve">: These channels allow direct access to business professionals, with LinkedIn offering targeted ads based on job titles and industries, </w:t>
      </w:r>
      <w:r w:rsidR="00F112C7" w:rsidRPr="002B5902">
        <w:rPr>
          <w:rFonts w:ascii="Arial" w:hAnsi="Arial" w:cs="Arial"/>
          <w:sz w:val="24"/>
          <w:szCs w:val="24"/>
        </w:rPr>
        <w:t>increasing</w:t>
      </w:r>
      <w:r w:rsidRPr="002B5902">
        <w:rPr>
          <w:rFonts w:ascii="Arial" w:hAnsi="Arial" w:cs="Arial"/>
          <w:sz w:val="24"/>
          <w:szCs w:val="24"/>
        </w:rPr>
        <w:t xml:space="preserve"> event visibility among decision-makers (</w:t>
      </w:r>
      <w:proofErr w:type="spellStart"/>
      <w:r w:rsidRPr="002B5902">
        <w:rPr>
          <w:rFonts w:ascii="Arial" w:hAnsi="Arial" w:cs="Arial"/>
          <w:sz w:val="24"/>
          <w:szCs w:val="24"/>
        </w:rPr>
        <w:t>Lukitasari</w:t>
      </w:r>
      <w:proofErr w:type="spellEnd"/>
      <w:r w:rsidRPr="002B5902">
        <w:rPr>
          <w:rFonts w:ascii="Arial" w:hAnsi="Arial" w:cs="Arial"/>
          <w:sz w:val="24"/>
          <w:szCs w:val="24"/>
        </w:rPr>
        <w:t xml:space="preserve">, Dewi, and </w:t>
      </w:r>
      <w:proofErr w:type="spellStart"/>
      <w:r w:rsidRPr="002B5902">
        <w:rPr>
          <w:rFonts w:ascii="Arial" w:hAnsi="Arial" w:cs="Arial"/>
          <w:sz w:val="24"/>
          <w:szCs w:val="24"/>
        </w:rPr>
        <w:t>Lumanauw</w:t>
      </w:r>
      <w:proofErr w:type="spellEnd"/>
      <w:r w:rsidRPr="002B5902">
        <w:rPr>
          <w:rFonts w:ascii="Arial" w:hAnsi="Arial" w:cs="Arial"/>
          <w:sz w:val="24"/>
          <w:szCs w:val="24"/>
        </w:rPr>
        <w:t>, 2023).</w:t>
      </w:r>
    </w:p>
    <w:p w14:paraId="6F3262FF" w14:textId="56E1D215" w:rsidR="00122900" w:rsidRPr="002B5902" w:rsidRDefault="00122900" w:rsidP="002B5902">
      <w:pPr>
        <w:numPr>
          <w:ilvl w:val="0"/>
          <w:numId w:val="24"/>
        </w:numPr>
        <w:spacing w:line="360" w:lineRule="auto"/>
        <w:jc w:val="both"/>
        <w:rPr>
          <w:rFonts w:ascii="Arial" w:hAnsi="Arial" w:cs="Arial"/>
          <w:sz w:val="24"/>
          <w:szCs w:val="24"/>
        </w:rPr>
      </w:pPr>
      <w:bookmarkStart w:id="33" w:name="_Toc181992365"/>
      <w:r w:rsidRPr="00716297">
        <w:rPr>
          <w:rStyle w:val="Heading3Char"/>
          <w:rFonts w:ascii="Arial" w:hAnsi="Arial" w:cs="Arial"/>
          <w:i/>
          <w:iCs/>
          <w:color w:val="auto"/>
          <w:sz w:val="24"/>
          <w:szCs w:val="24"/>
        </w:rPr>
        <w:t>Oracle’s Corporate Network</w:t>
      </w:r>
      <w:bookmarkEnd w:id="33"/>
      <w:r w:rsidRPr="002B5902">
        <w:rPr>
          <w:rFonts w:ascii="Arial" w:hAnsi="Arial" w:cs="Arial"/>
          <w:sz w:val="24"/>
          <w:szCs w:val="24"/>
        </w:rPr>
        <w:t xml:space="preserve">: </w:t>
      </w:r>
      <w:r w:rsidR="0057238B" w:rsidRPr="002B5902">
        <w:rPr>
          <w:rFonts w:ascii="Arial" w:hAnsi="Arial" w:cs="Arial"/>
          <w:sz w:val="24"/>
          <w:szCs w:val="24"/>
        </w:rPr>
        <w:t xml:space="preserve"> The use of internal communication, </w:t>
      </w:r>
      <w:r w:rsidR="00D07F2C">
        <w:rPr>
          <w:rFonts w:ascii="Arial" w:hAnsi="Arial" w:cs="Arial"/>
          <w:sz w:val="24"/>
          <w:szCs w:val="24"/>
        </w:rPr>
        <w:t>such as email or Slack channels,</w:t>
      </w:r>
      <w:r w:rsidR="0057238B" w:rsidRPr="002B5902">
        <w:rPr>
          <w:rFonts w:ascii="Arial" w:hAnsi="Arial" w:cs="Arial"/>
          <w:sz w:val="24"/>
          <w:szCs w:val="24"/>
        </w:rPr>
        <w:t xml:space="preserve"> ensures that employees and partners are informed, encouraging engagement and a sense of inclusion </w:t>
      </w:r>
      <w:r w:rsidRPr="002B5902">
        <w:rPr>
          <w:rFonts w:ascii="Arial" w:hAnsi="Arial" w:cs="Arial"/>
          <w:sz w:val="24"/>
          <w:szCs w:val="24"/>
        </w:rPr>
        <w:t>(</w:t>
      </w:r>
      <w:r w:rsidR="00C80261" w:rsidRPr="002B5902">
        <w:rPr>
          <w:rFonts w:ascii="Arial" w:hAnsi="Arial" w:cs="Arial"/>
          <w:sz w:val="24"/>
          <w:szCs w:val="24"/>
        </w:rPr>
        <w:t>Ewing et al., 2019</w:t>
      </w:r>
      <w:r w:rsidRPr="002B5902">
        <w:rPr>
          <w:rFonts w:ascii="Arial" w:hAnsi="Arial" w:cs="Arial"/>
          <w:sz w:val="24"/>
          <w:szCs w:val="24"/>
        </w:rPr>
        <w:t>).</w:t>
      </w:r>
    </w:p>
    <w:p w14:paraId="374C0467" w14:textId="77777777" w:rsidR="00305CE5" w:rsidRPr="00716297" w:rsidRDefault="00122900" w:rsidP="00716297">
      <w:pPr>
        <w:pStyle w:val="Heading2"/>
        <w:rPr>
          <w:rFonts w:ascii="Arial" w:hAnsi="Arial" w:cs="Arial"/>
          <w:b/>
          <w:bCs/>
          <w:color w:val="auto"/>
          <w:sz w:val="24"/>
          <w:szCs w:val="24"/>
        </w:rPr>
      </w:pPr>
      <w:bookmarkStart w:id="34" w:name="_Toc181992366"/>
      <w:r w:rsidRPr="00716297">
        <w:rPr>
          <w:rFonts w:ascii="Arial" w:hAnsi="Arial" w:cs="Arial"/>
          <w:b/>
          <w:bCs/>
          <w:color w:val="auto"/>
          <w:sz w:val="24"/>
          <w:szCs w:val="24"/>
        </w:rPr>
        <w:t>Email Campaigns</w:t>
      </w:r>
      <w:bookmarkEnd w:id="34"/>
    </w:p>
    <w:p w14:paraId="7B0CC6CC" w14:textId="397ACE60" w:rsidR="00122900" w:rsidRPr="002B5902" w:rsidRDefault="00EF5A55" w:rsidP="002B5902">
      <w:pPr>
        <w:spacing w:line="360" w:lineRule="auto"/>
        <w:jc w:val="both"/>
        <w:rPr>
          <w:rFonts w:ascii="Arial" w:hAnsi="Arial" w:cs="Arial"/>
          <w:sz w:val="24"/>
          <w:szCs w:val="24"/>
        </w:rPr>
      </w:pPr>
      <w:r w:rsidRPr="002B5902">
        <w:rPr>
          <w:rFonts w:ascii="Arial" w:hAnsi="Arial" w:cs="Arial"/>
          <w:sz w:val="24"/>
          <w:szCs w:val="24"/>
        </w:rPr>
        <w:t xml:space="preserve">Email campaigns will be strategically designed to target decision-makers in large corporations. Customised communications showcasing the Summit's distinctive </w:t>
      </w:r>
      <w:r w:rsidRPr="002B5902">
        <w:rPr>
          <w:rFonts w:ascii="Arial" w:hAnsi="Arial" w:cs="Arial"/>
          <w:sz w:val="24"/>
          <w:szCs w:val="24"/>
        </w:rPr>
        <w:lastRenderedPageBreak/>
        <w:t>combination of professional development and recreational pursuits have demonstrated an increase in open and response rates (Enache, 2011). EMBOK's focus on customised marketing strategies corresponds with Oracle's objective of highlighting the Summit as a premium experience (Silvers, 2007).</w:t>
      </w:r>
    </w:p>
    <w:p w14:paraId="50B53E91" w14:textId="77777777" w:rsidR="008C1467" w:rsidRPr="00716297" w:rsidRDefault="00122900" w:rsidP="00716297">
      <w:pPr>
        <w:pStyle w:val="Heading2"/>
        <w:rPr>
          <w:rFonts w:ascii="Arial" w:hAnsi="Arial" w:cs="Arial"/>
          <w:b/>
          <w:bCs/>
          <w:color w:val="auto"/>
          <w:sz w:val="24"/>
          <w:szCs w:val="24"/>
        </w:rPr>
      </w:pPr>
      <w:bookmarkStart w:id="35" w:name="_Toc181992367"/>
      <w:r w:rsidRPr="00716297">
        <w:rPr>
          <w:rFonts w:ascii="Arial" w:hAnsi="Arial" w:cs="Arial"/>
          <w:b/>
          <w:bCs/>
          <w:color w:val="auto"/>
          <w:sz w:val="24"/>
          <w:szCs w:val="24"/>
        </w:rPr>
        <w:t>7Ps Framework</w:t>
      </w:r>
      <w:bookmarkEnd w:id="35"/>
    </w:p>
    <w:p w14:paraId="34336B2F" w14:textId="1EEC4FFC" w:rsidR="00122900" w:rsidRPr="002B5902" w:rsidRDefault="00426353" w:rsidP="002B5902">
      <w:pPr>
        <w:spacing w:line="360" w:lineRule="auto"/>
        <w:jc w:val="both"/>
        <w:rPr>
          <w:rFonts w:ascii="Arial" w:hAnsi="Arial" w:cs="Arial"/>
          <w:sz w:val="24"/>
          <w:szCs w:val="24"/>
        </w:rPr>
      </w:pPr>
      <w:r w:rsidRPr="002B5902">
        <w:rPr>
          <w:rFonts w:ascii="Arial" w:hAnsi="Arial" w:cs="Arial"/>
          <w:noProof/>
          <w:sz w:val="24"/>
          <w:szCs w:val="24"/>
        </w:rPr>
        <w:drawing>
          <wp:inline distT="0" distB="0" distL="0" distR="0" wp14:anchorId="6AC54452" wp14:editId="484325C4">
            <wp:extent cx="5700156" cy="1888658"/>
            <wp:effectExtent l="0" t="0" r="0" b="0"/>
            <wp:docPr id="200525991" name="Picture 1" descr="A diagram of 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5991" name="Picture 1" descr="A diagram of a diagram of a company&#10;&#10;Description automatically generated with medium confidence"/>
                    <pic:cNvPicPr/>
                  </pic:nvPicPr>
                  <pic:blipFill>
                    <a:blip r:embed="rId11"/>
                    <a:stretch>
                      <a:fillRect/>
                    </a:stretch>
                  </pic:blipFill>
                  <pic:spPr>
                    <a:xfrm>
                      <a:off x="0" y="0"/>
                      <a:ext cx="5710243" cy="1892000"/>
                    </a:xfrm>
                    <a:prstGeom prst="rect">
                      <a:avLst/>
                    </a:prstGeom>
                  </pic:spPr>
                </pic:pic>
              </a:graphicData>
            </a:graphic>
          </wp:inline>
        </w:drawing>
      </w:r>
      <w:r w:rsidR="00122900" w:rsidRPr="002B5902">
        <w:rPr>
          <w:rFonts w:ascii="Arial" w:hAnsi="Arial" w:cs="Arial"/>
          <w:sz w:val="24"/>
          <w:szCs w:val="24"/>
        </w:rPr>
        <w:br/>
        <w:t>Oracle’s use of the 7Ps marketing framework ensures a comprehensive approach:</w:t>
      </w:r>
    </w:p>
    <w:p w14:paraId="33A3B348" w14:textId="77777777" w:rsidR="00122900" w:rsidRPr="002B5902" w:rsidRDefault="00122900" w:rsidP="002B5902">
      <w:pPr>
        <w:numPr>
          <w:ilvl w:val="0"/>
          <w:numId w:val="25"/>
        </w:numPr>
        <w:spacing w:line="360" w:lineRule="auto"/>
        <w:jc w:val="both"/>
        <w:rPr>
          <w:rFonts w:ascii="Arial" w:hAnsi="Arial" w:cs="Arial"/>
          <w:sz w:val="24"/>
          <w:szCs w:val="24"/>
        </w:rPr>
      </w:pPr>
      <w:r w:rsidRPr="002B5902">
        <w:rPr>
          <w:rFonts w:ascii="Arial" w:hAnsi="Arial" w:cs="Arial"/>
          <w:b/>
          <w:bCs/>
          <w:sz w:val="24"/>
          <w:szCs w:val="24"/>
        </w:rPr>
        <w:t>People</w:t>
      </w:r>
      <w:r w:rsidRPr="002B5902">
        <w:rPr>
          <w:rFonts w:ascii="Arial" w:hAnsi="Arial" w:cs="Arial"/>
          <w:sz w:val="24"/>
          <w:szCs w:val="24"/>
        </w:rPr>
        <w:t>: Attracting high-level executives and HR managers aligns with Oracle’s strategic objectives.</w:t>
      </w:r>
    </w:p>
    <w:p w14:paraId="2A219664" w14:textId="7DB4DB25" w:rsidR="00122900" w:rsidRPr="002B5902" w:rsidRDefault="00122900" w:rsidP="002B5902">
      <w:pPr>
        <w:numPr>
          <w:ilvl w:val="0"/>
          <w:numId w:val="25"/>
        </w:numPr>
        <w:spacing w:line="360" w:lineRule="auto"/>
        <w:jc w:val="both"/>
        <w:rPr>
          <w:rFonts w:ascii="Arial" w:hAnsi="Arial" w:cs="Arial"/>
          <w:sz w:val="24"/>
          <w:szCs w:val="24"/>
        </w:rPr>
      </w:pPr>
      <w:r w:rsidRPr="002B5902">
        <w:rPr>
          <w:rFonts w:ascii="Arial" w:hAnsi="Arial" w:cs="Arial"/>
          <w:b/>
          <w:bCs/>
          <w:sz w:val="24"/>
          <w:szCs w:val="24"/>
        </w:rPr>
        <w:t>Place</w:t>
      </w:r>
      <w:r w:rsidRPr="002B5902">
        <w:rPr>
          <w:rFonts w:ascii="Arial" w:hAnsi="Arial" w:cs="Arial"/>
          <w:sz w:val="24"/>
          <w:szCs w:val="24"/>
        </w:rPr>
        <w:t xml:space="preserve">: Cairngorm Mountain Resort offers an exclusive winter setting that appeals to the target demographic’s desire for </w:t>
      </w:r>
      <w:r w:rsidR="005B0F27" w:rsidRPr="002B5902">
        <w:rPr>
          <w:rFonts w:ascii="Arial" w:hAnsi="Arial" w:cs="Arial"/>
          <w:sz w:val="24"/>
          <w:szCs w:val="24"/>
        </w:rPr>
        <w:t>exclusive</w:t>
      </w:r>
      <w:r w:rsidRPr="002B5902">
        <w:rPr>
          <w:rFonts w:ascii="Arial" w:hAnsi="Arial" w:cs="Arial"/>
          <w:sz w:val="24"/>
          <w:szCs w:val="24"/>
        </w:rPr>
        <w:t xml:space="preserve"> experiences (Paul and Mas, 2019).</w:t>
      </w:r>
    </w:p>
    <w:p w14:paraId="65934DDF" w14:textId="37A1EAC6" w:rsidR="00122900" w:rsidRPr="002B5902" w:rsidRDefault="00122900" w:rsidP="002B5902">
      <w:pPr>
        <w:numPr>
          <w:ilvl w:val="0"/>
          <w:numId w:val="25"/>
        </w:numPr>
        <w:spacing w:line="360" w:lineRule="auto"/>
        <w:jc w:val="both"/>
        <w:rPr>
          <w:rFonts w:ascii="Arial" w:hAnsi="Arial" w:cs="Arial"/>
          <w:sz w:val="24"/>
          <w:szCs w:val="24"/>
        </w:rPr>
      </w:pPr>
      <w:r w:rsidRPr="002B5902">
        <w:rPr>
          <w:rFonts w:ascii="Arial" w:hAnsi="Arial" w:cs="Arial"/>
          <w:b/>
          <w:bCs/>
          <w:sz w:val="24"/>
          <w:szCs w:val="24"/>
        </w:rPr>
        <w:t>Promotion</w:t>
      </w:r>
      <w:r w:rsidRPr="002B5902">
        <w:rPr>
          <w:rFonts w:ascii="Arial" w:hAnsi="Arial" w:cs="Arial"/>
          <w:sz w:val="24"/>
          <w:szCs w:val="24"/>
        </w:rPr>
        <w:t xml:space="preserve">: Social media campaigns, </w:t>
      </w:r>
      <w:r w:rsidR="005B0F27" w:rsidRPr="002B5902">
        <w:rPr>
          <w:rFonts w:ascii="Arial" w:hAnsi="Arial" w:cs="Arial"/>
          <w:sz w:val="24"/>
          <w:szCs w:val="24"/>
        </w:rPr>
        <w:t>reinforced</w:t>
      </w:r>
      <w:r w:rsidRPr="002B5902">
        <w:rPr>
          <w:rFonts w:ascii="Arial" w:hAnsi="Arial" w:cs="Arial"/>
          <w:sz w:val="24"/>
          <w:szCs w:val="24"/>
        </w:rPr>
        <w:t xml:space="preserve"> by partnerships with tech influencers, maximize event reach and credibility (An, Kim, and Hur, 2021).</w:t>
      </w:r>
    </w:p>
    <w:p w14:paraId="2CB808CE" w14:textId="7754623C" w:rsidR="008F7794" w:rsidRPr="002B5902" w:rsidRDefault="00122900" w:rsidP="002B5902">
      <w:pPr>
        <w:spacing w:line="360" w:lineRule="auto"/>
        <w:jc w:val="both"/>
        <w:rPr>
          <w:rFonts w:ascii="Arial" w:hAnsi="Arial" w:cs="Arial"/>
          <w:sz w:val="24"/>
          <w:szCs w:val="24"/>
        </w:rPr>
      </w:pPr>
      <w:bookmarkStart w:id="36" w:name="_Toc181992368"/>
      <w:r w:rsidRPr="00716297">
        <w:rPr>
          <w:rStyle w:val="Heading2Char"/>
          <w:rFonts w:ascii="Arial" w:hAnsi="Arial" w:cs="Arial"/>
          <w:b/>
          <w:bCs/>
          <w:color w:val="auto"/>
          <w:sz w:val="24"/>
          <w:szCs w:val="24"/>
        </w:rPr>
        <w:t>Partnerships</w:t>
      </w:r>
      <w:bookmarkEnd w:id="36"/>
      <w:r w:rsidRPr="002B5902">
        <w:rPr>
          <w:rFonts w:ascii="Arial" w:hAnsi="Arial" w:cs="Arial"/>
          <w:sz w:val="24"/>
          <w:szCs w:val="24"/>
        </w:rPr>
        <w:br/>
      </w:r>
      <w:r w:rsidR="008F7794" w:rsidRPr="002B5902">
        <w:rPr>
          <w:rFonts w:ascii="Arial" w:hAnsi="Arial" w:cs="Arial"/>
          <w:sz w:val="24"/>
          <w:szCs w:val="24"/>
        </w:rPr>
        <w:t xml:space="preserve">Partnering with strategic organisations such as Microsoft and Amazon </w:t>
      </w:r>
      <w:proofErr w:type="gramStart"/>
      <w:r w:rsidR="008F7794" w:rsidRPr="002B5902">
        <w:rPr>
          <w:rFonts w:ascii="Arial" w:hAnsi="Arial" w:cs="Arial"/>
          <w:sz w:val="24"/>
          <w:szCs w:val="24"/>
        </w:rPr>
        <w:t>increases</w:t>
      </w:r>
      <w:proofErr w:type="gramEnd"/>
      <w:r w:rsidR="008F7794" w:rsidRPr="002B5902">
        <w:rPr>
          <w:rFonts w:ascii="Arial" w:hAnsi="Arial" w:cs="Arial"/>
          <w:sz w:val="24"/>
          <w:szCs w:val="24"/>
        </w:rPr>
        <w:t xml:space="preserve"> promotional initiatives and solidifies the Summit is status as an essential event for technology professionals. Collaborations with industry leaders offer reciprocal advantages, including increased audience engagement and knowledge exchange, while strengthening brand affiliation and generating collective value among stakeholders. Microsoft's participation would expand visibility among multi-cloud audiences, while Amazon's proficiency in cloud services and logistics boosts Oracle's focus on innovation, establishing a collaborative learning atmosphere that exemplifies industry leadership (</w:t>
      </w:r>
      <w:r w:rsidR="00BE4B70" w:rsidRPr="002B5902">
        <w:rPr>
          <w:rFonts w:ascii="Arial" w:hAnsi="Arial" w:cs="Arial"/>
          <w:sz w:val="24"/>
          <w:szCs w:val="24"/>
        </w:rPr>
        <w:t>Crothers et al., 2011</w:t>
      </w:r>
      <w:r w:rsidR="008F7794" w:rsidRPr="002B5902">
        <w:rPr>
          <w:rFonts w:ascii="Arial" w:hAnsi="Arial" w:cs="Arial"/>
          <w:sz w:val="24"/>
          <w:szCs w:val="24"/>
        </w:rPr>
        <w:t>).</w:t>
      </w:r>
    </w:p>
    <w:p w14:paraId="3C63F50B" w14:textId="2B3688B3" w:rsidR="009C1365" w:rsidRPr="002B5902" w:rsidRDefault="008F7794" w:rsidP="002B5902">
      <w:pPr>
        <w:spacing w:line="360" w:lineRule="auto"/>
        <w:jc w:val="both"/>
        <w:rPr>
          <w:rFonts w:ascii="Arial" w:hAnsi="Arial" w:cs="Arial"/>
          <w:sz w:val="24"/>
          <w:szCs w:val="24"/>
        </w:rPr>
      </w:pPr>
      <w:r w:rsidRPr="002B5902">
        <w:rPr>
          <w:rFonts w:ascii="Arial" w:hAnsi="Arial" w:cs="Arial"/>
          <w:sz w:val="24"/>
          <w:szCs w:val="24"/>
        </w:rPr>
        <w:lastRenderedPageBreak/>
        <w:t>This solid, multi-channel strategy follows EMBOK’s principles, positioning the Oracle Winter Summit as a significant event that resonates powerfully within the technology sector.</w:t>
      </w:r>
    </w:p>
    <w:p w14:paraId="26E66F7A" w14:textId="77777777" w:rsidR="00007F55" w:rsidRPr="002B5902" w:rsidRDefault="00007F55" w:rsidP="002B5902">
      <w:pPr>
        <w:spacing w:line="360" w:lineRule="auto"/>
        <w:jc w:val="both"/>
        <w:rPr>
          <w:rFonts w:ascii="Arial" w:hAnsi="Arial" w:cs="Arial"/>
          <w:sz w:val="24"/>
          <w:szCs w:val="24"/>
        </w:rPr>
      </w:pPr>
    </w:p>
    <w:p w14:paraId="73C73E82" w14:textId="077F57EB" w:rsidR="00062E02" w:rsidRPr="00993E46" w:rsidRDefault="00062E02" w:rsidP="00993E46">
      <w:pPr>
        <w:pStyle w:val="Heading1"/>
        <w:rPr>
          <w:rFonts w:ascii="Arial" w:hAnsi="Arial" w:cs="Arial"/>
          <w:b/>
          <w:bCs/>
          <w:color w:val="auto"/>
          <w:sz w:val="28"/>
          <w:szCs w:val="28"/>
        </w:rPr>
      </w:pPr>
      <w:bookmarkStart w:id="37" w:name="_Toc181992369"/>
      <w:r w:rsidRPr="00993E46">
        <w:rPr>
          <w:rFonts w:ascii="Arial" w:hAnsi="Arial" w:cs="Arial"/>
          <w:b/>
          <w:bCs/>
          <w:color w:val="auto"/>
          <w:sz w:val="28"/>
          <w:szCs w:val="28"/>
        </w:rPr>
        <w:t xml:space="preserve">6. </w:t>
      </w:r>
      <w:r w:rsidRPr="00993E46">
        <w:rPr>
          <w:rStyle w:val="Heading1Char"/>
          <w:rFonts w:ascii="Arial" w:hAnsi="Arial" w:cs="Arial"/>
          <w:b/>
          <w:bCs/>
          <w:color w:val="auto"/>
          <w:sz w:val="28"/>
          <w:szCs w:val="28"/>
        </w:rPr>
        <w:t>Event Programming and Schedule</w:t>
      </w:r>
      <w:bookmarkEnd w:id="37"/>
      <w:r w:rsidRPr="00993E46">
        <w:rPr>
          <w:rFonts w:ascii="Arial" w:hAnsi="Arial" w:cs="Arial"/>
          <w:b/>
          <w:bCs/>
          <w:color w:val="auto"/>
          <w:sz w:val="28"/>
          <w:szCs w:val="28"/>
        </w:rPr>
        <w:t xml:space="preserve"> </w:t>
      </w:r>
    </w:p>
    <w:p w14:paraId="7DC97A38" w14:textId="2824DFD3" w:rsidR="00415398" w:rsidRPr="009E7436" w:rsidRDefault="00754700" w:rsidP="009E7436">
      <w:pPr>
        <w:pStyle w:val="Heading2"/>
        <w:rPr>
          <w:rFonts w:ascii="Arial" w:hAnsi="Arial" w:cs="Arial"/>
          <w:b/>
          <w:bCs/>
          <w:sz w:val="24"/>
          <w:szCs w:val="24"/>
        </w:rPr>
      </w:pPr>
      <w:bookmarkStart w:id="38" w:name="_Toc181992370"/>
      <w:r w:rsidRPr="009E7436">
        <w:rPr>
          <w:rFonts w:ascii="Arial" w:hAnsi="Arial" w:cs="Arial"/>
          <w:b/>
          <w:bCs/>
          <w:noProof/>
          <w:color w:val="auto"/>
          <w:sz w:val="24"/>
          <w:szCs w:val="24"/>
        </w:rPr>
        <w:drawing>
          <wp:anchor distT="0" distB="0" distL="114300" distR="114300" simplePos="0" relativeHeight="251659264" behindDoc="0" locked="0" layoutInCell="1" allowOverlap="1" wp14:anchorId="29AB7799" wp14:editId="3217E92C">
            <wp:simplePos x="0" y="0"/>
            <wp:positionH relativeFrom="column">
              <wp:posOffset>0</wp:posOffset>
            </wp:positionH>
            <wp:positionV relativeFrom="paragraph">
              <wp:posOffset>284480</wp:posOffset>
            </wp:positionV>
            <wp:extent cx="3700265" cy="1816925"/>
            <wp:effectExtent l="0" t="0" r="0" b="0"/>
            <wp:wrapSquare wrapText="bothSides"/>
            <wp:docPr id="1024350023" name="Picture 7" descr="Snowbird Wed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nowbird Wedding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00265" cy="1816925"/>
                    </a:xfrm>
                    <a:prstGeom prst="rect">
                      <a:avLst/>
                    </a:prstGeom>
                    <a:noFill/>
                    <a:ln>
                      <a:noFill/>
                    </a:ln>
                  </pic:spPr>
                </pic:pic>
              </a:graphicData>
            </a:graphic>
          </wp:anchor>
        </w:drawing>
      </w:r>
      <w:r w:rsidR="00957AFF" w:rsidRPr="009E7436">
        <w:rPr>
          <w:rFonts w:ascii="Arial" w:hAnsi="Arial" w:cs="Arial"/>
          <w:b/>
          <w:bCs/>
          <w:color w:val="auto"/>
          <w:sz w:val="24"/>
          <w:szCs w:val="24"/>
        </w:rPr>
        <w:t xml:space="preserve">Day 1: </w:t>
      </w:r>
      <w:r w:rsidR="00415398" w:rsidRPr="009E7436">
        <w:rPr>
          <w:rFonts w:ascii="Arial" w:hAnsi="Arial" w:cs="Arial"/>
          <w:b/>
          <w:bCs/>
          <w:color w:val="auto"/>
          <w:sz w:val="24"/>
          <w:szCs w:val="24"/>
        </w:rPr>
        <w:t>Arrival, Registration, Welcome Dinner, and Fireside Networking</w:t>
      </w:r>
      <w:bookmarkEnd w:id="38"/>
    </w:p>
    <w:p w14:paraId="6C130D9F" w14:textId="0CD11930" w:rsidR="00957AFF" w:rsidRPr="002B5902" w:rsidRDefault="00415398" w:rsidP="002B5902">
      <w:pPr>
        <w:spacing w:line="360" w:lineRule="auto"/>
        <w:jc w:val="both"/>
        <w:rPr>
          <w:rFonts w:ascii="Arial" w:hAnsi="Arial" w:cs="Arial"/>
          <w:sz w:val="24"/>
          <w:szCs w:val="24"/>
        </w:rPr>
      </w:pPr>
      <w:r w:rsidRPr="002B5902">
        <w:rPr>
          <w:rFonts w:ascii="Arial" w:hAnsi="Arial" w:cs="Arial"/>
          <w:sz w:val="24"/>
          <w:szCs w:val="24"/>
        </w:rPr>
        <w:t xml:space="preserve">The initial day prioritises rapport-building, commencing with formal registration and an exclusive welcome dinner to provide a warm, inclusive environment. The evening fireside networking session merges relaxation with strategic dialogue, facilitating informal networking in a stimulating atmosphere that cultivates vital interpersonal connections (Getz, 2018). This framework corresponds with EMBOK’s Design Domain, showcasing a hospitable atmosphere that fosters Oracle’s </w:t>
      </w:r>
      <w:r w:rsidR="000100D7" w:rsidRPr="002B5902">
        <w:rPr>
          <w:rFonts w:ascii="Arial" w:hAnsi="Arial" w:cs="Arial"/>
          <w:sz w:val="24"/>
          <w:szCs w:val="24"/>
        </w:rPr>
        <w:t>team building</w:t>
      </w:r>
      <w:r w:rsidRPr="002B5902">
        <w:rPr>
          <w:rFonts w:ascii="Arial" w:hAnsi="Arial" w:cs="Arial"/>
          <w:sz w:val="24"/>
          <w:szCs w:val="24"/>
        </w:rPr>
        <w:t xml:space="preserve"> and leadership objectives (Silvers, 2007).</w:t>
      </w:r>
    </w:p>
    <w:p w14:paraId="31FE7B48" w14:textId="1359E723" w:rsidR="00957AFF" w:rsidRPr="002B5902" w:rsidRDefault="00957AFF" w:rsidP="002B5902">
      <w:pPr>
        <w:spacing w:line="360" w:lineRule="auto"/>
        <w:jc w:val="both"/>
        <w:rPr>
          <w:rFonts w:ascii="Arial" w:hAnsi="Arial" w:cs="Arial"/>
          <w:sz w:val="24"/>
          <w:szCs w:val="24"/>
        </w:rPr>
      </w:pPr>
      <w:bookmarkStart w:id="39" w:name="_Toc181992371"/>
      <w:r w:rsidRPr="009E7436">
        <w:rPr>
          <w:rStyle w:val="Heading2Char"/>
          <w:rFonts w:ascii="Arial" w:hAnsi="Arial" w:cs="Arial"/>
          <w:b/>
          <w:bCs/>
          <w:color w:val="auto"/>
          <w:sz w:val="24"/>
          <w:szCs w:val="24"/>
        </w:rPr>
        <w:t>Day 2: Leadership Workshops and Outdoor Team-Building Activities</w:t>
      </w:r>
      <w:bookmarkEnd w:id="39"/>
      <w:r w:rsidRPr="002B5902">
        <w:rPr>
          <w:rFonts w:ascii="Arial" w:hAnsi="Arial" w:cs="Arial"/>
          <w:sz w:val="24"/>
          <w:szCs w:val="24"/>
        </w:rPr>
        <w:br/>
      </w:r>
      <w:r w:rsidR="0056643F" w:rsidRPr="002B5902">
        <w:rPr>
          <w:rFonts w:ascii="Arial" w:hAnsi="Arial" w:cs="Arial"/>
          <w:sz w:val="24"/>
          <w:szCs w:val="24"/>
        </w:rPr>
        <w:t>The day starts with interactive leadership workshops that integrate experiential learning principles, promoting real-world problem-solving. Research confirms the effectiveness of this learning approach in cultivating practical leadership and reflective thinking (Scott, 2017). The workshops, conducted by Oracle executives, combine action learning with EMBOK’s emphasis on Content and Program (Silvers, 2007). Afternoon outdoor activities, such as skiing and snowboarding, function as organised team-building exercises that promote resilience, adaptive leadership, and collaboration among teams (Padron and Stone, 2019).</w:t>
      </w:r>
    </w:p>
    <w:p w14:paraId="642DBA98" w14:textId="77777777" w:rsidR="00305CE5" w:rsidRPr="009E7436" w:rsidRDefault="00957AFF" w:rsidP="009E7436">
      <w:pPr>
        <w:pStyle w:val="Heading2"/>
        <w:rPr>
          <w:rFonts w:ascii="Arial" w:hAnsi="Arial" w:cs="Arial"/>
          <w:b/>
          <w:bCs/>
          <w:color w:val="auto"/>
          <w:sz w:val="24"/>
          <w:szCs w:val="24"/>
        </w:rPr>
      </w:pPr>
      <w:bookmarkStart w:id="40" w:name="_Toc181992372"/>
      <w:r w:rsidRPr="009E7436">
        <w:rPr>
          <w:rFonts w:ascii="Arial" w:hAnsi="Arial" w:cs="Arial"/>
          <w:b/>
          <w:bCs/>
          <w:color w:val="auto"/>
          <w:sz w:val="24"/>
          <w:szCs w:val="24"/>
        </w:rPr>
        <w:t>Day 3: Concluding Workshops, Networking, Leisure, and Departure</w:t>
      </w:r>
      <w:bookmarkEnd w:id="40"/>
    </w:p>
    <w:p w14:paraId="157BC840" w14:textId="2D605871" w:rsidR="00AF626C" w:rsidRPr="002B5902" w:rsidRDefault="00AF626C" w:rsidP="002B5902">
      <w:pPr>
        <w:spacing w:line="360" w:lineRule="auto"/>
        <w:jc w:val="both"/>
        <w:rPr>
          <w:rFonts w:ascii="Arial" w:hAnsi="Arial" w:cs="Arial"/>
          <w:sz w:val="24"/>
          <w:szCs w:val="24"/>
        </w:rPr>
      </w:pPr>
      <w:r w:rsidRPr="002B5902">
        <w:rPr>
          <w:rFonts w:ascii="Arial" w:hAnsi="Arial" w:cs="Arial"/>
          <w:sz w:val="24"/>
          <w:szCs w:val="24"/>
        </w:rPr>
        <w:t xml:space="preserve">The closing day features workshops that integrate insights from earlier sessions, along with reflective exercises that prompt participants to implement their learnings in their </w:t>
      </w:r>
      <w:r w:rsidRPr="002B5902">
        <w:rPr>
          <w:rFonts w:ascii="Arial" w:hAnsi="Arial" w:cs="Arial"/>
          <w:sz w:val="24"/>
          <w:szCs w:val="24"/>
        </w:rPr>
        <w:lastRenderedPageBreak/>
        <w:t xml:space="preserve">roles, which improves the program’s efficacy (Miller and </w:t>
      </w:r>
      <w:proofErr w:type="spellStart"/>
      <w:r w:rsidRPr="002B5902">
        <w:rPr>
          <w:rFonts w:ascii="Arial" w:hAnsi="Arial" w:cs="Arial"/>
          <w:sz w:val="24"/>
          <w:szCs w:val="24"/>
        </w:rPr>
        <w:t>Maellaro</w:t>
      </w:r>
      <w:proofErr w:type="spellEnd"/>
      <w:r w:rsidRPr="002B5902">
        <w:rPr>
          <w:rFonts w:ascii="Arial" w:hAnsi="Arial" w:cs="Arial"/>
          <w:sz w:val="24"/>
          <w:szCs w:val="24"/>
        </w:rPr>
        <w:t>, 2016). The day culminates in networking and leisure activities, promising that participants depart educated and inspired. EMBOK's focus on Environment and Production within the Design Domain guarantees an integrated and significant conclusion (Silvers, 2007).</w:t>
      </w:r>
    </w:p>
    <w:p w14:paraId="2198153E" w14:textId="48BE0289" w:rsidR="009D5FE1" w:rsidRPr="002B5902" w:rsidRDefault="00AF626C" w:rsidP="002B5902">
      <w:pPr>
        <w:spacing w:line="360" w:lineRule="auto"/>
        <w:jc w:val="both"/>
        <w:rPr>
          <w:rFonts w:ascii="Arial" w:hAnsi="Arial" w:cs="Arial"/>
          <w:sz w:val="24"/>
          <w:szCs w:val="24"/>
        </w:rPr>
      </w:pPr>
      <w:r w:rsidRPr="002B5902">
        <w:rPr>
          <w:rFonts w:ascii="Arial" w:hAnsi="Arial" w:cs="Arial"/>
          <w:sz w:val="24"/>
          <w:szCs w:val="24"/>
        </w:rPr>
        <w:t>Workshops utilise techniques such as the “5 Whys” to promote profound reflective learning (Majka, 2024), cultivating a dynamic, innovation-oriented atmosphere (Clausen and Andersson, 2018).</w:t>
      </w:r>
    </w:p>
    <w:p w14:paraId="73369CAB" w14:textId="77777777" w:rsidR="006709A1" w:rsidRPr="002B5902" w:rsidRDefault="006709A1" w:rsidP="002B5902">
      <w:pPr>
        <w:spacing w:line="360" w:lineRule="auto"/>
        <w:jc w:val="both"/>
        <w:rPr>
          <w:rFonts w:ascii="Arial" w:hAnsi="Arial" w:cs="Arial"/>
          <w:sz w:val="24"/>
          <w:szCs w:val="24"/>
        </w:rPr>
      </w:pPr>
    </w:p>
    <w:p w14:paraId="1B496FFA" w14:textId="6C29A993" w:rsidR="00EF0ABE" w:rsidRPr="009E7436" w:rsidRDefault="00EF0ABE" w:rsidP="009E7436">
      <w:pPr>
        <w:pStyle w:val="Heading1"/>
        <w:rPr>
          <w:rFonts w:ascii="Arial" w:hAnsi="Arial" w:cs="Arial"/>
          <w:b/>
          <w:bCs/>
          <w:color w:val="auto"/>
          <w:sz w:val="28"/>
          <w:szCs w:val="28"/>
        </w:rPr>
      </w:pPr>
      <w:bookmarkStart w:id="41" w:name="_Toc181992373"/>
      <w:r w:rsidRPr="009E7436">
        <w:rPr>
          <w:rFonts w:ascii="Arial" w:hAnsi="Arial" w:cs="Arial"/>
          <w:b/>
          <w:bCs/>
          <w:color w:val="auto"/>
          <w:sz w:val="28"/>
          <w:szCs w:val="28"/>
        </w:rPr>
        <w:t>7. Risk and SWOT Analysis</w:t>
      </w:r>
      <w:bookmarkEnd w:id="41"/>
      <w:r w:rsidRPr="009E7436">
        <w:rPr>
          <w:rFonts w:ascii="Arial" w:hAnsi="Arial" w:cs="Arial"/>
          <w:b/>
          <w:bCs/>
          <w:color w:val="auto"/>
          <w:sz w:val="28"/>
          <w:szCs w:val="28"/>
        </w:rPr>
        <w:t xml:space="preserve"> </w:t>
      </w:r>
    </w:p>
    <w:p w14:paraId="60AC6365" w14:textId="506DF687" w:rsidR="000D2956" w:rsidRPr="009E7436" w:rsidRDefault="00F97312" w:rsidP="009E7436">
      <w:pPr>
        <w:pStyle w:val="Heading2"/>
        <w:rPr>
          <w:rFonts w:ascii="Arial" w:hAnsi="Arial" w:cs="Arial"/>
          <w:b/>
          <w:bCs/>
          <w:color w:val="auto"/>
          <w:sz w:val="24"/>
          <w:szCs w:val="24"/>
        </w:rPr>
      </w:pPr>
      <w:bookmarkStart w:id="42" w:name="_Toc181992374"/>
      <w:r w:rsidRPr="009E7436">
        <w:rPr>
          <w:rFonts w:ascii="Arial" w:hAnsi="Arial" w:cs="Arial"/>
          <w:b/>
          <w:bCs/>
          <w:color w:val="auto"/>
          <w:sz w:val="24"/>
          <w:szCs w:val="24"/>
        </w:rPr>
        <w:t>SWOT Analysis</w:t>
      </w:r>
      <w:bookmarkEnd w:id="42"/>
    </w:p>
    <w:p w14:paraId="52493A26" w14:textId="7A359177" w:rsidR="00754700" w:rsidRPr="002B5902" w:rsidRDefault="00754700" w:rsidP="002B5902">
      <w:pPr>
        <w:spacing w:line="360" w:lineRule="auto"/>
        <w:jc w:val="both"/>
        <w:rPr>
          <w:rFonts w:ascii="Arial" w:hAnsi="Arial" w:cs="Arial"/>
          <w:b/>
          <w:bCs/>
          <w:sz w:val="24"/>
          <w:szCs w:val="24"/>
        </w:rPr>
      </w:pPr>
      <w:r w:rsidRPr="002B5902">
        <w:rPr>
          <w:rFonts w:ascii="Arial" w:hAnsi="Arial" w:cs="Arial"/>
          <w:noProof/>
          <w:sz w:val="24"/>
          <w:szCs w:val="24"/>
        </w:rPr>
        <w:drawing>
          <wp:inline distT="0" distB="0" distL="0" distR="0" wp14:anchorId="60D1847A" wp14:editId="49AD3988">
            <wp:extent cx="5943600" cy="2160905"/>
            <wp:effectExtent l="0" t="0" r="0" b="0"/>
            <wp:docPr id="1566306050" name="Picture 8" descr="SWOT Analysis: Examples and Templates [2024] • As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WOT Analysis: Examples and Templates [2024] • Asan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160905"/>
                    </a:xfrm>
                    <a:prstGeom prst="rect">
                      <a:avLst/>
                    </a:prstGeom>
                    <a:noFill/>
                    <a:ln>
                      <a:noFill/>
                    </a:ln>
                  </pic:spPr>
                </pic:pic>
              </a:graphicData>
            </a:graphic>
          </wp:inline>
        </w:drawing>
      </w:r>
    </w:p>
    <w:p w14:paraId="604CC121" w14:textId="7C51941F" w:rsidR="00945DBB" w:rsidRPr="002B5902" w:rsidRDefault="00945DBB" w:rsidP="002B5902">
      <w:pPr>
        <w:spacing w:line="360" w:lineRule="auto"/>
        <w:jc w:val="both"/>
        <w:rPr>
          <w:rFonts w:ascii="Arial" w:hAnsi="Arial" w:cs="Arial"/>
          <w:sz w:val="24"/>
          <w:szCs w:val="24"/>
        </w:rPr>
      </w:pPr>
      <w:r w:rsidRPr="002B5902">
        <w:rPr>
          <w:rFonts w:ascii="Arial" w:hAnsi="Arial" w:cs="Arial"/>
          <w:b/>
          <w:bCs/>
          <w:sz w:val="24"/>
          <w:szCs w:val="24"/>
        </w:rPr>
        <w:t>Strengths:</w:t>
      </w:r>
    </w:p>
    <w:p w14:paraId="7B9A042C" w14:textId="77777777" w:rsidR="00945DBB" w:rsidRPr="00945DBB" w:rsidRDefault="00945DBB" w:rsidP="002B5902">
      <w:pPr>
        <w:numPr>
          <w:ilvl w:val="0"/>
          <w:numId w:val="27"/>
        </w:numPr>
        <w:spacing w:line="360" w:lineRule="auto"/>
        <w:jc w:val="both"/>
        <w:rPr>
          <w:rFonts w:ascii="Arial" w:hAnsi="Arial" w:cs="Arial"/>
          <w:sz w:val="24"/>
          <w:szCs w:val="24"/>
        </w:rPr>
      </w:pPr>
      <w:r w:rsidRPr="00945DBB">
        <w:rPr>
          <w:rFonts w:ascii="Arial" w:hAnsi="Arial" w:cs="Arial"/>
          <w:sz w:val="24"/>
          <w:szCs w:val="24"/>
        </w:rPr>
        <w:t>Unique location at Cairngorm Mountain Resort, merging luxury with experiential learning to attract technology leaders seeking distinctive professional development (Weinhofer and Busch, 2013).</w:t>
      </w:r>
    </w:p>
    <w:p w14:paraId="5E9F0F7B" w14:textId="77777777" w:rsidR="00945DBB" w:rsidRPr="00945DBB" w:rsidRDefault="00945DBB" w:rsidP="002B5902">
      <w:pPr>
        <w:numPr>
          <w:ilvl w:val="0"/>
          <w:numId w:val="27"/>
        </w:numPr>
        <w:spacing w:line="360" w:lineRule="auto"/>
        <w:jc w:val="both"/>
        <w:rPr>
          <w:rFonts w:ascii="Arial" w:hAnsi="Arial" w:cs="Arial"/>
          <w:sz w:val="24"/>
          <w:szCs w:val="24"/>
        </w:rPr>
      </w:pPr>
      <w:r w:rsidRPr="00945DBB">
        <w:rPr>
          <w:rFonts w:ascii="Arial" w:hAnsi="Arial" w:cs="Arial"/>
          <w:sz w:val="24"/>
          <w:szCs w:val="24"/>
        </w:rPr>
        <w:t>Oracle's strong brand in technological innovation enhances the event's credibility as a distinguished corporate gathering.</w:t>
      </w:r>
    </w:p>
    <w:p w14:paraId="1721D97F" w14:textId="7A2C3692" w:rsidR="00945DBB" w:rsidRPr="00945DBB" w:rsidRDefault="00945DBB" w:rsidP="002B5902">
      <w:pPr>
        <w:spacing w:line="360" w:lineRule="auto"/>
        <w:jc w:val="both"/>
        <w:rPr>
          <w:rFonts w:ascii="Arial" w:hAnsi="Arial" w:cs="Arial"/>
          <w:sz w:val="24"/>
          <w:szCs w:val="24"/>
        </w:rPr>
      </w:pPr>
      <w:r w:rsidRPr="00945DBB">
        <w:rPr>
          <w:rFonts w:ascii="Arial" w:hAnsi="Arial" w:cs="Arial"/>
          <w:b/>
          <w:bCs/>
          <w:sz w:val="24"/>
          <w:szCs w:val="24"/>
        </w:rPr>
        <w:t>Weaknesses:</w:t>
      </w:r>
    </w:p>
    <w:p w14:paraId="08A1A1A0" w14:textId="77777777" w:rsidR="00945DBB" w:rsidRPr="00945DBB" w:rsidRDefault="00945DBB" w:rsidP="002B5902">
      <w:pPr>
        <w:numPr>
          <w:ilvl w:val="0"/>
          <w:numId w:val="28"/>
        </w:numPr>
        <w:spacing w:line="360" w:lineRule="auto"/>
        <w:jc w:val="both"/>
        <w:rPr>
          <w:rFonts w:ascii="Arial" w:hAnsi="Arial" w:cs="Arial"/>
          <w:sz w:val="24"/>
          <w:szCs w:val="24"/>
        </w:rPr>
      </w:pPr>
      <w:r w:rsidRPr="00945DBB">
        <w:rPr>
          <w:rFonts w:ascii="Arial" w:hAnsi="Arial" w:cs="Arial"/>
          <w:sz w:val="24"/>
          <w:szCs w:val="24"/>
        </w:rPr>
        <w:t xml:space="preserve">High operational costs and dependence on </w:t>
      </w:r>
      <w:proofErr w:type="spellStart"/>
      <w:r w:rsidRPr="00945DBB">
        <w:rPr>
          <w:rFonts w:ascii="Arial" w:hAnsi="Arial" w:cs="Arial"/>
          <w:sz w:val="24"/>
          <w:szCs w:val="24"/>
        </w:rPr>
        <w:t>favorable</w:t>
      </w:r>
      <w:proofErr w:type="spellEnd"/>
      <w:r w:rsidRPr="00945DBB">
        <w:rPr>
          <w:rFonts w:ascii="Arial" w:hAnsi="Arial" w:cs="Arial"/>
          <w:sz w:val="24"/>
          <w:szCs w:val="24"/>
        </w:rPr>
        <w:t xml:space="preserve"> winter conditions, potentially impacting attendance and satisfaction (Tang and Jang, 2011).</w:t>
      </w:r>
    </w:p>
    <w:p w14:paraId="3BC22B5A" w14:textId="403A2D0C" w:rsidR="00945DBB" w:rsidRPr="00945DBB" w:rsidRDefault="00945DBB" w:rsidP="002B5902">
      <w:pPr>
        <w:spacing w:line="360" w:lineRule="auto"/>
        <w:jc w:val="both"/>
        <w:rPr>
          <w:rFonts w:ascii="Arial" w:hAnsi="Arial" w:cs="Arial"/>
          <w:sz w:val="24"/>
          <w:szCs w:val="24"/>
        </w:rPr>
      </w:pPr>
      <w:r w:rsidRPr="00945DBB">
        <w:rPr>
          <w:rFonts w:ascii="Arial" w:hAnsi="Arial" w:cs="Arial"/>
          <w:b/>
          <w:bCs/>
          <w:sz w:val="24"/>
          <w:szCs w:val="24"/>
        </w:rPr>
        <w:lastRenderedPageBreak/>
        <w:t>Opportunities:</w:t>
      </w:r>
    </w:p>
    <w:p w14:paraId="2305E653" w14:textId="77777777" w:rsidR="00945DBB" w:rsidRPr="00945DBB" w:rsidRDefault="00945DBB" w:rsidP="002B5902">
      <w:pPr>
        <w:numPr>
          <w:ilvl w:val="0"/>
          <w:numId w:val="29"/>
        </w:numPr>
        <w:spacing w:line="360" w:lineRule="auto"/>
        <w:jc w:val="both"/>
        <w:rPr>
          <w:rFonts w:ascii="Arial" w:hAnsi="Arial" w:cs="Arial"/>
          <w:sz w:val="24"/>
          <w:szCs w:val="24"/>
        </w:rPr>
      </w:pPr>
      <w:r w:rsidRPr="00945DBB">
        <w:rPr>
          <w:rFonts w:ascii="Arial" w:hAnsi="Arial" w:cs="Arial"/>
          <w:sz w:val="24"/>
          <w:szCs w:val="24"/>
        </w:rPr>
        <w:t>Rising demand for experiential events blending leisure with professional growth, aligning with the MICE industry's shift towards high-value, leadership-focused experiences (Yuan et al., 2017).</w:t>
      </w:r>
    </w:p>
    <w:p w14:paraId="3461D4B2" w14:textId="77777777" w:rsidR="00945DBB" w:rsidRPr="00945DBB" w:rsidRDefault="00945DBB" w:rsidP="002B5902">
      <w:pPr>
        <w:numPr>
          <w:ilvl w:val="0"/>
          <w:numId w:val="29"/>
        </w:numPr>
        <w:spacing w:line="360" w:lineRule="auto"/>
        <w:jc w:val="both"/>
        <w:rPr>
          <w:rFonts w:ascii="Arial" w:hAnsi="Arial" w:cs="Arial"/>
          <w:sz w:val="24"/>
          <w:szCs w:val="24"/>
        </w:rPr>
      </w:pPr>
      <w:r w:rsidRPr="00945DBB">
        <w:rPr>
          <w:rFonts w:ascii="Arial" w:hAnsi="Arial" w:cs="Arial"/>
          <w:sz w:val="24"/>
          <w:szCs w:val="24"/>
        </w:rPr>
        <w:t>Increasing focus on hybrid work models and in-person interactions, creating an opportunity for Oracle to address evolving team dynamics (Bergmann et al., 2016).</w:t>
      </w:r>
    </w:p>
    <w:p w14:paraId="282982A3" w14:textId="12020168" w:rsidR="00945DBB" w:rsidRPr="00945DBB" w:rsidRDefault="00945DBB" w:rsidP="002B5902">
      <w:pPr>
        <w:spacing w:line="360" w:lineRule="auto"/>
        <w:jc w:val="both"/>
        <w:rPr>
          <w:rFonts w:ascii="Arial" w:hAnsi="Arial" w:cs="Arial"/>
          <w:sz w:val="24"/>
          <w:szCs w:val="24"/>
        </w:rPr>
      </w:pPr>
      <w:r w:rsidRPr="00945DBB">
        <w:rPr>
          <w:rFonts w:ascii="Arial" w:hAnsi="Arial" w:cs="Arial"/>
          <w:sz w:val="24"/>
          <w:szCs w:val="24"/>
        </w:rPr>
        <w:t xml:space="preserve"> </w:t>
      </w:r>
      <w:r w:rsidRPr="00945DBB">
        <w:rPr>
          <w:rFonts w:ascii="Arial" w:hAnsi="Arial" w:cs="Arial"/>
          <w:b/>
          <w:bCs/>
          <w:sz w:val="24"/>
          <w:szCs w:val="24"/>
        </w:rPr>
        <w:t>Threats:</w:t>
      </w:r>
    </w:p>
    <w:p w14:paraId="28C5C9BD" w14:textId="3FC87968" w:rsidR="004359C7" w:rsidRPr="00305CE5" w:rsidRDefault="00945DBB" w:rsidP="002B5902">
      <w:pPr>
        <w:numPr>
          <w:ilvl w:val="0"/>
          <w:numId w:val="30"/>
        </w:numPr>
        <w:spacing w:line="360" w:lineRule="auto"/>
        <w:jc w:val="both"/>
        <w:rPr>
          <w:rFonts w:ascii="Arial" w:hAnsi="Arial" w:cs="Arial"/>
          <w:sz w:val="24"/>
          <w:szCs w:val="24"/>
        </w:rPr>
      </w:pPr>
      <w:r w:rsidRPr="00945DBB">
        <w:rPr>
          <w:rFonts w:ascii="Arial" w:hAnsi="Arial" w:cs="Arial"/>
          <w:sz w:val="24"/>
          <w:szCs w:val="24"/>
        </w:rPr>
        <w:t>Weather-related disruptions require contingency planning</w:t>
      </w:r>
      <w:r w:rsidR="00BA1E3A" w:rsidRPr="002B5902">
        <w:rPr>
          <w:rFonts w:ascii="Arial" w:hAnsi="Arial" w:cs="Arial"/>
          <w:sz w:val="24"/>
          <w:szCs w:val="24"/>
        </w:rPr>
        <w:t xml:space="preserve"> (see Appendix C)</w:t>
      </w:r>
      <w:r w:rsidRPr="00945DBB">
        <w:rPr>
          <w:rFonts w:ascii="Arial" w:hAnsi="Arial" w:cs="Arial"/>
          <w:sz w:val="24"/>
          <w:szCs w:val="24"/>
        </w:rPr>
        <w:t>, and economic factors like budget constraints may affect sponsorship and attendance (</w:t>
      </w:r>
      <w:proofErr w:type="spellStart"/>
      <w:r w:rsidRPr="00945DBB">
        <w:rPr>
          <w:rFonts w:ascii="Arial" w:hAnsi="Arial" w:cs="Arial"/>
          <w:sz w:val="24"/>
          <w:szCs w:val="24"/>
        </w:rPr>
        <w:t>Sillmann</w:t>
      </w:r>
      <w:proofErr w:type="spellEnd"/>
      <w:r w:rsidRPr="00945DBB">
        <w:rPr>
          <w:rFonts w:ascii="Arial" w:hAnsi="Arial" w:cs="Arial"/>
          <w:sz w:val="24"/>
          <w:szCs w:val="24"/>
        </w:rPr>
        <w:t xml:space="preserve"> et al., 2021; Wieczorek-Kosmala, 2020).</w:t>
      </w:r>
    </w:p>
    <w:p w14:paraId="20A5CF06" w14:textId="77777777" w:rsidR="00305CE5" w:rsidRPr="009E7436" w:rsidRDefault="00F97312" w:rsidP="009E7436">
      <w:pPr>
        <w:pStyle w:val="Heading2"/>
        <w:rPr>
          <w:rFonts w:ascii="Arial" w:hAnsi="Arial" w:cs="Arial"/>
          <w:b/>
          <w:bCs/>
          <w:color w:val="auto"/>
          <w:sz w:val="24"/>
          <w:szCs w:val="24"/>
        </w:rPr>
      </w:pPr>
      <w:bookmarkStart w:id="43" w:name="_Toc181992375"/>
      <w:r w:rsidRPr="009E7436">
        <w:rPr>
          <w:rFonts w:ascii="Arial" w:hAnsi="Arial" w:cs="Arial"/>
          <w:b/>
          <w:bCs/>
          <w:color w:val="auto"/>
          <w:sz w:val="24"/>
          <w:szCs w:val="24"/>
        </w:rPr>
        <w:t>Risk Management</w:t>
      </w:r>
      <w:bookmarkEnd w:id="43"/>
    </w:p>
    <w:p w14:paraId="6C5EFE87" w14:textId="742A9512" w:rsidR="00DB306D" w:rsidRPr="002B5902" w:rsidRDefault="00DB306D" w:rsidP="002B5902">
      <w:pPr>
        <w:spacing w:line="360" w:lineRule="auto"/>
        <w:jc w:val="both"/>
        <w:rPr>
          <w:rFonts w:ascii="Arial" w:hAnsi="Arial" w:cs="Arial"/>
          <w:sz w:val="24"/>
          <w:szCs w:val="24"/>
        </w:rPr>
      </w:pPr>
      <w:r w:rsidRPr="002B5902">
        <w:rPr>
          <w:rFonts w:ascii="Arial" w:hAnsi="Arial" w:cs="Arial"/>
          <w:sz w:val="24"/>
          <w:szCs w:val="24"/>
        </w:rPr>
        <w:t xml:space="preserve">Implementing EMBOK’s Risk Domain improves Oracle’s risk management strategies, covering Compliance, Emergency Management, Health &amp; Safety, and Legal safeguards. EMBOK underscores the importance of proactive strategies, including thorough weather monitoring and safety protocols, for ensuring participant safety and event dependability (Silvers, 2007). Risk management plans </w:t>
      </w:r>
      <w:proofErr w:type="gramStart"/>
      <w:r w:rsidRPr="002B5902">
        <w:rPr>
          <w:rFonts w:ascii="Arial" w:hAnsi="Arial" w:cs="Arial"/>
          <w:sz w:val="24"/>
          <w:szCs w:val="24"/>
        </w:rPr>
        <w:t>have to</w:t>
      </w:r>
      <w:proofErr w:type="gramEnd"/>
      <w:r w:rsidRPr="002B5902">
        <w:rPr>
          <w:rFonts w:ascii="Arial" w:hAnsi="Arial" w:cs="Arial"/>
          <w:sz w:val="24"/>
          <w:szCs w:val="24"/>
        </w:rPr>
        <w:t xml:space="preserve"> include contingency plans including different locations and adaptable programming options that mitigate weather-related risks. Advocating for travel insurance helps participants in mitigating potential disruptions (Tang and Jang, 2011). Emergency response teams and pre-event briefings improve security during outdoor activities (</w:t>
      </w:r>
      <w:proofErr w:type="spellStart"/>
      <w:r w:rsidRPr="002B5902">
        <w:rPr>
          <w:rFonts w:ascii="Arial" w:hAnsi="Arial" w:cs="Arial"/>
          <w:sz w:val="24"/>
          <w:szCs w:val="24"/>
        </w:rPr>
        <w:t>Verbós</w:t>
      </w:r>
      <w:proofErr w:type="spellEnd"/>
      <w:r w:rsidRPr="002B5902">
        <w:rPr>
          <w:rFonts w:ascii="Arial" w:hAnsi="Arial" w:cs="Arial"/>
          <w:sz w:val="24"/>
          <w:szCs w:val="24"/>
        </w:rPr>
        <w:t xml:space="preserve"> and Brownlee, 2017).</w:t>
      </w:r>
    </w:p>
    <w:p w14:paraId="7822FCDA" w14:textId="135762AD" w:rsidR="00C276DA" w:rsidRPr="002B5902" w:rsidRDefault="00DB306D" w:rsidP="002B5902">
      <w:pPr>
        <w:spacing w:line="360" w:lineRule="auto"/>
        <w:jc w:val="both"/>
        <w:rPr>
          <w:rFonts w:ascii="Arial" w:hAnsi="Arial" w:cs="Arial"/>
          <w:sz w:val="24"/>
          <w:szCs w:val="24"/>
        </w:rPr>
      </w:pPr>
      <w:r w:rsidRPr="002B5902">
        <w:rPr>
          <w:rFonts w:ascii="Arial" w:hAnsi="Arial" w:cs="Arial"/>
          <w:sz w:val="24"/>
          <w:szCs w:val="24"/>
        </w:rPr>
        <w:t>These structured measures aligned with EMBOK allow the Summit is seamless execution, protecting Oracle's reputation while maintaining high engagement.</w:t>
      </w:r>
    </w:p>
    <w:p w14:paraId="784B8495" w14:textId="77777777" w:rsidR="00305CE5" w:rsidRDefault="00305CE5" w:rsidP="002B5902">
      <w:pPr>
        <w:spacing w:line="360" w:lineRule="auto"/>
        <w:jc w:val="both"/>
        <w:rPr>
          <w:rFonts w:ascii="Arial" w:hAnsi="Arial" w:cs="Arial"/>
          <w:sz w:val="24"/>
          <w:szCs w:val="24"/>
        </w:rPr>
      </w:pPr>
    </w:p>
    <w:p w14:paraId="6484BDDE" w14:textId="77777777" w:rsidR="00305CE5" w:rsidRDefault="00305CE5" w:rsidP="002B5902">
      <w:pPr>
        <w:spacing w:line="360" w:lineRule="auto"/>
        <w:jc w:val="both"/>
        <w:rPr>
          <w:rFonts w:ascii="Arial" w:hAnsi="Arial" w:cs="Arial"/>
          <w:sz w:val="24"/>
          <w:szCs w:val="24"/>
        </w:rPr>
      </w:pPr>
    </w:p>
    <w:p w14:paraId="294A7262" w14:textId="042A4424" w:rsidR="00C276DA" w:rsidRPr="009E7436" w:rsidRDefault="00C276DA" w:rsidP="009E7436">
      <w:pPr>
        <w:pStyle w:val="Heading1"/>
        <w:rPr>
          <w:rFonts w:ascii="Arial" w:hAnsi="Arial" w:cs="Arial"/>
          <w:b/>
          <w:bCs/>
          <w:color w:val="auto"/>
          <w:sz w:val="28"/>
          <w:szCs w:val="28"/>
        </w:rPr>
      </w:pPr>
      <w:bookmarkStart w:id="44" w:name="_Toc181992376"/>
      <w:r w:rsidRPr="009E7436">
        <w:rPr>
          <w:rFonts w:ascii="Arial" w:hAnsi="Arial" w:cs="Arial"/>
          <w:b/>
          <w:bCs/>
          <w:color w:val="auto"/>
          <w:sz w:val="28"/>
          <w:szCs w:val="28"/>
        </w:rPr>
        <w:t>8. Project Management and Timeline</w:t>
      </w:r>
      <w:bookmarkEnd w:id="44"/>
      <w:r w:rsidRPr="009E7436">
        <w:rPr>
          <w:rFonts w:ascii="Arial" w:hAnsi="Arial" w:cs="Arial"/>
          <w:b/>
          <w:bCs/>
          <w:color w:val="auto"/>
          <w:sz w:val="28"/>
          <w:szCs w:val="28"/>
        </w:rPr>
        <w:t xml:space="preserve"> </w:t>
      </w:r>
    </w:p>
    <w:p w14:paraId="5A514628" w14:textId="720FBEB5" w:rsidR="00FD58F4" w:rsidRPr="002B5902" w:rsidRDefault="00FD58F4" w:rsidP="002B5902">
      <w:pPr>
        <w:spacing w:line="360" w:lineRule="auto"/>
        <w:jc w:val="both"/>
        <w:rPr>
          <w:rFonts w:ascii="Arial" w:hAnsi="Arial" w:cs="Arial"/>
          <w:sz w:val="24"/>
          <w:szCs w:val="24"/>
        </w:rPr>
      </w:pPr>
      <w:r w:rsidRPr="002B5902">
        <w:rPr>
          <w:rFonts w:ascii="Arial" w:hAnsi="Arial" w:cs="Arial"/>
          <w:sz w:val="24"/>
          <w:szCs w:val="24"/>
        </w:rPr>
        <w:t xml:space="preserve">The timeline of the Oracle Winter Summit is organised according to the EMBOK Phases framework—Initiation, Planning, Implementation, Event, and Closure—to guarantee </w:t>
      </w:r>
      <w:r w:rsidRPr="002B5902">
        <w:rPr>
          <w:rFonts w:ascii="Arial" w:hAnsi="Arial" w:cs="Arial"/>
          <w:sz w:val="24"/>
          <w:szCs w:val="24"/>
        </w:rPr>
        <w:lastRenderedPageBreak/>
        <w:t>careful and efficient execution of each stage (Silvers, 2007). This methodology ensures consistency from initial planning to post-event evaluation</w:t>
      </w:r>
      <w:r w:rsidR="00A347E5" w:rsidRPr="002B5902">
        <w:rPr>
          <w:rFonts w:ascii="Arial" w:hAnsi="Arial" w:cs="Arial"/>
          <w:sz w:val="24"/>
          <w:szCs w:val="24"/>
        </w:rPr>
        <w:t xml:space="preserve"> (See Appendix D)</w:t>
      </w:r>
      <w:r w:rsidRPr="002B5902">
        <w:rPr>
          <w:rFonts w:ascii="Arial" w:hAnsi="Arial" w:cs="Arial"/>
          <w:sz w:val="24"/>
          <w:szCs w:val="24"/>
        </w:rPr>
        <w:t>.</w:t>
      </w:r>
    </w:p>
    <w:p w14:paraId="7A08DDE2" w14:textId="444FA74C" w:rsidR="00584D93" w:rsidRPr="002B5902" w:rsidRDefault="00584D93" w:rsidP="002B5902">
      <w:pPr>
        <w:spacing w:line="360" w:lineRule="auto"/>
        <w:jc w:val="both"/>
        <w:rPr>
          <w:rFonts w:ascii="Arial" w:hAnsi="Arial" w:cs="Arial"/>
          <w:sz w:val="24"/>
          <w:szCs w:val="24"/>
        </w:rPr>
      </w:pPr>
      <w:bookmarkStart w:id="45" w:name="_Toc181992377"/>
      <w:r w:rsidRPr="009E7436">
        <w:rPr>
          <w:rStyle w:val="Heading2Char"/>
          <w:rFonts w:ascii="Arial" w:hAnsi="Arial" w:cs="Arial"/>
          <w:b/>
          <w:bCs/>
          <w:color w:val="auto"/>
          <w:sz w:val="24"/>
          <w:szCs w:val="24"/>
        </w:rPr>
        <w:t>Gantt Chart and Scheduling (Planning and Implementation Phases)</w:t>
      </w:r>
      <w:bookmarkEnd w:id="45"/>
      <w:r w:rsidRPr="002B5902">
        <w:rPr>
          <w:rFonts w:ascii="Arial" w:hAnsi="Arial" w:cs="Arial"/>
          <w:sz w:val="24"/>
          <w:szCs w:val="24"/>
        </w:rPr>
        <w:br/>
      </w:r>
      <w:r w:rsidR="00857E14" w:rsidRPr="002B5902">
        <w:rPr>
          <w:rFonts w:ascii="Arial" w:hAnsi="Arial" w:cs="Arial"/>
          <w:sz w:val="24"/>
          <w:szCs w:val="24"/>
        </w:rPr>
        <w:t>A Gantt chart outlines tasks such as setup, speaker confirmations, and activity scheduling, offering a visual representation essential for monitoring the Planning and Implementation phases. This chart allows Oracle’s project team to understand task dependencies and progress, which increases coordination around event components (Kundu et al., 2015).</w:t>
      </w:r>
    </w:p>
    <w:p w14:paraId="776071B1" w14:textId="77777777" w:rsidR="005D1642" w:rsidRPr="002B5902" w:rsidRDefault="00584D93" w:rsidP="002B5902">
      <w:pPr>
        <w:spacing w:line="360" w:lineRule="auto"/>
        <w:jc w:val="both"/>
        <w:rPr>
          <w:rFonts w:ascii="Arial" w:hAnsi="Arial" w:cs="Arial"/>
          <w:sz w:val="24"/>
          <w:szCs w:val="24"/>
        </w:rPr>
      </w:pPr>
      <w:bookmarkStart w:id="46" w:name="_Toc181992378"/>
      <w:r w:rsidRPr="009E7436">
        <w:rPr>
          <w:rStyle w:val="Heading2Char"/>
          <w:rFonts w:ascii="Arial" w:hAnsi="Arial" w:cs="Arial"/>
          <w:b/>
          <w:bCs/>
          <w:color w:val="auto"/>
          <w:sz w:val="24"/>
          <w:szCs w:val="24"/>
        </w:rPr>
        <w:t>Team Structure and Monitoring Progress (Implementation Phase)</w:t>
      </w:r>
      <w:bookmarkEnd w:id="46"/>
      <w:r w:rsidRPr="002B5902">
        <w:rPr>
          <w:rFonts w:ascii="Arial" w:hAnsi="Arial" w:cs="Arial"/>
          <w:sz w:val="24"/>
          <w:szCs w:val="24"/>
        </w:rPr>
        <w:br/>
      </w:r>
      <w:r w:rsidR="005D1642" w:rsidRPr="002B5902">
        <w:rPr>
          <w:rFonts w:ascii="Arial" w:hAnsi="Arial" w:cs="Arial"/>
          <w:sz w:val="24"/>
          <w:szCs w:val="24"/>
        </w:rPr>
        <w:t>A clearly delineated team structure with designated roles—such as a Project Manager supervising strategic objectives, a Logistics Coordinator managing venue logistics, and a Marketing Team implementing campaigns—facilitates operational efficiency. Regular milestone reviews and instruments such as RACI matrices promote accountability and compliance with schedules (Ong et al., 2016), essential to sustaining alignment with EMBOK’s systematic methodology.</w:t>
      </w:r>
    </w:p>
    <w:p w14:paraId="49F681D2" w14:textId="77777777" w:rsidR="005D1642" w:rsidRPr="002B5902" w:rsidRDefault="005D1642" w:rsidP="002B5902">
      <w:pPr>
        <w:spacing w:line="360" w:lineRule="auto"/>
        <w:jc w:val="both"/>
        <w:rPr>
          <w:rFonts w:ascii="Arial" w:hAnsi="Arial" w:cs="Arial"/>
          <w:sz w:val="24"/>
          <w:szCs w:val="24"/>
        </w:rPr>
      </w:pPr>
      <w:r w:rsidRPr="002B5902">
        <w:rPr>
          <w:rFonts w:ascii="Arial" w:hAnsi="Arial" w:cs="Arial"/>
          <w:sz w:val="24"/>
          <w:szCs w:val="24"/>
        </w:rPr>
        <w:t>This focused, EMBOK-aligned timeline ensures that the Oracle Winter Summit is expertly administered, delivering superior standards and an outstanding experience for all participants.</w:t>
      </w:r>
    </w:p>
    <w:p w14:paraId="412C9C05" w14:textId="10DF2C22" w:rsidR="00EC4467" w:rsidRPr="002B5902" w:rsidRDefault="005D1642" w:rsidP="002B5902">
      <w:pPr>
        <w:spacing w:line="360" w:lineRule="auto"/>
        <w:jc w:val="both"/>
        <w:rPr>
          <w:rFonts w:ascii="Arial" w:hAnsi="Arial" w:cs="Arial"/>
          <w:vanish/>
          <w:sz w:val="24"/>
          <w:szCs w:val="24"/>
        </w:rPr>
      </w:pPr>
      <w:r w:rsidRPr="002B5902">
        <w:rPr>
          <w:rFonts w:ascii="Arial" w:hAnsi="Arial" w:cs="Arial"/>
          <w:sz w:val="24"/>
          <w:szCs w:val="24"/>
        </w:rPr>
        <w:t xml:space="preserve">During the Closure Phase, Oracle will collect feedback through post-event surveys, a team debrief, and individualised follow-up emails to evaluate the Summit is efficacy. EMBOK highlights the importance of post-event evaluation for ongoing improvement, helping Oracle in refining future events and strengthening positive relationships with attendees (Silvers, 2007; Miller and </w:t>
      </w:r>
      <w:proofErr w:type="spellStart"/>
      <w:r w:rsidRPr="002B5902">
        <w:rPr>
          <w:rFonts w:ascii="Arial" w:hAnsi="Arial" w:cs="Arial"/>
          <w:sz w:val="24"/>
          <w:szCs w:val="24"/>
        </w:rPr>
        <w:t>Maellaro</w:t>
      </w:r>
      <w:proofErr w:type="spellEnd"/>
      <w:r w:rsidRPr="002B5902">
        <w:rPr>
          <w:rFonts w:ascii="Arial" w:hAnsi="Arial" w:cs="Arial"/>
          <w:sz w:val="24"/>
          <w:szCs w:val="24"/>
        </w:rPr>
        <w:t>, 2016).</w:t>
      </w:r>
      <w:r w:rsidR="00EC4467" w:rsidRPr="002B5902">
        <w:rPr>
          <w:rFonts w:ascii="Arial" w:hAnsi="Arial" w:cs="Arial"/>
          <w:vanish/>
          <w:sz w:val="24"/>
          <w:szCs w:val="24"/>
        </w:rPr>
        <w:t>Top of Form</w:t>
      </w:r>
    </w:p>
    <w:p w14:paraId="676A4DE5" w14:textId="77777777" w:rsidR="00EC4467" w:rsidRPr="002B5902" w:rsidRDefault="00EC4467" w:rsidP="002B5902">
      <w:pPr>
        <w:spacing w:line="360" w:lineRule="auto"/>
        <w:jc w:val="both"/>
        <w:rPr>
          <w:rFonts w:ascii="Arial" w:hAnsi="Arial" w:cs="Arial"/>
          <w:vanish/>
          <w:sz w:val="24"/>
          <w:szCs w:val="24"/>
        </w:rPr>
      </w:pPr>
      <w:r w:rsidRPr="002B5902">
        <w:rPr>
          <w:rFonts w:ascii="Arial" w:hAnsi="Arial" w:cs="Arial"/>
          <w:vanish/>
          <w:sz w:val="24"/>
          <w:szCs w:val="24"/>
        </w:rPr>
        <w:t>Bottom of Form</w:t>
      </w:r>
    </w:p>
    <w:p w14:paraId="2848E776" w14:textId="21DB419A" w:rsidR="00C276DA" w:rsidRPr="002B5902" w:rsidRDefault="00C276DA" w:rsidP="002B5902">
      <w:pPr>
        <w:spacing w:line="360" w:lineRule="auto"/>
        <w:jc w:val="both"/>
        <w:rPr>
          <w:rFonts w:ascii="Arial" w:hAnsi="Arial" w:cs="Arial"/>
          <w:sz w:val="24"/>
          <w:szCs w:val="24"/>
        </w:rPr>
      </w:pPr>
    </w:p>
    <w:p w14:paraId="1ABE62CE" w14:textId="77777777" w:rsidR="00305CE5" w:rsidRDefault="00C276DA" w:rsidP="002B5902">
      <w:pPr>
        <w:spacing w:line="360" w:lineRule="auto"/>
        <w:jc w:val="both"/>
        <w:rPr>
          <w:rFonts w:ascii="Arial" w:hAnsi="Arial" w:cs="Arial"/>
          <w:sz w:val="24"/>
          <w:szCs w:val="24"/>
        </w:rPr>
      </w:pPr>
      <w:r w:rsidRPr="002B5902">
        <w:rPr>
          <w:rFonts w:ascii="Arial" w:hAnsi="Arial" w:cs="Arial"/>
          <w:vanish/>
          <w:sz w:val="24"/>
          <w:szCs w:val="24"/>
        </w:rPr>
        <w:t>Top of Form</w:t>
      </w:r>
    </w:p>
    <w:p w14:paraId="080A1C64" w14:textId="77777777" w:rsidR="00305CE5" w:rsidRDefault="00305CE5" w:rsidP="002B5902">
      <w:pPr>
        <w:spacing w:line="360" w:lineRule="auto"/>
        <w:jc w:val="both"/>
        <w:rPr>
          <w:rFonts w:ascii="Arial" w:hAnsi="Arial" w:cs="Arial"/>
          <w:sz w:val="24"/>
          <w:szCs w:val="24"/>
        </w:rPr>
      </w:pPr>
    </w:p>
    <w:p w14:paraId="21D5CEFE" w14:textId="0A194F76" w:rsidR="00142FF8" w:rsidRPr="009E7436" w:rsidRDefault="00142FF8" w:rsidP="009E7436">
      <w:pPr>
        <w:pStyle w:val="Heading1"/>
        <w:rPr>
          <w:rFonts w:ascii="Arial" w:hAnsi="Arial" w:cs="Arial"/>
          <w:b/>
          <w:bCs/>
          <w:color w:val="auto"/>
          <w:sz w:val="28"/>
          <w:szCs w:val="28"/>
        </w:rPr>
      </w:pPr>
      <w:bookmarkStart w:id="47" w:name="_Toc181992379"/>
      <w:r w:rsidRPr="009E7436">
        <w:rPr>
          <w:rFonts w:ascii="Arial" w:hAnsi="Arial" w:cs="Arial"/>
          <w:b/>
          <w:bCs/>
          <w:color w:val="auto"/>
          <w:sz w:val="28"/>
          <w:szCs w:val="28"/>
        </w:rPr>
        <w:lastRenderedPageBreak/>
        <w:t>9. Conclusion and Long-Term Potential</w:t>
      </w:r>
      <w:bookmarkEnd w:id="47"/>
      <w:r w:rsidRPr="009E7436">
        <w:rPr>
          <w:rFonts w:ascii="Arial" w:hAnsi="Arial" w:cs="Arial"/>
          <w:b/>
          <w:bCs/>
          <w:color w:val="auto"/>
          <w:sz w:val="28"/>
          <w:szCs w:val="28"/>
        </w:rPr>
        <w:t xml:space="preserve"> </w:t>
      </w:r>
    </w:p>
    <w:p w14:paraId="4C99D961" w14:textId="77777777" w:rsidR="00305CE5" w:rsidRPr="009E7436" w:rsidRDefault="002100DD" w:rsidP="009E7436">
      <w:pPr>
        <w:pStyle w:val="Heading2"/>
        <w:rPr>
          <w:rFonts w:ascii="Arial" w:hAnsi="Arial" w:cs="Arial"/>
          <w:b/>
          <w:bCs/>
          <w:color w:val="auto"/>
          <w:sz w:val="24"/>
          <w:szCs w:val="24"/>
        </w:rPr>
      </w:pPr>
      <w:bookmarkStart w:id="48" w:name="_Toc181992380"/>
      <w:r w:rsidRPr="009E7436">
        <w:rPr>
          <w:rFonts w:ascii="Arial" w:hAnsi="Arial" w:cs="Arial"/>
          <w:b/>
          <w:bCs/>
          <w:color w:val="auto"/>
          <w:sz w:val="24"/>
          <w:szCs w:val="24"/>
        </w:rPr>
        <w:t>Annual Event Vision and Strategic Potential</w:t>
      </w:r>
      <w:bookmarkEnd w:id="48"/>
    </w:p>
    <w:p w14:paraId="3F4EAED3" w14:textId="3A0428B1" w:rsidR="002100DD" w:rsidRPr="002B5902" w:rsidRDefault="00942173" w:rsidP="002B5902">
      <w:pPr>
        <w:spacing w:line="360" w:lineRule="auto"/>
        <w:jc w:val="both"/>
        <w:rPr>
          <w:rFonts w:ascii="Arial" w:hAnsi="Arial" w:cs="Arial"/>
          <w:sz w:val="24"/>
          <w:szCs w:val="24"/>
        </w:rPr>
      </w:pPr>
      <w:r w:rsidRPr="002B5902">
        <w:rPr>
          <w:rFonts w:ascii="Arial" w:hAnsi="Arial" w:cs="Arial"/>
          <w:sz w:val="24"/>
          <w:szCs w:val="24"/>
        </w:rPr>
        <w:t>By implementing EMBOK’s Core Values of Continuous Improvement and Strategic Thinking, Oracle seeks to position the Winter Summit as a notable annual event, affirming its dedication to leadership development and innovation in experiential learning (Silvers, 2007). Regular summits may reinforce Oracle’s brand, in line with research indicating the beneficial, enduring effects of ongoing leadership programs on organisational culture and loyalty (Abrell et al., 2011).</w:t>
      </w:r>
    </w:p>
    <w:p w14:paraId="0E7D2C5D" w14:textId="77777777" w:rsidR="00305CE5" w:rsidRPr="009E7436" w:rsidRDefault="002100DD" w:rsidP="009E7436">
      <w:pPr>
        <w:pStyle w:val="Heading2"/>
        <w:rPr>
          <w:rFonts w:ascii="Arial" w:hAnsi="Arial" w:cs="Arial"/>
          <w:b/>
          <w:bCs/>
          <w:color w:val="auto"/>
          <w:sz w:val="24"/>
          <w:szCs w:val="24"/>
        </w:rPr>
      </w:pPr>
      <w:bookmarkStart w:id="49" w:name="_Toc181992381"/>
      <w:r w:rsidRPr="009E7436">
        <w:rPr>
          <w:rFonts w:ascii="Arial" w:hAnsi="Arial" w:cs="Arial"/>
          <w:b/>
          <w:bCs/>
          <w:color w:val="auto"/>
          <w:sz w:val="24"/>
          <w:szCs w:val="24"/>
        </w:rPr>
        <w:t>Evaluation Metrics</w:t>
      </w:r>
      <w:bookmarkEnd w:id="49"/>
    </w:p>
    <w:p w14:paraId="48959B76" w14:textId="25BAE8AE" w:rsidR="002100DD" w:rsidRPr="002B5902" w:rsidRDefault="002D0FDA" w:rsidP="002B5902">
      <w:pPr>
        <w:spacing w:line="360" w:lineRule="auto"/>
        <w:jc w:val="both"/>
        <w:rPr>
          <w:rFonts w:ascii="Arial" w:hAnsi="Arial" w:cs="Arial"/>
          <w:sz w:val="24"/>
          <w:szCs w:val="24"/>
        </w:rPr>
      </w:pPr>
      <w:r w:rsidRPr="002B5902">
        <w:rPr>
          <w:rFonts w:ascii="Arial" w:hAnsi="Arial" w:cs="Arial"/>
          <w:sz w:val="24"/>
          <w:szCs w:val="24"/>
        </w:rPr>
        <w:t>Oracle is going to create detailed metrics, including KPIs (e.g., engagement rates, feedback scores, ROI), to evaluate success and identify areas for improvement (Chappel, 2015). Post-event surveys will collect structured feedback, assuring that every version better meets attendee requirements and facilitates learning transferability (Rosenkrantz et al., 2015; DeRue et al., 2012).</w:t>
      </w:r>
    </w:p>
    <w:p w14:paraId="47341568" w14:textId="77777777" w:rsidR="00305CE5" w:rsidRPr="009E7436" w:rsidRDefault="002100DD" w:rsidP="009E7436">
      <w:pPr>
        <w:pStyle w:val="Heading2"/>
        <w:rPr>
          <w:rFonts w:ascii="Arial" w:hAnsi="Arial" w:cs="Arial"/>
          <w:b/>
          <w:bCs/>
          <w:color w:val="auto"/>
          <w:sz w:val="24"/>
          <w:szCs w:val="24"/>
        </w:rPr>
      </w:pPr>
      <w:bookmarkStart w:id="50" w:name="_Toc181992382"/>
      <w:r w:rsidRPr="009E7436">
        <w:rPr>
          <w:rFonts w:ascii="Arial" w:hAnsi="Arial" w:cs="Arial"/>
          <w:b/>
          <w:bCs/>
          <w:color w:val="auto"/>
          <w:sz w:val="24"/>
          <w:szCs w:val="24"/>
        </w:rPr>
        <w:t>Future Opportunities</w:t>
      </w:r>
      <w:bookmarkEnd w:id="50"/>
    </w:p>
    <w:p w14:paraId="4BC31D76" w14:textId="0418D1C5" w:rsidR="005454F8" w:rsidRPr="002B5902" w:rsidRDefault="005454F8" w:rsidP="002B5902">
      <w:pPr>
        <w:spacing w:line="360" w:lineRule="auto"/>
        <w:jc w:val="both"/>
        <w:rPr>
          <w:rFonts w:ascii="Arial" w:hAnsi="Arial" w:cs="Arial"/>
          <w:sz w:val="24"/>
          <w:szCs w:val="24"/>
        </w:rPr>
      </w:pPr>
      <w:r w:rsidRPr="002B5902">
        <w:rPr>
          <w:rFonts w:ascii="Arial" w:hAnsi="Arial" w:cs="Arial"/>
          <w:sz w:val="24"/>
          <w:szCs w:val="24"/>
        </w:rPr>
        <w:t xml:space="preserve">Applying post-event data and participant feedback, Oracle can modify the Summit to align with emerging </w:t>
      </w:r>
      <w:proofErr w:type="gramStart"/>
      <w:r w:rsidRPr="002B5902">
        <w:rPr>
          <w:rFonts w:ascii="Arial" w:hAnsi="Arial" w:cs="Arial"/>
          <w:sz w:val="24"/>
          <w:szCs w:val="24"/>
        </w:rPr>
        <w:t>trends,  strengthening</w:t>
      </w:r>
      <w:proofErr w:type="gramEnd"/>
      <w:r w:rsidRPr="002B5902">
        <w:rPr>
          <w:rFonts w:ascii="Arial" w:hAnsi="Arial" w:cs="Arial"/>
          <w:sz w:val="24"/>
          <w:szCs w:val="24"/>
        </w:rPr>
        <w:t xml:space="preserve"> its status as a leader </w:t>
      </w:r>
      <w:proofErr w:type="spellStart"/>
      <w:r w:rsidRPr="002B5902">
        <w:rPr>
          <w:rFonts w:ascii="Arial" w:hAnsi="Arial" w:cs="Arial"/>
          <w:sz w:val="24"/>
          <w:szCs w:val="24"/>
        </w:rPr>
        <w:t>aslo</w:t>
      </w:r>
      <w:proofErr w:type="spellEnd"/>
      <w:r w:rsidRPr="002B5902">
        <w:rPr>
          <w:rFonts w:ascii="Arial" w:hAnsi="Arial" w:cs="Arial"/>
          <w:sz w:val="24"/>
          <w:szCs w:val="24"/>
        </w:rPr>
        <w:t> in the MICE sector (Crothers et al., 2011). This ongoing, data-informed strategy not only promotes event efficiency but also strengthens Oracle's status as a leader in professional development.</w:t>
      </w:r>
    </w:p>
    <w:p w14:paraId="4DCF6D9A" w14:textId="77777777" w:rsidR="00B04DFD" w:rsidRPr="002B5902" w:rsidRDefault="00B04DFD" w:rsidP="002B5902">
      <w:pPr>
        <w:spacing w:line="360" w:lineRule="auto"/>
        <w:jc w:val="both"/>
        <w:rPr>
          <w:rFonts w:ascii="Arial" w:hAnsi="Arial" w:cs="Arial"/>
          <w:b/>
          <w:bCs/>
          <w:sz w:val="24"/>
          <w:szCs w:val="24"/>
        </w:rPr>
      </w:pPr>
    </w:p>
    <w:p w14:paraId="5CE665BB" w14:textId="77777777" w:rsidR="00B04DFD" w:rsidRPr="002B5902" w:rsidRDefault="00B04DFD" w:rsidP="002B5902">
      <w:pPr>
        <w:spacing w:line="360" w:lineRule="auto"/>
        <w:jc w:val="both"/>
        <w:rPr>
          <w:rFonts w:ascii="Arial" w:hAnsi="Arial" w:cs="Arial"/>
          <w:b/>
          <w:bCs/>
          <w:sz w:val="24"/>
          <w:szCs w:val="24"/>
        </w:rPr>
      </w:pPr>
    </w:p>
    <w:p w14:paraId="700C5CA8" w14:textId="77777777" w:rsidR="00B04DFD" w:rsidRPr="002B5902" w:rsidRDefault="00B04DFD" w:rsidP="002B5902">
      <w:pPr>
        <w:spacing w:line="360" w:lineRule="auto"/>
        <w:jc w:val="both"/>
        <w:rPr>
          <w:rFonts w:ascii="Arial" w:hAnsi="Arial" w:cs="Arial"/>
          <w:b/>
          <w:bCs/>
          <w:sz w:val="24"/>
          <w:szCs w:val="24"/>
        </w:rPr>
      </w:pPr>
    </w:p>
    <w:p w14:paraId="5FC6CA07" w14:textId="77777777" w:rsidR="00B04DFD" w:rsidRPr="002B5902" w:rsidRDefault="00B04DFD" w:rsidP="002B5902">
      <w:pPr>
        <w:spacing w:line="360" w:lineRule="auto"/>
        <w:jc w:val="both"/>
        <w:rPr>
          <w:rFonts w:ascii="Arial" w:hAnsi="Arial" w:cs="Arial"/>
          <w:b/>
          <w:bCs/>
          <w:sz w:val="24"/>
          <w:szCs w:val="24"/>
        </w:rPr>
      </w:pPr>
    </w:p>
    <w:p w14:paraId="2F00A10E" w14:textId="77777777" w:rsidR="00B04DFD" w:rsidRPr="002B5902" w:rsidRDefault="00B04DFD" w:rsidP="002B5902">
      <w:pPr>
        <w:spacing w:line="360" w:lineRule="auto"/>
        <w:jc w:val="both"/>
        <w:rPr>
          <w:rFonts w:ascii="Arial" w:hAnsi="Arial" w:cs="Arial"/>
          <w:b/>
          <w:bCs/>
          <w:sz w:val="24"/>
          <w:szCs w:val="24"/>
        </w:rPr>
      </w:pPr>
    </w:p>
    <w:p w14:paraId="227BA494" w14:textId="77777777" w:rsidR="00B04DFD" w:rsidRDefault="00B04DFD" w:rsidP="002B5902">
      <w:pPr>
        <w:spacing w:line="360" w:lineRule="auto"/>
        <w:jc w:val="both"/>
        <w:rPr>
          <w:rFonts w:ascii="Arial" w:hAnsi="Arial" w:cs="Arial"/>
          <w:b/>
          <w:bCs/>
          <w:sz w:val="24"/>
          <w:szCs w:val="24"/>
        </w:rPr>
      </w:pPr>
    </w:p>
    <w:p w14:paraId="73F53A8E" w14:textId="77777777" w:rsidR="009E7436" w:rsidRPr="002B5902" w:rsidRDefault="009E7436" w:rsidP="002B5902">
      <w:pPr>
        <w:spacing w:line="360" w:lineRule="auto"/>
        <w:jc w:val="both"/>
        <w:rPr>
          <w:rFonts w:ascii="Arial" w:hAnsi="Arial" w:cs="Arial"/>
          <w:b/>
          <w:bCs/>
          <w:sz w:val="24"/>
          <w:szCs w:val="24"/>
        </w:rPr>
      </w:pPr>
    </w:p>
    <w:p w14:paraId="375689CA" w14:textId="77777777" w:rsidR="000149AD" w:rsidRPr="002B5902" w:rsidRDefault="000149AD" w:rsidP="002B5902">
      <w:pPr>
        <w:spacing w:line="360" w:lineRule="auto"/>
        <w:jc w:val="both"/>
        <w:rPr>
          <w:rFonts w:ascii="Arial" w:hAnsi="Arial" w:cs="Arial"/>
          <w:b/>
          <w:bCs/>
          <w:sz w:val="24"/>
          <w:szCs w:val="24"/>
        </w:rPr>
      </w:pPr>
    </w:p>
    <w:p w14:paraId="646731C5" w14:textId="4E6FEFFD" w:rsidR="00B04DFD" w:rsidRPr="009E7436" w:rsidRDefault="00B04DFD" w:rsidP="009E7436">
      <w:pPr>
        <w:pStyle w:val="Heading1"/>
        <w:rPr>
          <w:rFonts w:ascii="Arial" w:hAnsi="Arial" w:cs="Arial"/>
          <w:b/>
          <w:bCs/>
          <w:color w:val="auto"/>
          <w:sz w:val="28"/>
          <w:szCs w:val="28"/>
        </w:rPr>
      </w:pPr>
      <w:bookmarkStart w:id="51" w:name="_Toc181992383"/>
      <w:r w:rsidRPr="009E7436">
        <w:rPr>
          <w:rFonts w:ascii="Arial" w:hAnsi="Arial" w:cs="Arial"/>
          <w:b/>
          <w:bCs/>
          <w:color w:val="auto"/>
          <w:sz w:val="28"/>
          <w:szCs w:val="28"/>
        </w:rPr>
        <w:lastRenderedPageBreak/>
        <w:t>APPENDIX</w:t>
      </w:r>
      <w:bookmarkEnd w:id="51"/>
    </w:p>
    <w:p w14:paraId="77E9C333" w14:textId="77777777" w:rsidR="00585495" w:rsidRPr="002B5902" w:rsidRDefault="00585495" w:rsidP="002B5902">
      <w:pPr>
        <w:spacing w:line="360" w:lineRule="auto"/>
        <w:jc w:val="both"/>
        <w:rPr>
          <w:rFonts w:ascii="Arial" w:hAnsi="Arial" w:cs="Arial"/>
          <w:b/>
          <w:bCs/>
          <w:sz w:val="24"/>
          <w:szCs w:val="24"/>
        </w:rPr>
      </w:pPr>
    </w:p>
    <w:p w14:paraId="01B558B8" w14:textId="4B2224C7" w:rsidR="00B04DFD" w:rsidRPr="009E7436" w:rsidRDefault="00B04DFD" w:rsidP="009E7436">
      <w:pPr>
        <w:pStyle w:val="Heading2"/>
        <w:rPr>
          <w:rFonts w:ascii="Arial" w:hAnsi="Arial" w:cs="Arial"/>
          <w:b/>
          <w:bCs/>
          <w:color w:val="auto"/>
          <w:sz w:val="24"/>
          <w:szCs w:val="24"/>
        </w:rPr>
      </w:pPr>
      <w:bookmarkStart w:id="52" w:name="_Toc181992384"/>
      <w:r w:rsidRPr="009E7436">
        <w:rPr>
          <w:rFonts w:ascii="Arial" w:hAnsi="Arial" w:cs="Arial"/>
          <w:b/>
          <w:bCs/>
          <w:color w:val="auto"/>
          <w:sz w:val="24"/>
          <w:szCs w:val="24"/>
        </w:rPr>
        <w:t>Appendix A</w:t>
      </w:r>
      <w:bookmarkEnd w:id="52"/>
    </w:p>
    <w:p w14:paraId="2D0C901D" w14:textId="4BFCF179" w:rsidR="00FE71C6" w:rsidRPr="002B5902" w:rsidRDefault="00FE71C6" w:rsidP="002B5902">
      <w:pPr>
        <w:spacing w:line="360" w:lineRule="auto"/>
        <w:jc w:val="both"/>
        <w:rPr>
          <w:rFonts w:ascii="Arial" w:hAnsi="Arial" w:cs="Arial"/>
          <w:b/>
          <w:bCs/>
          <w:sz w:val="24"/>
          <w:szCs w:val="24"/>
        </w:rPr>
      </w:pPr>
      <w:r w:rsidRPr="002B5902">
        <w:rPr>
          <w:rFonts w:ascii="Arial" w:hAnsi="Arial" w:cs="Arial"/>
          <w:b/>
          <w:bCs/>
          <w:sz w:val="24"/>
          <w:szCs w:val="24"/>
        </w:rPr>
        <w:t>Maslow’s Hierarchy of Needs and Attendee Experience</w:t>
      </w:r>
    </w:p>
    <w:p w14:paraId="1483600A" w14:textId="0E6629A9" w:rsidR="000149AD" w:rsidRPr="002B5902" w:rsidRDefault="00A45DBE" w:rsidP="002B5902">
      <w:pPr>
        <w:spacing w:line="360" w:lineRule="auto"/>
        <w:jc w:val="both"/>
        <w:rPr>
          <w:rFonts w:ascii="Arial" w:hAnsi="Arial" w:cs="Arial"/>
          <w:b/>
          <w:bCs/>
          <w:sz w:val="24"/>
          <w:szCs w:val="24"/>
        </w:rPr>
      </w:pPr>
      <w:r w:rsidRPr="002B5902">
        <w:rPr>
          <w:rFonts w:ascii="Arial" w:hAnsi="Arial" w:cs="Arial"/>
          <w:noProof/>
          <w:sz w:val="24"/>
          <w:szCs w:val="24"/>
        </w:rPr>
        <w:drawing>
          <wp:inline distT="0" distB="0" distL="0" distR="0" wp14:anchorId="2F83AE5D" wp14:editId="3F5B5628">
            <wp:extent cx="5943600" cy="3327400"/>
            <wp:effectExtent l="0" t="0" r="0" b="6350"/>
            <wp:docPr id="272877845" name="Picture 6" descr="Maslow Hierarchy of Needs Theory for Marketers - Super Heur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slow Hierarchy of Needs Theory for Marketers - Super Heuristic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27400"/>
                    </a:xfrm>
                    <a:prstGeom prst="rect">
                      <a:avLst/>
                    </a:prstGeom>
                    <a:noFill/>
                    <a:ln>
                      <a:noFill/>
                    </a:ln>
                  </pic:spPr>
                </pic:pic>
              </a:graphicData>
            </a:graphic>
          </wp:inline>
        </w:drawing>
      </w:r>
    </w:p>
    <w:p w14:paraId="4A25C9D9" w14:textId="77777777" w:rsidR="00585495" w:rsidRPr="00585495" w:rsidRDefault="00585495" w:rsidP="002B5902">
      <w:pPr>
        <w:spacing w:line="360" w:lineRule="auto"/>
        <w:jc w:val="both"/>
        <w:rPr>
          <w:rFonts w:ascii="Arial" w:hAnsi="Arial" w:cs="Arial"/>
          <w:sz w:val="24"/>
          <w:szCs w:val="24"/>
        </w:rPr>
      </w:pPr>
      <w:r w:rsidRPr="00585495">
        <w:rPr>
          <w:rFonts w:ascii="Arial" w:hAnsi="Arial" w:cs="Arial"/>
          <w:sz w:val="24"/>
          <w:szCs w:val="24"/>
        </w:rPr>
        <w:t>Maslow's Hierarchy of Needs provides a framework for creating a fulfilling customer experience, guaranteeing the Oracle Winter Summit addresses diverse psychological and practical requirements. The event fulfils fundamental physiological requirements by offering comfortable lodgings, nutritious meals, and secure facilities (Kelly et al., 2019). Safety requirements are fulfilled through extensive health, accessibility, and security measures (</w:t>
      </w:r>
      <w:proofErr w:type="spellStart"/>
      <w:r w:rsidRPr="00585495">
        <w:rPr>
          <w:rFonts w:ascii="Arial" w:hAnsi="Arial" w:cs="Arial"/>
          <w:sz w:val="24"/>
          <w:szCs w:val="24"/>
        </w:rPr>
        <w:t>Creazza</w:t>
      </w:r>
      <w:proofErr w:type="spellEnd"/>
      <w:r w:rsidRPr="00585495">
        <w:rPr>
          <w:rFonts w:ascii="Arial" w:hAnsi="Arial" w:cs="Arial"/>
          <w:sz w:val="24"/>
          <w:szCs w:val="24"/>
        </w:rPr>
        <w:t xml:space="preserve">, </w:t>
      </w:r>
      <w:proofErr w:type="spellStart"/>
      <w:r w:rsidRPr="00585495">
        <w:rPr>
          <w:rFonts w:ascii="Arial" w:hAnsi="Arial" w:cs="Arial"/>
          <w:sz w:val="24"/>
          <w:szCs w:val="24"/>
        </w:rPr>
        <w:t>Colicchia</w:t>
      </w:r>
      <w:proofErr w:type="spellEnd"/>
      <w:r w:rsidRPr="00585495">
        <w:rPr>
          <w:rFonts w:ascii="Arial" w:hAnsi="Arial" w:cs="Arial"/>
          <w:sz w:val="24"/>
          <w:szCs w:val="24"/>
        </w:rPr>
        <w:t xml:space="preserve">, and </w:t>
      </w:r>
      <w:proofErr w:type="spellStart"/>
      <w:r w:rsidRPr="00585495">
        <w:rPr>
          <w:rFonts w:ascii="Arial" w:hAnsi="Arial" w:cs="Arial"/>
          <w:sz w:val="24"/>
          <w:szCs w:val="24"/>
        </w:rPr>
        <w:t>Dallari</w:t>
      </w:r>
      <w:proofErr w:type="spellEnd"/>
      <w:r w:rsidRPr="00585495">
        <w:rPr>
          <w:rFonts w:ascii="Arial" w:hAnsi="Arial" w:cs="Arial"/>
          <w:sz w:val="24"/>
          <w:szCs w:val="24"/>
        </w:rPr>
        <w:t xml:space="preserve">, 2015). The Summit addresses social needs by providing networking opportunities and collaborative workshops, allowing attendees to cultivate valuable relationships (Scott, 2017). The event fulfils expectations by creating an inspiring environment through recognition, team-building activities, and skill-enhancing workshops. Ultimately, self-actualization happens as participants partake in leadership development, promoting personal growth and fulfilment (Miller and </w:t>
      </w:r>
      <w:proofErr w:type="spellStart"/>
      <w:r w:rsidRPr="00585495">
        <w:rPr>
          <w:rFonts w:ascii="Arial" w:hAnsi="Arial" w:cs="Arial"/>
          <w:sz w:val="24"/>
          <w:szCs w:val="24"/>
        </w:rPr>
        <w:t>Maellaro</w:t>
      </w:r>
      <w:proofErr w:type="spellEnd"/>
      <w:r w:rsidRPr="00585495">
        <w:rPr>
          <w:rFonts w:ascii="Arial" w:hAnsi="Arial" w:cs="Arial"/>
          <w:sz w:val="24"/>
          <w:szCs w:val="24"/>
        </w:rPr>
        <w:t>, 2016).</w:t>
      </w:r>
    </w:p>
    <w:p w14:paraId="70E94AB8" w14:textId="77777777" w:rsidR="009E7436" w:rsidRDefault="009E7436" w:rsidP="002B5902">
      <w:pPr>
        <w:spacing w:line="360" w:lineRule="auto"/>
        <w:jc w:val="both"/>
        <w:rPr>
          <w:rFonts w:ascii="Arial" w:hAnsi="Arial" w:cs="Arial"/>
          <w:b/>
          <w:bCs/>
          <w:sz w:val="24"/>
          <w:szCs w:val="24"/>
        </w:rPr>
      </w:pPr>
    </w:p>
    <w:p w14:paraId="06CE8CCB" w14:textId="5581D586" w:rsidR="00FE71C6" w:rsidRPr="009E7436" w:rsidRDefault="00FE71C6" w:rsidP="009E7436">
      <w:pPr>
        <w:pStyle w:val="Heading2"/>
        <w:rPr>
          <w:rFonts w:ascii="Arial" w:hAnsi="Arial" w:cs="Arial"/>
          <w:b/>
          <w:bCs/>
          <w:color w:val="auto"/>
          <w:sz w:val="24"/>
          <w:szCs w:val="24"/>
        </w:rPr>
      </w:pPr>
      <w:bookmarkStart w:id="53" w:name="_Toc181992385"/>
      <w:r w:rsidRPr="009E7436">
        <w:rPr>
          <w:rFonts w:ascii="Arial" w:hAnsi="Arial" w:cs="Arial"/>
          <w:b/>
          <w:bCs/>
          <w:color w:val="auto"/>
          <w:sz w:val="24"/>
          <w:szCs w:val="24"/>
        </w:rPr>
        <w:lastRenderedPageBreak/>
        <w:t>Appendix B</w:t>
      </w:r>
      <w:bookmarkEnd w:id="53"/>
    </w:p>
    <w:p w14:paraId="3C0F621B" w14:textId="0F3615EE" w:rsidR="00027072" w:rsidRPr="002B5902" w:rsidRDefault="00027072" w:rsidP="002B5902">
      <w:pPr>
        <w:spacing w:line="360" w:lineRule="auto"/>
        <w:jc w:val="both"/>
        <w:rPr>
          <w:rFonts w:ascii="Arial" w:hAnsi="Arial" w:cs="Arial"/>
          <w:b/>
          <w:bCs/>
          <w:sz w:val="24"/>
          <w:szCs w:val="24"/>
        </w:rPr>
      </w:pPr>
      <w:r w:rsidRPr="002B5902">
        <w:rPr>
          <w:rFonts w:ascii="Arial" w:hAnsi="Arial" w:cs="Arial"/>
          <w:noProof/>
          <w:sz w:val="24"/>
          <w:szCs w:val="24"/>
        </w:rPr>
        <w:drawing>
          <wp:inline distT="0" distB="0" distL="0" distR="0" wp14:anchorId="34B06583" wp14:editId="0FB433DB">
            <wp:extent cx="5735955" cy="1555750"/>
            <wp:effectExtent l="0" t="0" r="0" b="6350"/>
            <wp:docPr id="918940852" name="Picture 3" descr="Adapting to Change: Using PEST Analysis for Better Decision-Making –  Continuous Improvement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dapting to Change: Using PEST Analysis for Better Decision-Making –  Continuous Improvement Toolki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5955" cy="1555750"/>
                    </a:xfrm>
                    <a:prstGeom prst="rect">
                      <a:avLst/>
                    </a:prstGeom>
                    <a:noFill/>
                    <a:ln>
                      <a:noFill/>
                    </a:ln>
                  </pic:spPr>
                </pic:pic>
              </a:graphicData>
            </a:graphic>
          </wp:inline>
        </w:drawing>
      </w:r>
    </w:p>
    <w:p w14:paraId="591AA8F1" w14:textId="3AF1F892" w:rsidR="00B04DFD" w:rsidRPr="002B5902" w:rsidRDefault="00CA65F3" w:rsidP="002B5902">
      <w:pPr>
        <w:spacing w:line="360" w:lineRule="auto"/>
        <w:jc w:val="both"/>
        <w:rPr>
          <w:rFonts w:ascii="Arial" w:hAnsi="Arial" w:cs="Arial"/>
          <w:b/>
          <w:bCs/>
          <w:sz w:val="24"/>
          <w:szCs w:val="24"/>
        </w:rPr>
      </w:pPr>
      <w:r w:rsidRPr="002B5902">
        <w:rPr>
          <w:rFonts w:ascii="Arial" w:hAnsi="Arial" w:cs="Arial"/>
          <w:b/>
          <w:bCs/>
          <w:sz w:val="24"/>
          <w:szCs w:val="24"/>
        </w:rPr>
        <w:t>PEST Analysis and Event Planning</w:t>
      </w:r>
    </w:p>
    <w:p w14:paraId="7B83E083" w14:textId="08E994F4" w:rsidR="00980316" w:rsidRPr="00980316" w:rsidRDefault="00980316" w:rsidP="000100D7">
      <w:pPr>
        <w:spacing w:line="360" w:lineRule="auto"/>
        <w:rPr>
          <w:rFonts w:ascii="Arial" w:hAnsi="Arial" w:cs="Arial"/>
          <w:sz w:val="24"/>
          <w:szCs w:val="24"/>
        </w:rPr>
      </w:pPr>
      <w:r w:rsidRPr="00980316">
        <w:rPr>
          <w:rFonts w:ascii="Arial" w:hAnsi="Arial" w:cs="Arial"/>
          <w:sz w:val="24"/>
          <w:szCs w:val="24"/>
        </w:rPr>
        <w:t xml:space="preserve">Performing a PEST (Political, Economic, Social, and Technological) analysis offers insight into the external factors affecting the planning and implementation of the Oracle Winter Summit. </w:t>
      </w:r>
      <w:r w:rsidRPr="00980316">
        <w:rPr>
          <w:rFonts w:ascii="Arial" w:hAnsi="Arial" w:cs="Arial"/>
          <w:sz w:val="24"/>
          <w:szCs w:val="24"/>
        </w:rPr>
        <w:br/>
      </w:r>
      <w:r w:rsidRPr="00980316">
        <w:rPr>
          <w:rFonts w:ascii="Arial" w:hAnsi="Arial" w:cs="Arial"/>
          <w:sz w:val="24"/>
          <w:szCs w:val="24"/>
        </w:rPr>
        <w:br/>
        <w:t>Political regulations concerning health, safety, and environmental standards shape contingency and risk management strategies, assuring compliance to local and national guidelines (</w:t>
      </w:r>
      <w:proofErr w:type="spellStart"/>
      <w:r w:rsidRPr="00980316">
        <w:rPr>
          <w:rFonts w:ascii="Arial" w:hAnsi="Arial" w:cs="Arial"/>
          <w:sz w:val="24"/>
          <w:szCs w:val="24"/>
        </w:rPr>
        <w:t>Sillmann</w:t>
      </w:r>
      <w:proofErr w:type="spellEnd"/>
      <w:r w:rsidRPr="00980316">
        <w:rPr>
          <w:rFonts w:ascii="Arial" w:hAnsi="Arial" w:cs="Arial"/>
          <w:sz w:val="24"/>
          <w:szCs w:val="24"/>
        </w:rPr>
        <w:t xml:space="preserve"> et al., 2021). </w:t>
      </w:r>
      <w:r w:rsidRPr="00980316">
        <w:rPr>
          <w:rFonts w:ascii="Arial" w:hAnsi="Arial" w:cs="Arial"/>
          <w:sz w:val="24"/>
          <w:szCs w:val="24"/>
        </w:rPr>
        <w:br/>
      </w:r>
      <w:r w:rsidRPr="00980316">
        <w:rPr>
          <w:rFonts w:ascii="Arial" w:hAnsi="Arial" w:cs="Arial"/>
          <w:sz w:val="24"/>
          <w:szCs w:val="24"/>
        </w:rPr>
        <w:br/>
        <w:t xml:space="preserve">Economic: Budgeting and sponsorship strategies consider economic fluctuations and potential financial limitations, including inflation and currency variations, which may affect costs and attendee budgets (Ahmed, 2021). </w:t>
      </w:r>
      <w:r w:rsidRPr="00980316">
        <w:rPr>
          <w:rFonts w:ascii="Arial" w:hAnsi="Arial" w:cs="Arial"/>
          <w:sz w:val="24"/>
          <w:szCs w:val="24"/>
        </w:rPr>
        <w:br/>
      </w:r>
      <w:r w:rsidRPr="00980316">
        <w:rPr>
          <w:rFonts w:ascii="Arial" w:hAnsi="Arial" w:cs="Arial"/>
          <w:sz w:val="24"/>
          <w:szCs w:val="24"/>
        </w:rPr>
        <w:br/>
      </w:r>
      <w:r w:rsidR="00FD68BC" w:rsidRPr="002B5902">
        <w:rPr>
          <w:rFonts w:ascii="Arial" w:hAnsi="Arial" w:cs="Arial"/>
          <w:sz w:val="24"/>
          <w:szCs w:val="24"/>
        </w:rPr>
        <w:t xml:space="preserve">Social: </w:t>
      </w:r>
      <w:r w:rsidRPr="00980316">
        <w:rPr>
          <w:rFonts w:ascii="Arial" w:hAnsi="Arial" w:cs="Arial"/>
          <w:sz w:val="24"/>
          <w:szCs w:val="24"/>
        </w:rPr>
        <w:t xml:space="preserve">Oracle acknowledges post-pandemic transitions to hybrid work and the necessity for in-person interaction, customising the Summit to better the connection and collaboration between participants (Bergmann et al., 2016). </w:t>
      </w:r>
      <w:r w:rsidRPr="00980316">
        <w:rPr>
          <w:rFonts w:ascii="Arial" w:hAnsi="Arial" w:cs="Arial"/>
          <w:sz w:val="24"/>
          <w:szCs w:val="24"/>
        </w:rPr>
        <w:br/>
      </w:r>
      <w:r w:rsidRPr="00980316">
        <w:rPr>
          <w:rFonts w:ascii="Arial" w:hAnsi="Arial" w:cs="Arial"/>
          <w:sz w:val="24"/>
          <w:szCs w:val="24"/>
        </w:rPr>
        <w:br/>
      </w:r>
      <w:r w:rsidR="00FD68BC" w:rsidRPr="002B5902">
        <w:rPr>
          <w:rFonts w:ascii="Arial" w:hAnsi="Arial" w:cs="Arial"/>
          <w:sz w:val="24"/>
          <w:szCs w:val="24"/>
        </w:rPr>
        <w:t xml:space="preserve">Technological: </w:t>
      </w:r>
      <w:r w:rsidRPr="00980316">
        <w:rPr>
          <w:rFonts w:ascii="Arial" w:hAnsi="Arial" w:cs="Arial"/>
          <w:sz w:val="24"/>
          <w:szCs w:val="24"/>
        </w:rPr>
        <w:t xml:space="preserve">The event utilises contemporary audiovisual technology and reliable internet access to promote hybrid participation and interactive workshops, ensuring substantial engagement across multiple formats (Nolan, 2020). </w:t>
      </w:r>
      <w:r w:rsidRPr="00980316">
        <w:rPr>
          <w:rFonts w:ascii="Arial" w:hAnsi="Arial" w:cs="Arial"/>
          <w:sz w:val="24"/>
          <w:szCs w:val="24"/>
        </w:rPr>
        <w:br/>
      </w:r>
      <w:r w:rsidRPr="00980316">
        <w:rPr>
          <w:rFonts w:ascii="Arial" w:hAnsi="Arial" w:cs="Arial"/>
          <w:sz w:val="24"/>
          <w:szCs w:val="24"/>
        </w:rPr>
        <w:br/>
        <w:t xml:space="preserve">The PEST factors affect Oracle's decisions in developing a comprehensive and </w:t>
      </w:r>
      <w:r w:rsidRPr="00980316">
        <w:rPr>
          <w:rFonts w:ascii="Arial" w:hAnsi="Arial" w:cs="Arial"/>
          <w:sz w:val="24"/>
          <w:szCs w:val="24"/>
        </w:rPr>
        <w:lastRenderedPageBreak/>
        <w:t>adaptive event that corresponds with overall trends and challenges in the MICE industry.</w:t>
      </w:r>
    </w:p>
    <w:p w14:paraId="24326048" w14:textId="77777777" w:rsidR="00CA65F3" w:rsidRPr="002B5902" w:rsidRDefault="00CA65F3" w:rsidP="002B5902">
      <w:pPr>
        <w:spacing w:line="360" w:lineRule="auto"/>
        <w:jc w:val="both"/>
        <w:rPr>
          <w:rFonts w:ascii="Arial" w:hAnsi="Arial" w:cs="Arial"/>
          <w:b/>
          <w:bCs/>
          <w:sz w:val="24"/>
          <w:szCs w:val="24"/>
        </w:rPr>
      </w:pPr>
    </w:p>
    <w:p w14:paraId="2E79E14C" w14:textId="65ED3BC4" w:rsidR="002100DD" w:rsidRPr="009E7436" w:rsidRDefault="006B0F12" w:rsidP="009E7436">
      <w:pPr>
        <w:pStyle w:val="Heading2"/>
        <w:rPr>
          <w:rFonts w:ascii="Arial" w:hAnsi="Arial" w:cs="Arial"/>
          <w:b/>
          <w:bCs/>
          <w:color w:val="auto"/>
          <w:sz w:val="24"/>
          <w:szCs w:val="24"/>
        </w:rPr>
      </w:pPr>
      <w:bookmarkStart w:id="54" w:name="_Toc181992386"/>
      <w:r w:rsidRPr="009E7436">
        <w:rPr>
          <w:rFonts w:ascii="Arial" w:hAnsi="Arial" w:cs="Arial"/>
          <w:b/>
          <w:bCs/>
          <w:color w:val="auto"/>
          <w:sz w:val="24"/>
          <w:szCs w:val="24"/>
        </w:rPr>
        <w:t>Appendix C</w:t>
      </w:r>
      <w:bookmarkEnd w:id="54"/>
    </w:p>
    <w:p w14:paraId="123DD35A" w14:textId="77532E0B" w:rsidR="006B0F12" w:rsidRPr="002B5902" w:rsidRDefault="006B0F12" w:rsidP="002B5902">
      <w:pPr>
        <w:spacing w:line="360" w:lineRule="auto"/>
        <w:jc w:val="both"/>
        <w:rPr>
          <w:rFonts w:ascii="Arial" w:hAnsi="Arial" w:cs="Arial"/>
          <w:b/>
          <w:bCs/>
          <w:sz w:val="24"/>
          <w:szCs w:val="24"/>
        </w:rPr>
      </w:pPr>
      <w:r w:rsidRPr="002B5902">
        <w:rPr>
          <w:rFonts w:ascii="Arial" w:hAnsi="Arial" w:cs="Arial"/>
          <w:b/>
          <w:bCs/>
          <w:sz w:val="24"/>
          <w:szCs w:val="24"/>
        </w:rPr>
        <w:t>Contingency Planning</w:t>
      </w:r>
    </w:p>
    <w:p w14:paraId="798A8434" w14:textId="77777777" w:rsidR="00B04DFD" w:rsidRPr="00B04DFD" w:rsidRDefault="00B04DFD" w:rsidP="002B5902">
      <w:pPr>
        <w:spacing w:line="360" w:lineRule="auto"/>
        <w:jc w:val="both"/>
        <w:rPr>
          <w:rFonts w:ascii="Arial" w:hAnsi="Arial" w:cs="Arial"/>
          <w:sz w:val="24"/>
          <w:szCs w:val="24"/>
        </w:rPr>
      </w:pPr>
      <w:r w:rsidRPr="00B04DFD">
        <w:rPr>
          <w:rFonts w:ascii="Arial" w:hAnsi="Arial" w:cs="Arial"/>
          <w:sz w:val="24"/>
          <w:szCs w:val="24"/>
        </w:rPr>
        <w:t xml:space="preserve">Oracle has designated the Aviemore Highland Resort as a contingency venue to address unforeseen challenges such as abrupt travel restrictions, equipment malfunctions, or unexpected severe weather conditions, including snowstorms or icy </w:t>
      </w:r>
      <w:proofErr w:type="gramStart"/>
      <w:r w:rsidRPr="00B04DFD">
        <w:rPr>
          <w:rFonts w:ascii="Arial" w:hAnsi="Arial" w:cs="Arial"/>
          <w:sz w:val="24"/>
          <w:szCs w:val="24"/>
        </w:rPr>
        <w:t>conditions  (</w:t>
      </w:r>
      <w:proofErr w:type="spellStart"/>
      <w:proofErr w:type="gramEnd"/>
      <w:r w:rsidRPr="00B04DFD">
        <w:rPr>
          <w:rFonts w:ascii="Arial" w:hAnsi="Arial" w:cs="Arial"/>
          <w:sz w:val="24"/>
          <w:szCs w:val="24"/>
        </w:rPr>
        <w:t>Sillmann</w:t>
      </w:r>
      <w:proofErr w:type="spellEnd"/>
      <w:r w:rsidRPr="00B04DFD">
        <w:rPr>
          <w:rFonts w:ascii="Arial" w:hAnsi="Arial" w:cs="Arial"/>
          <w:sz w:val="24"/>
          <w:szCs w:val="24"/>
        </w:rPr>
        <w:t xml:space="preserve"> et al., 2021; Tang and Jang, 2011). This site is in proximity to the Cairngorm Mountain Resort, guaranteeing minimal disturbance for participants. Should primary sponsors fail to fulfil their commitments, IBM and Salesforce have been designated as alternative sponsors, effectively catering to Oracle's technology-oriented audience (Ahmed, 2021). These contingency measures guarantee continuity and stability for the Summit, regardless of unpredictable circumstances.</w:t>
      </w:r>
    </w:p>
    <w:p w14:paraId="7D41AF90" w14:textId="77777777" w:rsidR="00E77AC3" w:rsidRPr="002B5902" w:rsidRDefault="00E77AC3" w:rsidP="002B5902">
      <w:pPr>
        <w:spacing w:line="360" w:lineRule="auto"/>
        <w:jc w:val="both"/>
        <w:rPr>
          <w:rFonts w:ascii="Arial" w:hAnsi="Arial" w:cs="Arial"/>
          <w:sz w:val="24"/>
          <w:szCs w:val="24"/>
        </w:rPr>
      </w:pPr>
    </w:p>
    <w:p w14:paraId="4C8AB01E" w14:textId="1820B742" w:rsidR="00A347E5" w:rsidRPr="009E7436" w:rsidRDefault="00A347E5" w:rsidP="009E7436">
      <w:pPr>
        <w:pStyle w:val="Heading2"/>
        <w:rPr>
          <w:rFonts w:ascii="Arial" w:hAnsi="Arial" w:cs="Arial"/>
          <w:b/>
          <w:bCs/>
          <w:color w:val="auto"/>
          <w:sz w:val="24"/>
          <w:szCs w:val="24"/>
        </w:rPr>
      </w:pPr>
      <w:bookmarkStart w:id="55" w:name="_Toc181992387"/>
      <w:r w:rsidRPr="009E7436">
        <w:rPr>
          <w:rFonts w:ascii="Arial" w:hAnsi="Arial" w:cs="Arial"/>
          <w:b/>
          <w:bCs/>
          <w:color w:val="auto"/>
          <w:sz w:val="24"/>
          <w:szCs w:val="24"/>
        </w:rPr>
        <w:t>Appendix D</w:t>
      </w:r>
      <w:bookmarkEnd w:id="55"/>
    </w:p>
    <w:p w14:paraId="56DD29B2" w14:textId="7D9570E5" w:rsidR="000C22CB" w:rsidRPr="002B5902" w:rsidRDefault="000C22CB" w:rsidP="002B5902">
      <w:pPr>
        <w:spacing w:line="360" w:lineRule="auto"/>
        <w:jc w:val="both"/>
        <w:rPr>
          <w:rFonts w:ascii="Arial" w:hAnsi="Arial" w:cs="Arial"/>
          <w:b/>
          <w:bCs/>
          <w:sz w:val="24"/>
          <w:szCs w:val="24"/>
        </w:rPr>
      </w:pPr>
      <w:r w:rsidRPr="002B5902">
        <w:rPr>
          <w:rFonts w:ascii="Arial" w:hAnsi="Arial" w:cs="Arial"/>
          <w:b/>
          <w:bCs/>
          <w:sz w:val="24"/>
          <w:szCs w:val="24"/>
        </w:rPr>
        <w:t xml:space="preserve">The timeline of the Oracle Winter Summit </w:t>
      </w:r>
    </w:p>
    <w:p w14:paraId="4661D443" w14:textId="77777777" w:rsidR="00A347E5" w:rsidRPr="002B5902" w:rsidRDefault="00A347E5" w:rsidP="002B5902">
      <w:pPr>
        <w:numPr>
          <w:ilvl w:val="0"/>
          <w:numId w:val="26"/>
        </w:numPr>
        <w:spacing w:line="360" w:lineRule="auto"/>
        <w:jc w:val="both"/>
        <w:rPr>
          <w:rFonts w:ascii="Arial" w:hAnsi="Arial" w:cs="Arial"/>
          <w:sz w:val="24"/>
          <w:szCs w:val="24"/>
        </w:rPr>
      </w:pPr>
      <w:r w:rsidRPr="002B5902">
        <w:rPr>
          <w:rFonts w:ascii="Arial" w:hAnsi="Arial" w:cs="Arial"/>
          <w:b/>
          <w:bCs/>
          <w:sz w:val="24"/>
          <w:szCs w:val="24"/>
        </w:rPr>
        <w:t>Venue Booking (Initiation Phase, 6 months prior)</w:t>
      </w:r>
      <w:r w:rsidRPr="002B5902">
        <w:rPr>
          <w:rFonts w:ascii="Arial" w:hAnsi="Arial" w:cs="Arial"/>
          <w:sz w:val="24"/>
          <w:szCs w:val="24"/>
        </w:rPr>
        <w:t xml:space="preserve">: Oracle begins the planning process by acquiring Cairngorm Mountain Resort, a distinctive location that corresponds with the Summit's theme of winter-themed leadership and </w:t>
      </w:r>
      <w:proofErr w:type="gramStart"/>
      <w:r w:rsidRPr="002B5902">
        <w:rPr>
          <w:rFonts w:ascii="Arial" w:hAnsi="Arial" w:cs="Arial"/>
          <w:sz w:val="24"/>
          <w:szCs w:val="24"/>
        </w:rPr>
        <w:t>team-building</w:t>
      </w:r>
      <w:proofErr w:type="gramEnd"/>
      <w:r w:rsidRPr="002B5902">
        <w:rPr>
          <w:rFonts w:ascii="Arial" w:hAnsi="Arial" w:cs="Arial"/>
          <w:sz w:val="24"/>
          <w:szCs w:val="24"/>
        </w:rPr>
        <w:t xml:space="preserve">. Advance registrations are imperative because of the significant demand for exclusive winter locations, allowing Oracle to obtain advantageous conditions and designated areas for workshops and outdoor activities, which are vital for a memorable experience (Geraldi and </w:t>
      </w:r>
      <w:proofErr w:type="spellStart"/>
      <w:r w:rsidRPr="002B5902">
        <w:rPr>
          <w:rFonts w:ascii="Arial" w:hAnsi="Arial" w:cs="Arial"/>
          <w:sz w:val="24"/>
          <w:szCs w:val="24"/>
        </w:rPr>
        <w:t>Lechter</w:t>
      </w:r>
      <w:proofErr w:type="spellEnd"/>
      <w:r w:rsidRPr="002B5902">
        <w:rPr>
          <w:rFonts w:ascii="Arial" w:hAnsi="Arial" w:cs="Arial"/>
          <w:sz w:val="24"/>
          <w:szCs w:val="24"/>
        </w:rPr>
        <w:t>, 2012).</w:t>
      </w:r>
    </w:p>
    <w:p w14:paraId="3218F179" w14:textId="77777777" w:rsidR="00A347E5" w:rsidRPr="002B5902" w:rsidRDefault="00A347E5" w:rsidP="002B5902">
      <w:pPr>
        <w:numPr>
          <w:ilvl w:val="0"/>
          <w:numId w:val="26"/>
        </w:numPr>
        <w:spacing w:line="360" w:lineRule="auto"/>
        <w:jc w:val="both"/>
        <w:rPr>
          <w:rFonts w:ascii="Arial" w:hAnsi="Arial" w:cs="Arial"/>
          <w:sz w:val="24"/>
          <w:szCs w:val="24"/>
        </w:rPr>
      </w:pPr>
      <w:r w:rsidRPr="002B5902">
        <w:rPr>
          <w:rFonts w:ascii="Arial" w:hAnsi="Arial" w:cs="Arial"/>
          <w:b/>
          <w:bCs/>
          <w:sz w:val="24"/>
          <w:szCs w:val="24"/>
        </w:rPr>
        <w:t>Marketing Launch (Planning Phase, 3 months prior)</w:t>
      </w:r>
      <w:r w:rsidRPr="002B5902">
        <w:rPr>
          <w:rFonts w:ascii="Arial" w:hAnsi="Arial" w:cs="Arial"/>
          <w:sz w:val="24"/>
          <w:szCs w:val="24"/>
        </w:rPr>
        <w:t xml:space="preserve">: At this point, Oracle begins marketing initiatives through LinkedIn, Twitter, and targeted email campaigns to engage senior professionals and HR managers within the technology sector. The Planning phase of EMBOK illustrates the importance of timely promotion, essential for generating anticipation and securing substantial </w:t>
      </w:r>
      <w:r w:rsidRPr="002B5902">
        <w:rPr>
          <w:rFonts w:ascii="Arial" w:hAnsi="Arial" w:cs="Arial"/>
          <w:sz w:val="24"/>
          <w:szCs w:val="24"/>
        </w:rPr>
        <w:lastRenderedPageBreak/>
        <w:t xml:space="preserve">attendance at niche, high-value events such as this one (Geraldi and </w:t>
      </w:r>
      <w:proofErr w:type="spellStart"/>
      <w:r w:rsidRPr="002B5902">
        <w:rPr>
          <w:rFonts w:ascii="Arial" w:hAnsi="Arial" w:cs="Arial"/>
          <w:sz w:val="24"/>
          <w:szCs w:val="24"/>
        </w:rPr>
        <w:t>Lechter</w:t>
      </w:r>
      <w:proofErr w:type="spellEnd"/>
      <w:r w:rsidRPr="002B5902">
        <w:rPr>
          <w:rFonts w:ascii="Arial" w:hAnsi="Arial" w:cs="Arial"/>
          <w:sz w:val="24"/>
          <w:szCs w:val="24"/>
        </w:rPr>
        <w:t>, 2012).</w:t>
      </w:r>
    </w:p>
    <w:p w14:paraId="01F46E5A" w14:textId="77777777" w:rsidR="00A347E5" w:rsidRPr="002B5902" w:rsidRDefault="00A347E5" w:rsidP="002B5902">
      <w:pPr>
        <w:numPr>
          <w:ilvl w:val="0"/>
          <w:numId w:val="26"/>
        </w:numPr>
        <w:spacing w:line="360" w:lineRule="auto"/>
        <w:jc w:val="both"/>
        <w:rPr>
          <w:rFonts w:ascii="Arial" w:hAnsi="Arial" w:cs="Arial"/>
          <w:sz w:val="24"/>
          <w:szCs w:val="24"/>
        </w:rPr>
      </w:pPr>
      <w:r w:rsidRPr="002B5902">
        <w:rPr>
          <w:rFonts w:ascii="Arial" w:hAnsi="Arial" w:cs="Arial"/>
          <w:b/>
          <w:bCs/>
          <w:sz w:val="24"/>
          <w:szCs w:val="24"/>
        </w:rPr>
        <w:t>Final Preparations (Implementation Phase, 1 week before)</w:t>
      </w:r>
      <w:r w:rsidRPr="002B5902">
        <w:rPr>
          <w:rFonts w:ascii="Arial" w:hAnsi="Arial" w:cs="Arial"/>
          <w:sz w:val="24"/>
          <w:szCs w:val="24"/>
        </w:rPr>
        <w:t xml:space="preserve">: During the Implementation phase, Oracle makes final assessments of AV configurations, conducts staff meetings, and verifies participant itineraries. This is essential to guarantee that all technical and logistical elements are prepared, matching with EMBOK’s focus on perfect execution at the event (Gkekas, 2010). By meticulously attending to every detail, Oracle can </w:t>
      </w:r>
      <w:proofErr w:type="gramStart"/>
      <w:r w:rsidRPr="002B5902">
        <w:rPr>
          <w:rFonts w:ascii="Arial" w:hAnsi="Arial" w:cs="Arial"/>
          <w:sz w:val="24"/>
          <w:szCs w:val="24"/>
        </w:rPr>
        <w:t>definitely deliver</w:t>
      </w:r>
      <w:proofErr w:type="gramEnd"/>
      <w:r w:rsidRPr="002B5902">
        <w:rPr>
          <w:rFonts w:ascii="Arial" w:hAnsi="Arial" w:cs="Arial"/>
          <w:sz w:val="24"/>
          <w:szCs w:val="24"/>
        </w:rPr>
        <w:t xml:space="preserve"> a professional, continuous experience for participants.</w:t>
      </w:r>
    </w:p>
    <w:p w14:paraId="729B2EDD" w14:textId="77777777" w:rsidR="00A347E5" w:rsidRPr="002B5902" w:rsidRDefault="00A347E5" w:rsidP="002B5902">
      <w:pPr>
        <w:spacing w:line="360" w:lineRule="auto"/>
        <w:jc w:val="both"/>
        <w:rPr>
          <w:rFonts w:ascii="Arial" w:hAnsi="Arial" w:cs="Arial"/>
          <w:sz w:val="24"/>
          <w:szCs w:val="24"/>
        </w:rPr>
      </w:pPr>
    </w:p>
    <w:p w14:paraId="19A6CAB7" w14:textId="3D982D71" w:rsidR="00CA65F3" w:rsidRPr="009E7436" w:rsidRDefault="00303B10" w:rsidP="009E7436">
      <w:pPr>
        <w:pStyle w:val="Heading2"/>
        <w:rPr>
          <w:rFonts w:ascii="Arial" w:hAnsi="Arial" w:cs="Arial"/>
          <w:b/>
          <w:bCs/>
          <w:color w:val="auto"/>
          <w:sz w:val="24"/>
          <w:szCs w:val="24"/>
        </w:rPr>
      </w:pPr>
      <w:bookmarkStart w:id="56" w:name="_Toc181992388"/>
      <w:r w:rsidRPr="009E7436">
        <w:rPr>
          <w:rFonts w:ascii="Arial" w:hAnsi="Arial" w:cs="Arial"/>
          <w:b/>
          <w:bCs/>
          <w:color w:val="auto"/>
          <w:sz w:val="24"/>
          <w:szCs w:val="24"/>
        </w:rPr>
        <w:t>Appendix E</w:t>
      </w:r>
      <w:bookmarkEnd w:id="56"/>
    </w:p>
    <w:p w14:paraId="7054A1CE" w14:textId="77777777" w:rsidR="00243482" w:rsidRPr="002B5902" w:rsidRDefault="00303B10" w:rsidP="002B5902">
      <w:pPr>
        <w:spacing w:line="360" w:lineRule="auto"/>
        <w:jc w:val="both"/>
        <w:rPr>
          <w:rFonts w:ascii="Arial" w:hAnsi="Arial" w:cs="Arial"/>
          <w:b/>
          <w:bCs/>
          <w:sz w:val="24"/>
          <w:szCs w:val="24"/>
        </w:rPr>
      </w:pPr>
      <w:r w:rsidRPr="00303B10">
        <w:rPr>
          <w:rFonts w:ascii="Arial" w:hAnsi="Arial" w:cs="Arial"/>
          <w:b/>
          <w:bCs/>
          <w:sz w:val="24"/>
          <w:szCs w:val="24"/>
        </w:rPr>
        <w:t xml:space="preserve">Application of the EMBOK Phases Model for the Oracle Winter Summit </w:t>
      </w:r>
    </w:p>
    <w:p w14:paraId="3C723517" w14:textId="1E7AC0D7" w:rsidR="00303B10" w:rsidRPr="00303B10" w:rsidRDefault="00243482" w:rsidP="002B5902">
      <w:pPr>
        <w:spacing w:line="360" w:lineRule="auto"/>
        <w:jc w:val="both"/>
        <w:rPr>
          <w:rFonts w:ascii="Arial" w:hAnsi="Arial" w:cs="Arial"/>
          <w:sz w:val="24"/>
          <w:szCs w:val="24"/>
        </w:rPr>
      </w:pPr>
      <w:r w:rsidRPr="002B5902">
        <w:rPr>
          <w:rFonts w:ascii="Arial" w:hAnsi="Arial" w:cs="Arial"/>
          <w:noProof/>
          <w:sz w:val="24"/>
          <w:szCs w:val="24"/>
        </w:rPr>
        <w:drawing>
          <wp:inline distT="0" distB="0" distL="0" distR="0" wp14:anchorId="6353EAA6" wp14:editId="1C4A4E63">
            <wp:extent cx="5863717" cy="2446317"/>
            <wp:effectExtent l="0" t="0" r="3810" b="0"/>
            <wp:docPr id="1093386334" name="Picture 2" descr="EMBOK - Event Management Bod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MBOK - Event Management Body of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80987" cy="2453522"/>
                    </a:xfrm>
                    <a:prstGeom prst="rect">
                      <a:avLst/>
                    </a:prstGeom>
                    <a:noFill/>
                    <a:ln>
                      <a:noFill/>
                    </a:ln>
                  </pic:spPr>
                </pic:pic>
              </a:graphicData>
            </a:graphic>
          </wp:inline>
        </w:drawing>
      </w:r>
      <w:r w:rsidR="00303B10" w:rsidRPr="00303B10">
        <w:rPr>
          <w:rFonts w:ascii="Arial" w:hAnsi="Arial" w:cs="Arial"/>
          <w:sz w:val="24"/>
          <w:szCs w:val="24"/>
        </w:rPr>
        <w:br/>
      </w:r>
      <w:r w:rsidR="00303B10" w:rsidRPr="00303B10">
        <w:rPr>
          <w:rFonts w:ascii="Arial" w:hAnsi="Arial" w:cs="Arial"/>
          <w:sz w:val="24"/>
          <w:szCs w:val="24"/>
        </w:rPr>
        <w:br/>
      </w:r>
      <w:r w:rsidR="00782296" w:rsidRPr="002B5902">
        <w:rPr>
          <w:rFonts w:ascii="Arial" w:hAnsi="Arial" w:cs="Arial"/>
          <w:b/>
          <w:bCs/>
          <w:sz w:val="24"/>
          <w:szCs w:val="24"/>
        </w:rPr>
        <w:t>Initiation</w:t>
      </w:r>
      <w:r w:rsidR="00303B10" w:rsidRPr="00303B10">
        <w:rPr>
          <w:rFonts w:ascii="Arial" w:hAnsi="Arial" w:cs="Arial"/>
          <w:sz w:val="24"/>
          <w:szCs w:val="24"/>
        </w:rPr>
        <w:br/>
        <w:t xml:space="preserve">In this phase, Oracle performs initial research to determine the event's objectives and concept, prioritising leadership development and </w:t>
      </w:r>
      <w:proofErr w:type="gramStart"/>
      <w:r w:rsidR="00303B10" w:rsidRPr="00303B10">
        <w:rPr>
          <w:rFonts w:ascii="Arial" w:hAnsi="Arial" w:cs="Arial"/>
          <w:sz w:val="24"/>
          <w:szCs w:val="24"/>
        </w:rPr>
        <w:t>team-building</w:t>
      </w:r>
      <w:proofErr w:type="gramEnd"/>
      <w:r w:rsidR="00303B10" w:rsidRPr="00303B10">
        <w:rPr>
          <w:rFonts w:ascii="Arial" w:hAnsi="Arial" w:cs="Arial"/>
          <w:sz w:val="24"/>
          <w:szCs w:val="24"/>
        </w:rPr>
        <w:t xml:space="preserve">. Preliminary planning involves reviewing </w:t>
      </w:r>
      <w:r w:rsidR="00E66401" w:rsidRPr="002B5902">
        <w:rPr>
          <w:rFonts w:ascii="Arial" w:hAnsi="Arial" w:cs="Arial"/>
          <w:sz w:val="24"/>
          <w:szCs w:val="24"/>
        </w:rPr>
        <w:t>customers’</w:t>
      </w:r>
      <w:r w:rsidR="00303B10" w:rsidRPr="00303B10">
        <w:rPr>
          <w:rFonts w:ascii="Arial" w:hAnsi="Arial" w:cs="Arial"/>
          <w:sz w:val="24"/>
          <w:szCs w:val="24"/>
        </w:rPr>
        <w:t xml:space="preserve"> requirements, obtaining initial funding sources, and selecting Cairngorm Mountain Resort as the venue due to its distinctive winter atmosphere. This correlates with the definition and validation phase of the concept, ensuring that the Summit is objectives align with Oracle's strategic goals (Silvers, 2007). </w:t>
      </w:r>
      <w:r w:rsidR="00303B10" w:rsidRPr="00303B10">
        <w:rPr>
          <w:rFonts w:ascii="Arial" w:hAnsi="Arial" w:cs="Arial"/>
          <w:sz w:val="24"/>
          <w:szCs w:val="24"/>
        </w:rPr>
        <w:br/>
      </w:r>
      <w:r w:rsidR="00303B10" w:rsidRPr="00303B10">
        <w:rPr>
          <w:rFonts w:ascii="Arial" w:hAnsi="Arial" w:cs="Arial"/>
          <w:sz w:val="24"/>
          <w:szCs w:val="24"/>
        </w:rPr>
        <w:lastRenderedPageBreak/>
        <w:br/>
      </w:r>
      <w:r w:rsidR="00782296" w:rsidRPr="002B5902">
        <w:rPr>
          <w:rFonts w:ascii="Arial" w:hAnsi="Arial" w:cs="Arial"/>
          <w:b/>
          <w:bCs/>
          <w:sz w:val="24"/>
          <w:szCs w:val="24"/>
        </w:rPr>
        <w:t>Planning</w:t>
      </w:r>
      <w:r w:rsidR="00303B10" w:rsidRPr="00303B10">
        <w:rPr>
          <w:rFonts w:ascii="Arial" w:hAnsi="Arial" w:cs="Arial"/>
          <w:sz w:val="24"/>
          <w:szCs w:val="24"/>
        </w:rPr>
        <w:br/>
        <w:t xml:space="preserve">During the Planning phase, Oracle focusses on </w:t>
      </w:r>
      <w:proofErr w:type="gramStart"/>
      <w:r w:rsidR="00303B10" w:rsidRPr="00303B10">
        <w:rPr>
          <w:rFonts w:ascii="Arial" w:hAnsi="Arial" w:cs="Arial"/>
          <w:sz w:val="24"/>
          <w:szCs w:val="24"/>
        </w:rPr>
        <w:t>particular requirements</w:t>
      </w:r>
      <w:proofErr w:type="gramEnd"/>
      <w:r w:rsidR="00303B10" w:rsidRPr="00303B10">
        <w:rPr>
          <w:rFonts w:ascii="Arial" w:hAnsi="Arial" w:cs="Arial"/>
          <w:sz w:val="24"/>
          <w:szCs w:val="24"/>
        </w:rPr>
        <w:t xml:space="preserve">, specifications, and the formulation of strategies. This involves setting up a budget of £130,000, negotiating with prospective sponsors, finalising the agenda, and formulating risk management strategies. Oracle's marketing team employs targeted strategies to engage the appropriate audience, specifically executives in the technology sector, which guarantees effective outreach (Geraldi and </w:t>
      </w:r>
      <w:proofErr w:type="spellStart"/>
      <w:r w:rsidR="00303B10" w:rsidRPr="00303B10">
        <w:rPr>
          <w:rFonts w:ascii="Arial" w:hAnsi="Arial" w:cs="Arial"/>
          <w:sz w:val="24"/>
          <w:szCs w:val="24"/>
        </w:rPr>
        <w:t>Lechter</w:t>
      </w:r>
      <w:proofErr w:type="spellEnd"/>
      <w:r w:rsidR="00303B10" w:rsidRPr="00303B10">
        <w:rPr>
          <w:rFonts w:ascii="Arial" w:hAnsi="Arial" w:cs="Arial"/>
          <w:sz w:val="24"/>
          <w:szCs w:val="24"/>
        </w:rPr>
        <w:t xml:space="preserve">, 2012). </w:t>
      </w:r>
      <w:r w:rsidR="00303B10" w:rsidRPr="00303B10">
        <w:rPr>
          <w:rFonts w:ascii="Arial" w:hAnsi="Arial" w:cs="Arial"/>
          <w:sz w:val="24"/>
          <w:szCs w:val="24"/>
        </w:rPr>
        <w:br/>
      </w:r>
      <w:r w:rsidR="00303B10" w:rsidRPr="00303B10">
        <w:rPr>
          <w:rFonts w:ascii="Arial" w:hAnsi="Arial" w:cs="Arial"/>
          <w:sz w:val="24"/>
          <w:szCs w:val="24"/>
        </w:rPr>
        <w:br/>
      </w:r>
      <w:r w:rsidR="00782296" w:rsidRPr="002B5902">
        <w:rPr>
          <w:rFonts w:ascii="Arial" w:hAnsi="Arial" w:cs="Arial"/>
          <w:b/>
          <w:bCs/>
          <w:sz w:val="24"/>
          <w:szCs w:val="24"/>
        </w:rPr>
        <w:t>Implementation</w:t>
      </w:r>
      <w:r w:rsidR="00303B10" w:rsidRPr="00303B10">
        <w:rPr>
          <w:rFonts w:ascii="Arial" w:hAnsi="Arial" w:cs="Arial"/>
          <w:sz w:val="24"/>
          <w:szCs w:val="24"/>
        </w:rPr>
        <w:br/>
        <w:t>Oracle oversees coordination, contracting, verification, and control by affirming agreements with vendors, managing logistical details, and collaborating with venue staff to facilitate attendee arrival. This includes finalising catering, transportation, and on-site facilities, ensuring all technical requirements are satisfied, and confirming safety protocols (</w:t>
      </w:r>
      <w:proofErr w:type="spellStart"/>
      <w:r w:rsidR="00303B10" w:rsidRPr="00303B10">
        <w:rPr>
          <w:rFonts w:ascii="Arial" w:hAnsi="Arial" w:cs="Arial"/>
          <w:sz w:val="24"/>
          <w:szCs w:val="24"/>
        </w:rPr>
        <w:t>Lockstone</w:t>
      </w:r>
      <w:proofErr w:type="spellEnd"/>
      <w:r w:rsidR="00303B10" w:rsidRPr="00303B10">
        <w:rPr>
          <w:rFonts w:ascii="Arial" w:hAnsi="Arial" w:cs="Arial"/>
          <w:sz w:val="24"/>
          <w:szCs w:val="24"/>
        </w:rPr>
        <w:t xml:space="preserve">-Binney, Hanlon, and Jago, 2020). </w:t>
      </w:r>
      <w:r w:rsidR="00303B10" w:rsidRPr="00303B10">
        <w:rPr>
          <w:rFonts w:ascii="Arial" w:hAnsi="Arial" w:cs="Arial"/>
          <w:sz w:val="24"/>
          <w:szCs w:val="24"/>
        </w:rPr>
        <w:br/>
      </w:r>
      <w:r w:rsidR="00303B10" w:rsidRPr="00303B10">
        <w:rPr>
          <w:rFonts w:ascii="Arial" w:hAnsi="Arial" w:cs="Arial"/>
          <w:sz w:val="24"/>
          <w:szCs w:val="24"/>
        </w:rPr>
        <w:br/>
      </w:r>
      <w:r w:rsidR="00E66401" w:rsidRPr="002B5902">
        <w:rPr>
          <w:rFonts w:ascii="Arial" w:hAnsi="Arial" w:cs="Arial"/>
          <w:b/>
          <w:bCs/>
          <w:sz w:val="24"/>
          <w:szCs w:val="24"/>
        </w:rPr>
        <w:t>Event</w:t>
      </w:r>
      <w:r w:rsidR="00303B10" w:rsidRPr="00303B10">
        <w:rPr>
          <w:rFonts w:ascii="Arial" w:hAnsi="Arial" w:cs="Arial"/>
          <w:sz w:val="24"/>
          <w:szCs w:val="24"/>
        </w:rPr>
        <w:br/>
        <w:t xml:space="preserve">Throughout the event, Oracle guarantees seamless operations and elevated engagement by monitoring each session and prioritising attendee experience. Essential activities, including leadership workshops, fireside networking, and winter events, are precisely organised to achieve the Summit is objectives and promote teamwork and professional development (Scott, 2017). </w:t>
      </w:r>
      <w:r w:rsidR="00303B10" w:rsidRPr="00303B10">
        <w:rPr>
          <w:rFonts w:ascii="Arial" w:hAnsi="Arial" w:cs="Arial"/>
          <w:sz w:val="24"/>
          <w:szCs w:val="24"/>
        </w:rPr>
        <w:br/>
      </w:r>
      <w:r w:rsidR="00303B10" w:rsidRPr="00303B10">
        <w:rPr>
          <w:rFonts w:ascii="Arial" w:hAnsi="Arial" w:cs="Arial"/>
          <w:sz w:val="24"/>
          <w:szCs w:val="24"/>
        </w:rPr>
        <w:br/>
      </w:r>
      <w:r w:rsidR="00E66401" w:rsidRPr="002B5902">
        <w:rPr>
          <w:rFonts w:ascii="Arial" w:hAnsi="Arial" w:cs="Arial"/>
          <w:b/>
          <w:bCs/>
          <w:sz w:val="24"/>
          <w:szCs w:val="24"/>
        </w:rPr>
        <w:t>Closure</w:t>
      </w:r>
      <w:r w:rsidR="00303B10" w:rsidRPr="00303B10">
        <w:rPr>
          <w:rFonts w:ascii="Arial" w:hAnsi="Arial" w:cs="Arial"/>
          <w:sz w:val="24"/>
          <w:szCs w:val="24"/>
        </w:rPr>
        <w:br/>
        <w:t xml:space="preserve">During the Closure phase, Oracle executes an operational shutdown, subsequently engaging in feedback collection, evaluation, and knowledge transfer. This involves gathering post-event surveys to evaluate participant satisfaction, conducting a review with the event team, and consolidating insights for future improvements. These assessments assist Oracle by improving its strategy and capitalising on the event's success for prospective future summits (Miller and </w:t>
      </w:r>
      <w:proofErr w:type="spellStart"/>
      <w:r w:rsidR="00303B10" w:rsidRPr="00303B10">
        <w:rPr>
          <w:rFonts w:ascii="Arial" w:hAnsi="Arial" w:cs="Arial"/>
          <w:sz w:val="24"/>
          <w:szCs w:val="24"/>
        </w:rPr>
        <w:t>Maellaro</w:t>
      </w:r>
      <w:proofErr w:type="spellEnd"/>
      <w:r w:rsidR="00303B10" w:rsidRPr="00303B10">
        <w:rPr>
          <w:rFonts w:ascii="Arial" w:hAnsi="Arial" w:cs="Arial"/>
          <w:sz w:val="24"/>
          <w:szCs w:val="24"/>
        </w:rPr>
        <w:t>, 2016).</w:t>
      </w:r>
    </w:p>
    <w:p w14:paraId="28CF803A" w14:textId="77777777" w:rsidR="00303B10" w:rsidRPr="002B5902" w:rsidRDefault="00303B10" w:rsidP="002B5902">
      <w:pPr>
        <w:spacing w:line="360" w:lineRule="auto"/>
        <w:jc w:val="both"/>
        <w:rPr>
          <w:rFonts w:ascii="Arial" w:hAnsi="Arial" w:cs="Arial"/>
          <w:b/>
          <w:bCs/>
          <w:sz w:val="24"/>
          <w:szCs w:val="24"/>
        </w:rPr>
      </w:pPr>
    </w:p>
    <w:p w14:paraId="10E56C9D" w14:textId="706B043E" w:rsidR="00E77AC3" w:rsidRPr="009E7436" w:rsidRDefault="00E77AC3" w:rsidP="009E7436">
      <w:pPr>
        <w:pStyle w:val="Heading1"/>
        <w:rPr>
          <w:rFonts w:ascii="Arial" w:hAnsi="Arial" w:cs="Arial"/>
          <w:b/>
          <w:bCs/>
          <w:color w:val="auto"/>
          <w:sz w:val="28"/>
          <w:szCs w:val="28"/>
        </w:rPr>
      </w:pPr>
      <w:bookmarkStart w:id="57" w:name="_Toc181992389"/>
      <w:r w:rsidRPr="009E7436">
        <w:rPr>
          <w:rFonts w:ascii="Arial" w:hAnsi="Arial" w:cs="Arial"/>
          <w:b/>
          <w:bCs/>
          <w:color w:val="auto"/>
          <w:sz w:val="28"/>
          <w:szCs w:val="28"/>
        </w:rPr>
        <w:lastRenderedPageBreak/>
        <w:t>References</w:t>
      </w:r>
      <w:bookmarkEnd w:id="57"/>
    </w:p>
    <w:p w14:paraId="73397AA1"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Abrell, C., Rowold, J., </w:t>
      </w:r>
      <w:proofErr w:type="spellStart"/>
      <w:r w:rsidRPr="002B5902">
        <w:rPr>
          <w:rFonts w:ascii="Arial" w:hAnsi="Arial" w:cs="Arial"/>
          <w:sz w:val="24"/>
          <w:szCs w:val="24"/>
        </w:rPr>
        <w:t>Weibler</w:t>
      </w:r>
      <w:proofErr w:type="spellEnd"/>
      <w:r w:rsidRPr="002B5902">
        <w:rPr>
          <w:rFonts w:ascii="Arial" w:hAnsi="Arial" w:cs="Arial"/>
          <w:sz w:val="24"/>
          <w:szCs w:val="24"/>
        </w:rPr>
        <w:t xml:space="preserve">, J., and </w:t>
      </w:r>
      <w:proofErr w:type="spellStart"/>
      <w:r w:rsidRPr="002B5902">
        <w:rPr>
          <w:rFonts w:ascii="Arial" w:hAnsi="Arial" w:cs="Arial"/>
          <w:sz w:val="24"/>
          <w:szCs w:val="24"/>
        </w:rPr>
        <w:t>Moenninghoff</w:t>
      </w:r>
      <w:proofErr w:type="spellEnd"/>
      <w:r w:rsidRPr="002B5902">
        <w:rPr>
          <w:rFonts w:ascii="Arial" w:hAnsi="Arial" w:cs="Arial"/>
          <w:sz w:val="24"/>
          <w:szCs w:val="24"/>
        </w:rPr>
        <w:t xml:space="preserve">, M., 2011. Evaluation of a Long-Term Transformational Leadership Development Program. German Journal of Human Resource Management: </w:t>
      </w:r>
      <w:proofErr w:type="spellStart"/>
      <w:r w:rsidRPr="002B5902">
        <w:rPr>
          <w:rFonts w:ascii="Arial" w:hAnsi="Arial" w:cs="Arial"/>
          <w:sz w:val="24"/>
          <w:szCs w:val="24"/>
        </w:rPr>
        <w:t>Zeitschrift</w:t>
      </w:r>
      <w:proofErr w:type="spellEnd"/>
      <w:r w:rsidRPr="002B5902">
        <w:rPr>
          <w:rFonts w:ascii="Arial" w:hAnsi="Arial" w:cs="Arial"/>
          <w:sz w:val="24"/>
          <w:szCs w:val="24"/>
        </w:rPr>
        <w:t xml:space="preserve"> für </w:t>
      </w:r>
      <w:proofErr w:type="spellStart"/>
      <w:r w:rsidRPr="002B5902">
        <w:rPr>
          <w:rFonts w:ascii="Arial" w:hAnsi="Arial" w:cs="Arial"/>
          <w:sz w:val="24"/>
          <w:szCs w:val="24"/>
        </w:rPr>
        <w:t>Personalforschung</w:t>
      </w:r>
      <w:proofErr w:type="spellEnd"/>
      <w:r w:rsidRPr="002B5902">
        <w:rPr>
          <w:rFonts w:ascii="Arial" w:hAnsi="Arial" w:cs="Arial"/>
          <w:sz w:val="24"/>
          <w:szCs w:val="24"/>
        </w:rPr>
        <w:t xml:space="preserve">, 25, pp. 205 - 224. </w:t>
      </w:r>
      <w:hyperlink r:id="rId17" w:history="1">
        <w:r w:rsidRPr="002B5902">
          <w:rPr>
            <w:rStyle w:val="Hyperlink"/>
            <w:rFonts w:ascii="Arial" w:hAnsi="Arial" w:cs="Arial"/>
            <w:sz w:val="24"/>
            <w:szCs w:val="24"/>
          </w:rPr>
          <w:t>https://doi.org/10.1177/239700221102500307</w:t>
        </w:r>
      </w:hyperlink>
      <w:r w:rsidRPr="002B5902">
        <w:rPr>
          <w:rFonts w:ascii="Arial" w:hAnsi="Arial" w:cs="Arial"/>
          <w:sz w:val="24"/>
          <w:szCs w:val="24"/>
        </w:rPr>
        <w:t xml:space="preserve">. </w:t>
      </w:r>
    </w:p>
    <w:p w14:paraId="7F2274EF" w14:textId="77777777" w:rsidR="004B565C" w:rsidRPr="002B5902" w:rsidRDefault="004B565C" w:rsidP="002B5902">
      <w:pPr>
        <w:numPr>
          <w:ilvl w:val="0"/>
          <w:numId w:val="20"/>
        </w:numPr>
        <w:spacing w:line="360" w:lineRule="auto"/>
        <w:jc w:val="both"/>
        <w:rPr>
          <w:rFonts w:ascii="Arial" w:hAnsi="Arial" w:cs="Arial"/>
          <w:sz w:val="24"/>
          <w:szCs w:val="24"/>
        </w:rPr>
      </w:pPr>
      <w:proofErr w:type="spellStart"/>
      <w:r w:rsidRPr="002B5902">
        <w:rPr>
          <w:rFonts w:ascii="Arial" w:hAnsi="Arial" w:cs="Arial"/>
          <w:sz w:val="24"/>
          <w:szCs w:val="24"/>
        </w:rPr>
        <w:t>Aburumman</w:t>
      </w:r>
      <w:proofErr w:type="spellEnd"/>
      <w:r w:rsidRPr="002B5902">
        <w:rPr>
          <w:rFonts w:ascii="Arial" w:hAnsi="Arial" w:cs="Arial"/>
          <w:sz w:val="24"/>
          <w:szCs w:val="24"/>
        </w:rPr>
        <w:t xml:space="preserve">, A., 2020. COVID-19 impact and survival strategy in business tourism market: the example of the UAE MICE industry. Humanities and Social Sciences Communications, 7, pp. 1-11. </w:t>
      </w:r>
      <w:hyperlink r:id="rId18" w:history="1">
        <w:r w:rsidRPr="002B5902">
          <w:rPr>
            <w:rStyle w:val="Hyperlink"/>
            <w:rFonts w:ascii="Arial" w:hAnsi="Arial" w:cs="Arial"/>
            <w:sz w:val="24"/>
            <w:szCs w:val="24"/>
          </w:rPr>
          <w:t>https://doi.org/10.1057/s41599-020-00630-8</w:t>
        </w:r>
      </w:hyperlink>
      <w:r w:rsidRPr="002B5902">
        <w:rPr>
          <w:rFonts w:ascii="Arial" w:hAnsi="Arial" w:cs="Arial"/>
          <w:sz w:val="24"/>
          <w:szCs w:val="24"/>
        </w:rPr>
        <w:t xml:space="preserve">. </w:t>
      </w:r>
    </w:p>
    <w:p w14:paraId="67ECFE2A"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Ahmed, A., 2021. Sustainable Financial Planning for Event Management</w:t>
      </w:r>
      <w:proofErr w:type="gramStart"/>
      <w:r w:rsidRPr="002B5902">
        <w:rPr>
          <w:rFonts w:ascii="Arial" w:hAnsi="Arial" w:cs="Arial"/>
          <w:sz w:val="24"/>
          <w:szCs w:val="24"/>
        </w:rPr>
        <w:t>. .</w:t>
      </w:r>
      <w:proofErr w:type="gramEnd"/>
      <w:r w:rsidRPr="002B5902">
        <w:rPr>
          <w:rFonts w:ascii="Arial" w:hAnsi="Arial" w:cs="Arial"/>
          <w:sz w:val="24"/>
          <w:szCs w:val="24"/>
        </w:rPr>
        <w:t xml:space="preserve"> </w:t>
      </w:r>
      <w:hyperlink r:id="rId19" w:history="1">
        <w:r w:rsidRPr="002B5902">
          <w:rPr>
            <w:rStyle w:val="Hyperlink"/>
            <w:rFonts w:ascii="Arial" w:hAnsi="Arial" w:cs="Arial"/>
            <w:sz w:val="24"/>
            <w:szCs w:val="24"/>
          </w:rPr>
          <w:t>https://doi.org/10.23912/9781911635734-4791</w:t>
        </w:r>
      </w:hyperlink>
      <w:r w:rsidRPr="002B5902">
        <w:rPr>
          <w:rFonts w:ascii="Arial" w:hAnsi="Arial" w:cs="Arial"/>
          <w:sz w:val="24"/>
          <w:szCs w:val="24"/>
        </w:rPr>
        <w:t xml:space="preserve">. </w:t>
      </w:r>
    </w:p>
    <w:p w14:paraId="09DF8F84"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An, J., Kim, H., and Hur, D., 2021. Keeping the Competitive Edge of a Convention and Exhibition </w:t>
      </w:r>
      <w:proofErr w:type="spellStart"/>
      <w:r w:rsidRPr="002B5902">
        <w:rPr>
          <w:rFonts w:ascii="Arial" w:hAnsi="Arial" w:cs="Arial"/>
          <w:sz w:val="24"/>
          <w:szCs w:val="24"/>
        </w:rPr>
        <w:t>Center</w:t>
      </w:r>
      <w:proofErr w:type="spellEnd"/>
      <w:r w:rsidRPr="002B5902">
        <w:rPr>
          <w:rFonts w:ascii="Arial" w:hAnsi="Arial" w:cs="Arial"/>
          <w:sz w:val="24"/>
          <w:szCs w:val="24"/>
        </w:rPr>
        <w:t xml:space="preserve"> in MICE Environment: Identification of Event Attributes for Long-Run Success. Sustainability, 13, pp. 5030. </w:t>
      </w:r>
      <w:hyperlink r:id="rId20" w:history="1">
        <w:r w:rsidRPr="002B5902">
          <w:rPr>
            <w:rStyle w:val="Hyperlink"/>
            <w:rFonts w:ascii="Arial" w:hAnsi="Arial" w:cs="Arial"/>
            <w:sz w:val="24"/>
            <w:szCs w:val="24"/>
          </w:rPr>
          <w:t>https://doi.org/10.3390/SU13095030</w:t>
        </w:r>
      </w:hyperlink>
      <w:r w:rsidRPr="002B5902">
        <w:rPr>
          <w:rFonts w:ascii="Arial" w:hAnsi="Arial" w:cs="Arial"/>
          <w:sz w:val="24"/>
          <w:szCs w:val="24"/>
        </w:rPr>
        <w:t xml:space="preserve">. </w:t>
      </w:r>
    </w:p>
    <w:p w14:paraId="47B11DA2"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lang w:val="de-DE"/>
        </w:rPr>
        <w:t xml:space="preserve">Bergmann, A., Stechemesser, K., and Guenther, E., 2016. </w:t>
      </w:r>
      <w:r w:rsidRPr="002B5902">
        <w:rPr>
          <w:rFonts w:ascii="Arial" w:hAnsi="Arial" w:cs="Arial"/>
          <w:sz w:val="24"/>
          <w:szCs w:val="24"/>
        </w:rPr>
        <w:t xml:space="preserve">Natural resource dependence theory: Impacts of extreme weather events on organizations. Journal of Business Research, 69, pp. 1361-1366. </w:t>
      </w:r>
      <w:hyperlink r:id="rId21" w:history="1">
        <w:r w:rsidRPr="002B5902">
          <w:rPr>
            <w:rStyle w:val="Hyperlink"/>
            <w:rFonts w:ascii="Arial" w:hAnsi="Arial" w:cs="Arial"/>
            <w:sz w:val="24"/>
            <w:szCs w:val="24"/>
          </w:rPr>
          <w:t>https://doi.org/10.1016/J.JBUSRES.2015.10.108</w:t>
        </w:r>
      </w:hyperlink>
      <w:r w:rsidRPr="002B5902">
        <w:rPr>
          <w:rFonts w:ascii="Arial" w:hAnsi="Arial" w:cs="Arial"/>
          <w:sz w:val="24"/>
          <w:szCs w:val="24"/>
        </w:rPr>
        <w:t xml:space="preserve">. </w:t>
      </w:r>
    </w:p>
    <w:p w14:paraId="62A3DF94" w14:textId="11D3A12E" w:rsidR="00F81907" w:rsidRPr="002B5902" w:rsidRDefault="00F81907" w:rsidP="002B5902">
      <w:pPr>
        <w:pStyle w:val="ListParagraph"/>
        <w:numPr>
          <w:ilvl w:val="0"/>
          <w:numId w:val="20"/>
        </w:numPr>
        <w:spacing w:line="360" w:lineRule="auto"/>
        <w:jc w:val="both"/>
        <w:rPr>
          <w:rFonts w:ascii="Arial" w:hAnsi="Arial" w:cs="Arial"/>
          <w:sz w:val="24"/>
          <w:szCs w:val="24"/>
        </w:rPr>
      </w:pPr>
      <w:r w:rsidRPr="002B5902">
        <w:rPr>
          <w:rFonts w:ascii="Arial" w:hAnsi="Arial" w:cs="Arial"/>
          <w:sz w:val="24"/>
          <w:szCs w:val="24"/>
        </w:rPr>
        <w:t>Bowdin, G., Allen, J., O'Toole, W., Harris, R. and McDonnell, I., 2010. Events Management. 3rd ed. Oxford: Butterworth-Heinemann.</w:t>
      </w:r>
    </w:p>
    <w:p w14:paraId="70CAAA70"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Chappel, M., 2015. Tracking corporate community investment through outcome-based key performance indicators: an analysis and database of outcome-based KPIs. </w:t>
      </w:r>
      <w:hyperlink r:id="rId22" w:history="1">
        <w:r w:rsidRPr="002B5902">
          <w:rPr>
            <w:rStyle w:val="Hyperlink"/>
            <w:rFonts w:ascii="Arial" w:hAnsi="Arial" w:cs="Arial"/>
            <w:sz w:val="24"/>
            <w:szCs w:val="24"/>
          </w:rPr>
          <w:t>https://open.library.ubc.ca/media/download/pdf/52966/1.0075687/2</w:t>
        </w:r>
      </w:hyperlink>
      <w:r w:rsidRPr="002B5902">
        <w:rPr>
          <w:rFonts w:ascii="Arial" w:hAnsi="Arial" w:cs="Arial"/>
          <w:sz w:val="24"/>
          <w:szCs w:val="24"/>
        </w:rPr>
        <w:t xml:space="preserve"> </w:t>
      </w:r>
    </w:p>
    <w:p w14:paraId="29F97BAE"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Clausen, H., and Andersson, V., 2018. Problem-based learning, education and employability: a case study with master’s students from Aalborg University, Denmark. Journal of Teaching in Travel &amp; Tourism, 19, pp. 126 - 139. </w:t>
      </w:r>
      <w:hyperlink r:id="rId23" w:history="1">
        <w:r w:rsidRPr="002B5902">
          <w:rPr>
            <w:rStyle w:val="Hyperlink"/>
            <w:rFonts w:ascii="Arial" w:hAnsi="Arial" w:cs="Arial"/>
            <w:sz w:val="24"/>
            <w:szCs w:val="24"/>
          </w:rPr>
          <w:t>https://doi.org/10.1080/15313220.2018.1522290</w:t>
        </w:r>
      </w:hyperlink>
      <w:r w:rsidRPr="002B5902">
        <w:rPr>
          <w:rFonts w:ascii="Arial" w:hAnsi="Arial" w:cs="Arial"/>
          <w:sz w:val="24"/>
          <w:szCs w:val="24"/>
        </w:rPr>
        <w:t xml:space="preserve">. </w:t>
      </w:r>
    </w:p>
    <w:p w14:paraId="630A98C0" w14:textId="77777777" w:rsidR="004B565C" w:rsidRPr="002B5902" w:rsidRDefault="004B565C" w:rsidP="002B5902">
      <w:pPr>
        <w:numPr>
          <w:ilvl w:val="0"/>
          <w:numId w:val="20"/>
        </w:numPr>
        <w:spacing w:line="360" w:lineRule="auto"/>
        <w:jc w:val="both"/>
        <w:rPr>
          <w:rFonts w:ascii="Arial" w:hAnsi="Arial" w:cs="Arial"/>
          <w:sz w:val="24"/>
          <w:szCs w:val="24"/>
        </w:rPr>
      </w:pPr>
      <w:proofErr w:type="spellStart"/>
      <w:r w:rsidRPr="002B5902">
        <w:rPr>
          <w:rFonts w:ascii="Arial" w:hAnsi="Arial" w:cs="Arial"/>
          <w:sz w:val="24"/>
          <w:szCs w:val="24"/>
        </w:rPr>
        <w:lastRenderedPageBreak/>
        <w:t>Creazza</w:t>
      </w:r>
      <w:proofErr w:type="spellEnd"/>
      <w:r w:rsidRPr="002B5902">
        <w:rPr>
          <w:rFonts w:ascii="Arial" w:hAnsi="Arial" w:cs="Arial"/>
          <w:sz w:val="24"/>
          <w:szCs w:val="24"/>
        </w:rPr>
        <w:t xml:space="preserve">, A., </w:t>
      </w:r>
      <w:proofErr w:type="spellStart"/>
      <w:r w:rsidRPr="002B5902">
        <w:rPr>
          <w:rFonts w:ascii="Arial" w:hAnsi="Arial" w:cs="Arial"/>
          <w:sz w:val="24"/>
          <w:szCs w:val="24"/>
        </w:rPr>
        <w:t>Colicchia</w:t>
      </w:r>
      <w:proofErr w:type="spellEnd"/>
      <w:r w:rsidRPr="002B5902">
        <w:rPr>
          <w:rFonts w:ascii="Arial" w:hAnsi="Arial" w:cs="Arial"/>
          <w:sz w:val="24"/>
          <w:szCs w:val="24"/>
        </w:rPr>
        <w:t xml:space="preserve">, C., and </w:t>
      </w:r>
      <w:proofErr w:type="spellStart"/>
      <w:r w:rsidRPr="002B5902">
        <w:rPr>
          <w:rFonts w:ascii="Arial" w:hAnsi="Arial" w:cs="Arial"/>
          <w:sz w:val="24"/>
          <w:szCs w:val="24"/>
        </w:rPr>
        <w:t>Dallari</w:t>
      </w:r>
      <w:proofErr w:type="spellEnd"/>
      <w:r w:rsidRPr="002B5902">
        <w:rPr>
          <w:rFonts w:ascii="Arial" w:hAnsi="Arial" w:cs="Arial"/>
          <w:sz w:val="24"/>
          <w:szCs w:val="24"/>
        </w:rPr>
        <w:t xml:space="preserve">, F., 2015. Designing the venue logistics management operations for a World Exposition. Production Planning &amp; Control, 26, pp. 543 - 563. </w:t>
      </w:r>
      <w:hyperlink r:id="rId24" w:history="1">
        <w:r w:rsidRPr="002B5902">
          <w:rPr>
            <w:rStyle w:val="Hyperlink"/>
            <w:rFonts w:ascii="Arial" w:hAnsi="Arial" w:cs="Arial"/>
            <w:sz w:val="24"/>
            <w:szCs w:val="24"/>
          </w:rPr>
          <w:t>https://doi.org/10.1080/09537287.2014.929190</w:t>
        </w:r>
      </w:hyperlink>
      <w:r w:rsidRPr="002B5902">
        <w:rPr>
          <w:rFonts w:ascii="Arial" w:hAnsi="Arial" w:cs="Arial"/>
          <w:sz w:val="24"/>
          <w:szCs w:val="24"/>
        </w:rPr>
        <w:t xml:space="preserve">. </w:t>
      </w:r>
    </w:p>
    <w:p w14:paraId="28F778E5"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Crothers, L., Theodore, L., and Hughes, T., 2011. Program Planning and Evaluation</w:t>
      </w:r>
      <w:proofErr w:type="gramStart"/>
      <w:r w:rsidRPr="002B5902">
        <w:rPr>
          <w:rFonts w:ascii="Arial" w:hAnsi="Arial" w:cs="Arial"/>
          <w:sz w:val="24"/>
          <w:szCs w:val="24"/>
        </w:rPr>
        <w:t>. .</w:t>
      </w:r>
      <w:proofErr w:type="gramEnd"/>
      <w:r w:rsidRPr="002B5902">
        <w:rPr>
          <w:rFonts w:ascii="Arial" w:hAnsi="Arial" w:cs="Arial"/>
          <w:sz w:val="24"/>
          <w:szCs w:val="24"/>
        </w:rPr>
        <w:t xml:space="preserve"> </w:t>
      </w:r>
      <w:hyperlink r:id="rId25" w:history="1">
        <w:r w:rsidRPr="002B5902">
          <w:rPr>
            <w:rStyle w:val="Hyperlink"/>
            <w:rFonts w:ascii="Arial" w:hAnsi="Arial" w:cs="Arial"/>
            <w:sz w:val="24"/>
            <w:szCs w:val="24"/>
          </w:rPr>
          <w:t>https://doi.org/10.1093/OXFORDHB/9780195369809.013.0227</w:t>
        </w:r>
      </w:hyperlink>
      <w:r w:rsidRPr="002B5902">
        <w:rPr>
          <w:rFonts w:ascii="Arial" w:hAnsi="Arial" w:cs="Arial"/>
          <w:sz w:val="24"/>
          <w:szCs w:val="24"/>
        </w:rPr>
        <w:t xml:space="preserve">. </w:t>
      </w:r>
    </w:p>
    <w:p w14:paraId="38E5A6EF"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DeRue, D. S., Nahrgang, J. D., Hollenbeck, J. R., and Workman, K., 2012. A quasi-experimental study of after-event reviews and leadership development. Journal of Applied Psychology, 97(5), 997–1015. </w:t>
      </w:r>
      <w:hyperlink r:id="rId26" w:history="1">
        <w:r w:rsidRPr="002B5902">
          <w:rPr>
            <w:rStyle w:val="Hyperlink"/>
            <w:rFonts w:ascii="Arial" w:hAnsi="Arial" w:cs="Arial"/>
            <w:sz w:val="24"/>
            <w:szCs w:val="24"/>
          </w:rPr>
          <w:t>https://doi-org.ezproxy.uwtsd.ac.uk/10.1037/a0028244</w:t>
        </w:r>
      </w:hyperlink>
      <w:r w:rsidRPr="002B5902">
        <w:rPr>
          <w:rFonts w:ascii="Arial" w:hAnsi="Arial" w:cs="Arial"/>
          <w:sz w:val="24"/>
          <w:szCs w:val="24"/>
        </w:rPr>
        <w:t xml:space="preserve"> </w:t>
      </w:r>
    </w:p>
    <w:p w14:paraId="5D41EC13"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Enache, I.C., 2011. Marketing higher education using the 7 Ps framework. Bulletin of the </w:t>
      </w:r>
      <w:proofErr w:type="spellStart"/>
      <w:r w:rsidRPr="002B5902">
        <w:rPr>
          <w:rFonts w:ascii="Arial" w:hAnsi="Arial" w:cs="Arial"/>
          <w:sz w:val="24"/>
          <w:szCs w:val="24"/>
        </w:rPr>
        <w:t>Transilvania</w:t>
      </w:r>
      <w:proofErr w:type="spellEnd"/>
      <w:r w:rsidRPr="002B5902">
        <w:rPr>
          <w:rFonts w:ascii="Arial" w:hAnsi="Arial" w:cs="Arial"/>
          <w:sz w:val="24"/>
          <w:szCs w:val="24"/>
        </w:rPr>
        <w:t xml:space="preserve"> University of Brasov. Series V: Economic Sciences, pp.23-30.  </w:t>
      </w:r>
      <w:hyperlink r:id="rId27" w:history="1">
        <w:r w:rsidRPr="002B5902">
          <w:rPr>
            <w:rStyle w:val="Hyperlink"/>
            <w:rFonts w:ascii="Arial" w:hAnsi="Arial" w:cs="Arial"/>
            <w:sz w:val="24"/>
            <w:szCs w:val="24"/>
          </w:rPr>
          <w:t>https://webbut.unitbv.ro/index.php/Series_V/article/download/6270/4812</w:t>
        </w:r>
      </w:hyperlink>
      <w:r w:rsidRPr="002B5902">
        <w:rPr>
          <w:rFonts w:ascii="Arial" w:hAnsi="Arial" w:cs="Arial"/>
          <w:sz w:val="24"/>
          <w:szCs w:val="24"/>
        </w:rPr>
        <w:t xml:space="preserve"> </w:t>
      </w:r>
    </w:p>
    <w:p w14:paraId="450A7928"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Gajjar, A., and Parmar, B., 2020. The Impact of COVID-19 on Event Management Industry in India. Global Journal of Management and Business Research, pp. 37-43. </w:t>
      </w:r>
      <w:hyperlink r:id="rId28" w:history="1">
        <w:r w:rsidRPr="002B5902">
          <w:rPr>
            <w:rStyle w:val="Hyperlink"/>
            <w:rFonts w:ascii="Arial" w:hAnsi="Arial" w:cs="Arial"/>
            <w:sz w:val="24"/>
            <w:szCs w:val="24"/>
          </w:rPr>
          <w:t>https://doi.org/10.34257/gjmbrfvol20is2pg37</w:t>
        </w:r>
      </w:hyperlink>
      <w:r w:rsidRPr="002B5902">
        <w:rPr>
          <w:rFonts w:ascii="Arial" w:hAnsi="Arial" w:cs="Arial"/>
          <w:sz w:val="24"/>
          <w:szCs w:val="24"/>
        </w:rPr>
        <w:t xml:space="preserve">. </w:t>
      </w:r>
    </w:p>
    <w:p w14:paraId="3DD6CEB8"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GERALDI, J. and LECHTER, T., 2012. Gantt charts revisited. International Journal of Managing Projects in Business, </w:t>
      </w:r>
      <w:r w:rsidRPr="002B5902">
        <w:rPr>
          <w:rFonts w:ascii="Arial" w:hAnsi="Arial" w:cs="Arial"/>
          <w:b/>
          <w:bCs/>
          <w:sz w:val="24"/>
          <w:szCs w:val="24"/>
        </w:rPr>
        <w:t>5</w:t>
      </w:r>
      <w:r w:rsidRPr="002B5902">
        <w:rPr>
          <w:rFonts w:ascii="Arial" w:hAnsi="Arial" w:cs="Arial"/>
          <w:sz w:val="24"/>
          <w:szCs w:val="24"/>
        </w:rPr>
        <w:t xml:space="preserve">(4), pp. 578-594. </w:t>
      </w:r>
      <w:hyperlink r:id="rId29" w:history="1">
        <w:r w:rsidRPr="002B5902">
          <w:rPr>
            <w:rStyle w:val="Hyperlink"/>
            <w:rFonts w:ascii="Arial" w:hAnsi="Arial" w:cs="Arial"/>
            <w:sz w:val="24"/>
            <w:szCs w:val="24"/>
          </w:rPr>
          <w:t>https://www.proquest.com/scholarly-journals/gantt-charts-revisited/docview/1112229712/se-2?accountid=130472</w:t>
        </w:r>
      </w:hyperlink>
      <w:r w:rsidRPr="002B5902">
        <w:rPr>
          <w:rFonts w:ascii="Arial" w:hAnsi="Arial" w:cs="Arial"/>
          <w:sz w:val="24"/>
          <w:szCs w:val="24"/>
        </w:rPr>
        <w:t xml:space="preserve"> </w:t>
      </w:r>
    </w:p>
    <w:p w14:paraId="74C544DA"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Getz, D., 2018. Event Evaluation: Theory and Methods for Event Management and Tourism, Goodfellow Publishers, Limited, Oxford. Available from: ProQuest </w:t>
      </w:r>
      <w:proofErr w:type="spellStart"/>
      <w:r w:rsidRPr="002B5902">
        <w:rPr>
          <w:rFonts w:ascii="Arial" w:hAnsi="Arial" w:cs="Arial"/>
          <w:sz w:val="24"/>
          <w:szCs w:val="24"/>
        </w:rPr>
        <w:t>Ebook</w:t>
      </w:r>
      <w:proofErr w:type="spellEnd"/>
      <w:r w:rsidRPr="002B5902">
        <w:rPr>
          <w:rFonts w:ascii="Arial" w:hAnsi="Arial" w:cs="Arial"/>
          <w:sz w:val="24"/>
          <w:szCs w:val="24"/>
        </w:rPr>
        <w:t xml:space="preserve">. </w:t>
      </w:r>
      <w:hyperlink r:id="rId30" w:history="1">
        <w:r w:rsidRPr="002B5902">
          <w:rPr>
            <w:rStyle w:val="Hyperlink"/>
            <w:rFonts w:ascii="Arial" w:hAnsi="Arial" w:cs="Arial"/>
            <w:sz w:val="24"/>
            <w:szCs w:val="24"/>
          </w:rPr>
          <w:t>https://ebookcentral.proquest.com/lib/trinity/detail.action?docID=29281298</w:t>
        </w:r>
      </w:hyperlink>
      <w:r w:rsidRPr="002B5902">
        <w:rPr>
          <w:rFonts w:ascii="Arial" w:hAnsi="Arial" w:cs="Arial"/>
          <w:sz w:val="24"/>
          <w:szCs w:val="24"/>
        </w:rPr>
        <w:t xml:space="preserve"> </w:t>
      </w:r>
    </w:p>
    <w:p w14:paraId="4EEF617F"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Gkekas, G., </w:t>
      </w:r>
      <w:proofErr w:type="spellStart"/>
      <w:r w:rsidRPr="002B5902">
        <w:rPr>
          <w:rFonts w:ascii="Arial" w:hAnsi="Arial" w:cs="Arial"/>
          <w:sz w:val="24"/>
          <w:szCs w:val="24"/>
        </w:rPr>
        <w:t>Kyrikou</w:t>
      </w:r>
      <w:proofErr w:type="spellEnd"/>
      <w:r w:rsidRPr="002B5902">
        <w:rPr>
          <w:rFonts w:ascii="Arial" w:hAnsi="Arial" w:cs="Arial"/>
          <w:sz w:val="24"/>
          <w:szCs w:val="24"/>
        </w:rPr>
        <w:t xml:space="preserve">, A. and Ioannidis, N., 2010, May. A smart calendar application for mobile environments. In 3rd International ICST Conference on Mobile Multimedia Communications. </w:t>
      </w:r>
      <w:hyperlink r:id="rId31" w:history="1">
        <w:r w:rsidRPr="002B5902">
          <w:rPr>
            <w:rStyle w:val="Hyperlink"/>
            <w:rFonts w:ascii="Arial" w:hAnsi="Arial" w:cs="Arial"/>
            <w:sz w:val="24"/>
            <w:szCs w:val="24"/>
          </w:rPr>
          <w:t>https://eudl.eu/pdf/10.4108/ICST.MOBIMEDIA2007.1722</w:t>
        </w:r>
      </w:hyperlink>
      <w:r w:rsidRPr="002B5902">
        <w:rPr>
          <w:rFonts w:ascii="Arial" w:hAnsi="Arial" w:cs="Arial"/>
          <w:sz w:val="24"/>
          <w:szCs w:val="24"/>
        </w:rPr>
        <w:t xml:space="preserve"> </w:t>
      </w:r>
    </w:p>
    <w:p w14:paraId="507C1A2E"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Halim, D., </w:t>
      </w:r>
      <w:proofErr w:type="spellStart"/>
      <w:r w:rsidRPr="002B5902">
        <w:rPr>
          <w:rFonts w:ascii="Arial" w:hAnsi="Arial" w:cs="Arial"/>
          <w:sz w:val="24"/>
          <w:szCs w:val="24"/>
        </w:rPr>
        <w:t>Pramesti</w:t>
      </w:r>
      <w:proofErr w:type="spellEnd"/>
      <w:r w:rsidRPr="002B5902">
        <w:rPr>
          <w:rFonts w:ascii="Arial" w:hAnsi="Arial" w:cs="Arial"/>
          <w:sz w:val="24"/>
          <w:szCs w:val="24"/>
        </w:rPr>
        <w:t xml:space="preserve">, D., and </w:t>
      </w:r>
      <w:proofErr w:type="spellStart"/>
      <w:r w:rsidRPr="002B5902">
        <w:rPr>
          <w:rFonts w:ascii="Arial" w:hAnsi="Arial" w:cs="Arial"/>
          <w:sz w:val="24"/>
          <w:szCs w:val="24"/>
        </w:rPr>
        <w:t>Ratnasari</w:t>
      </w:r>
      <w:proofErr w:type="spellEnd"/>
      <w:r w:rsidRPr="002B5902">
        <w:rPr>
          <w:rFonts w:ascii="Arial" w:hAnsi="Arial" w:cs="Arial"/>
          <w:sz w:val="24"/>
          <w:szCs w:val="24"/>
        </w:rPr>
        <w:t xml:space="preserve">, H., 2023. Analysis Marketing Strategy </w:t>
      </w:r>
      <w:proofErr w:type="gramStart"/>
      <w:r w:rsidRPr="002B5902">
        <w:rPr>
          <w:rFonts w:ascii="Arial" w:hAnsi="Arial" w:cs="Arial"/>
          <w:sz w:val="24"/>
          <w:szCs w:val="24"/>
        </w:rPr>
        <w:t>Of</w:t>
      </w:r>
      <w:proofErr w:type="gramEnd"/>
      <w:r w:rsidRPr="002B5902">
        <w:rPr>
          <w:rFonts w:ascii="Arial" w:hAnsi="Arial" w:cs="Arial"/>
          <w:sz w:val="24"/>
          <w:szCs w:val="24"/>
        </w:rPr>
        <w:t xml:space="preserve"> Phenom Event Indonesia During The Covid-19 Pandemic. </w:t>
      </w:r>
      <w:proofErr w:type="gramStart"/>
      <w:r w:rsidRPr="002B5902">
        <w:rPr>
          <w:rFonts w:ascii="Arial" w:hAnsi="Arial" w:cs="Arial"/>
          <w:sz w:val="24"/>
          <w:szCs w:val="24"/>
        </w:rPr>
        <w:t>Journey :</w:t>
      </w:r>
      <w:proofErr w:type="gramEnd"/>
      <w:r w:rsidRPr="002B5902">
        <w:rPr>
          <w:rFonts w:ascii="Arial" w:hAnsi="Arial" w:cs="Arial"/>
          <w:sz w:val="24"/>
          <w:szCs w:val="24"/>
        </w:rPr>
        <w:t xml:space="preserve"> Journal of </w:t>
      </w:r>
      <w:proofErr w:type="spellStart"/>
      <w:r w:rsidRPr="002B5902">
        <w:rPr>
          <w:rFonts w:ascii="Arial" w:hAnsi="Arial" w:cs="Arial"/>
          <w:sz w:val="24"/>
          <w:szCs w:val="24"/>
        </w:rPr>
        <w:lastRenderedPageBreak/>
        <w:t>Tourismpreneurship</w:t>
      </w:r>
      <w:proofErr w:type="spellEnd"/>
      <w:r w:rsidRPr="002B5902">
        <w:rPr>
          <w:rFonts w:ascii="Arial" w:hAnsi="Arial" w:cs="Arial"/>
          <w:sz w:val="24"/>
          <w:szCs w:val="24"/>
        </w:rPr>
        <w:t xml:space="preserve">, Culinary, Hospitality, Convention and Event Management. </w:t>
      </w:r>
      <w:hyperlink r:id="rId32" w:history="1">
        <w:r w:rsidRPr="002B5902">
          <w:rPr>
            <w:rStyle w:val="Hyperlink"/>
            <w:rFonts w:ascii="Arial" w:hAnsi="Arial" w:cs="Arial"/>
            <w:sz w:val="24"/>
            <w:szCs w:val="24"/>
          </w:rPr>
          <w:t>https://doi.org/10.46837/journey.v6i1.163</w:t>
        </w:r>
      </w:hyperlink>
      <w:r w:rsidRPr="002B5902">
        <w:rPr>
          <w:rFonts w:ascii="Arial" w:hAnsi="Arial" w:cs="Arial"/>
          <w:sz w:val="24"/>
          <w:szCs w:val="24"/>
        </w:rPr>
        <w:t xml:space="preserve">. </w:t>
      </w:r>
    </w:p>
    <w:p w14:paraId="440536C5"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Holden, A., 1998. The use of visitor understanding in skiing management and development decisions at the Cairngorm mountains, Scotland. Tourism Management, 19, pp. 145-152. </w:t>
      </w:r>
      <w:hyperlink r:id="rId33" w:history="1">
        <w:r w:rsidRPr="002B5902">
          <w:rPr>
            <w:rStyle w:val="Hyperlink"/>
            <w:rFonts w:ascii="Arial" w:hAnsi="Arial" w:cs="Arial"/>
            <w:sz w:val="24"/>
            <w:szCs w:val="24"/>
          </w:rPr>
          <w:t>https://doi.org/10.1016/S0261-5177(97)00106-4</w:t>
        </w:r>
      </w:hyperlink>
      <w:r w:rsidRPr="002B5902">
        <w:rPr>
          <w:rFonts w:ascii="Arial" w:hAnsi="Arial" w:cs="Arial"/>
          <w:sz w:val="24"/>
          <w:szCs w:val="24"/>
        </w:rPr>
        <w:t xml:space="preserve">. </w:t>
      </w:r>
    </w:p>
    <w:p w14:paraId="1712F82A"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Kelly, P., Newbold, C., Jordan, J., &amp; Diaz, K., 2019. Creating Your Festival Budget. Principles of Festival Management. </w:t>
      </w:r>
      <w:hyperlink r:id="rId34" w:history="1">
        <w:r w:rsidRPr="002B5902">
          <w:rPr>
            <w:rStyle w:val="Hyperlink"/>
            <w:rFonts w:ascii="Arial" w:hAnsi="Arial" w:cs="Arial"/>
            <w:sz w:val="24"/>
            <w:szCs w:val="24"/>
          </w:rPr>
          <w:t>https://doi.org/10.23912/978-1-911396-82-6-4067</w:t>
        </w:r>
      </w:hyperlink>
      <w:r w:rsidRPr="002B5902">
        <w:rPr>
          <w:rFonts w:ascii="Arial" w:hAnsi="Arial" w:cs="Arial"/>
          <w:sz w:val="24"/>
          <w:szCs w:val="24"/>
        </w:rPr>
        <w:t xml:space="preserve">. </w:t>
      </w:r>
    </w:p>
    <w:p w14:paraId="6A2A572E"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Kundu, J., </w:t>
      </w:r>
      <w:proofErr w:type="spellStart"/>
      <w:r w:rsidRPr="002B5902">
        <w:rPr>
          <w:rFonts w:ascii="Arial" w:hAnsi="Arial" w:cs="Arial"/>
          <w:sz w:val="24"/>
          <w:szCs w:val="24"/>
        </w:rPr>
        <w:t>Bishoi</w:t>
      </w:r>
      <w:proofErr w:type="spellEnd"/>
      <w:r w:rsidRPr="002B5902">
        <w:rPr>
          <w:rFonts w:ascii="Arial" w:hAnsi="Arial" w:cs="Arial"/>
          <w:sz w:val="24"/>
          <w:szCs w:val="24"/>
        </w:rPr>
        <w:t xml:space="preserve">, T.K., Bhattacharya, M. and Chowdhury, A., 2015. Project management software–an overview. International Journal of Current Innovation Research, 1(6), pp.129-135. </w:t>
      </w:r>
      <w:hyperlink r:id="rId35" w:history="1">
        <w:r w:rsidRPr="002B5902">
          <w:rPr>
            <w:rStyle w:val="Hyperlink"/>
            <w:rFonts w:ascii="Arial" w:hAnsi="Arial" w:cs="Arial"/>
            <w:sz w:val="24"/>
            <w:szCs w:val="24"/>
          </w:rPr>
          <w:t>https://www.academia.edu/download/109303198/00192.pdf</w:t>
        </w:r>
      </w:hyperlink>
      <w:r w:rsidRPr="002B5902">
        <w:rPr>
          <w:rFonts w:ascii="Arial" w:hAnsi="Arial" w:cs="Arial"/>
          <w:sz w:val="24"/>
          <w:szCs w:val="24"/>
        </w:rPr>
        <w:t xml:space="preserve"> </w:t>
      </w:r>
    </w:p>
    <w:p w14:paraId="755F806F" w14:textId="77777777" w:rsidR="004B565C" w:rsidRPr="002B5902" w:rsidRDefault="004B565C" w:rsidP="002B5902">
      <w:pPr>
        <w:numPr>
          <w:ilvl w:val="0"/>
          <w:numId w:val="20"/>
        </w:numPr>
        <w:spacing w:line="360" w:lineRule="auto"/>
        <w:jc w:val="both"/>
        <w:rPr>
          <w:rFonts w:ascii="Arial" w:hAnsi="Arial" w:cs="Arial"/>
          <w:sz w:val="24"/>
          <w:szCs w:val="24"/>
        </w:rPr>
      </w:pPr>
      <w:proofErr w:type="spellStart"/>
      <w:r w:rsidRPr="002B5902">
        <w:rPr>
          <w:rFonts w:ascii="Arial" w:hAnsi="Arial" w:cs="Arial"/>
          <w:sz w:val="24"/>
          <w:szCs w:val="24"/>
        </w:rPr>
        <w:t>Lockstone</w:t>
      </w:r>
      <w:proofErr w:type="spellEnd"/>
      <w:r w:rsidRPr="002B5902">
        <w:rPr>
          <w:rFonts w:ascii="Arial" w:hAnsi="Arial" w:cs="Arial"/>
          <w:sz w:val="24"/>
          <w:szCs w:val="24"/>
        </w:rPr>
        <w:t xml:space="preserve">-Binney, L., Hanlon, C., and Jago, L., 2020. Staffing for successful events. The Routledge Handbook of Events. </w:t>
      </w:r>
      <w:hyperlink r:id="rId36" w:history="1">
        <w:r w:rsidRPr="002B5902">
          <w:rPr>
            <w:rStyle w:val="Hyperlink"/>
            <w:rFonts w:ascii="Arial" w:hAnsi="Arial" w:cs="Arial"/>
            <w:sz w:val="24"/>
            <w:szCs w:val="24"/>
          </w:rPr>
          <w:t>https://doi.org/10.4324/9780429280993-27</w:t>
        </w:r>
      </w:hyperlink>
      <w:r w:rsidRPr="002B5902">
        <w:rPr>
          <w:rFonts w:ascii="Arial" w:hAnsi="Arial" w:cs="Arial"/>
          <w:sz w:val="24"/>
          <w:szCs w:val="24"/>
        </w:rPr>
        <w:t xml:space="preserve">. </w:t>
      </w:r>
    </w:p>
    <w:p w14:paraId="04C2A2EA" w14:textId="77777777" w:rsidR="004B565C" w:rsidRPr="002B5902" w:rsidRDefault="004B565C" w:rsidP="002B5902">
      <w:pPr>
        <w:numPr>
          <w:ilvl w:val="0"/>
          <w:numId w:val="20"/>
        </w:numPr>
        <w:spacing w:line="360" w:lineRule="auto"/>
        <w:jc w:val="both"/>
        <w:rPr>
          <w:rFonts w:ascii="Arial" w:hAnsi="Arial" w:cs="Arial"/>
          <w:sz w:val="24"/>
          <w:szCs w:val="24"/>
        </w:rPr>
      </w:pPr>
      <w:proofErr w:type="spellStart"/>
      <w:r w:rsidRPr="002B5902">
        <w:rPr>
          <w:rFonts w:ascii="Arial" w:hAnsi="Arial" w:cs="Arial"/>
          <w:sz w:val="24"/>
          <w:szCs w:val="24"/>
        </w:rPr>
        <w:t>Lukitasari</w:t>
      </w:r>
      <w:proofErr w:type="spellEnd"/>
      <w:r w:rsidRPr="002B5902">
        <w:rPr>
          <w:rFonts w:ascii="Arial" w:hAnsi="Arial" w:cs="Arial"/>
          <w:sz w:val="24"/>
          <w:szCs w:val="24"/>
        </w:rPr>
        <w:t xml:space="preserve">, R., Dewi, N., and </w:t>
      </w:r>
      <w:proofErr w:type="spellStart"/>
      <w:r w:rsidRPr="002B5902">
        <w:rPr>
          <w:rFonts w:ascii="Arial" w:hAnsi="Arial" w:cs="Arial"/>
          <w:sz w:val="24"/>
          <w:szCs w:val="24"/>
        </w:rPr>
        <w:t>Lumanauw</w:t>
      </w:r>
      <w:proofErr w:type="spellEnd"/>
      <w:r w:rsidRPr="002B5902">
        <w:rPr>
          <w:rFonts w:ascii="Arial" w:hAnsi="Arial" w:cs="Arial"/>
          <w:sz w:val="24"/>
          <w:szCs w:val="24"/>
        </w:rPr>
        <w:t xml:space="preserve">, N., 2023. Event Marketing Strategy During </w:t>
      </w:r>
      <w:proofErr w:type="gramStart"/>
      <w:r w:rsidRPr="002B5902">
        <w:rPr>
          <w:rFonts w:ascii="Arial" w:hAnsi="Arial" w:cs="Arial"/>
          <w:sz w:val="24"/>
          <w:szCs w:val="24"/>
        </w:rPr>
        <w:t>The</w:t>
      </w:r>
      <w:proofErr w:type="gramEnd"/>
      <w:r w:rsidRPr="002B5902">
        <w:rPr>
          <w:rFonts w:ascii="Arial" w:hAnsi="Arial" w:cs="Arial"/>
          <w:sz w:val="24"/>
          <w:szCs w:val="24"/>
        </w:rPr>
        <w:t xml:space="preserve"> Pandemic Crisis: Case Study Of The Westin Resort And Spa </w:t>
      </w:r>
      <w:proofErr w:type="spellStart"/>
      <w:r w:rsidRPr="002B5902">
        <w:rPr>
          <w:rFonts w:ascii="Arial" w:hAnsi="Arial" w:cs="Arial"/>
          <w:sz w:val="24"/>
          <w:szCs w:val="24"/>
        </w:rPr>
        <w:t>Ubud</w:t>
      </w:r>
      <w:proofErr w:type="spellEnd"/>
      <w:r w:rsidRPr="002B5902">
        <w:rPr>
          <w:rFonts w:ascii="Arial" w:hAnsi="Arial" w:cs="Arial"/>
          <w:sz w:val="24"/>
          <w:szCs w:val="24"/>
        </w:rPr>
        <w:t>-Bali. </w:t>
      </w:r>
      <w:proofErr w:type="gramStart"/>
      <w:r w:rsidRPr="002B5902">
        <w:rPr>
          <w:rFonts w:ascii="Arial" w:hAnsi="Arial" w:cs="Arial"/>
          <w:sz w:val="24"/>
          <w:szCs w:val="24"/>
        </w:rPr>
        <w:t>Journey :</w:t>
      </w:r>
      <w:proofErr w:type="gramEnd"/>
      <w:r w:rsidRPr="002B5902">
        <w:rPr>
          <w:rFonts w:ascii="Arial" w:hAnsi="Arial" w:cs="Arial"/>
          <w:sz w:val="24"/>
          <w:szCs w:val="24"/>
        </w:rPr>
        <w:t xml:space="preserve"> Journal of </w:t>
      </w:r>
      <w:proofErr w:type="spellStart"/>
      <w:r w:rsidRPr="002B5902">
        <w:rPr>
          <w:rFonts w:ascii="Arial" w:hAnsi="Arial" w:cs="Arial"/>
          <w:sz w:val="24"/>
          <w:szCs w:val="24"/>
        </w:rPr>
        <w:t>Tourismpreneurship</w:t>
      </w:r>
      <w:proofErr w:type="spellEnd"/>
      <w:r w:rsidRPr="002B5902">
        <w:rPr>
          <w:rFonts w:ascii="Arial" w:hAnsi="Arial" w:cs="Arial"/>
          <w:sz w:val="24"/>
          <w:szCs w:val="24"/>
        </w:rPr>
        <w:t xml:space="preserve">, Culinary, Hospitality, Convention and Event Management. </w:t>
      </w:r>
      <w:hyperlink r:id="rId37" w:history="1">
        <w:r w:rsidRPr="002B5902">
          <w:rPr>
            <w:rStyle w:val="Hyperlink"/>
            <w:rFonts w:ascii="Arial" w:hAnsi="Arial" w:cs="Arial"/>
            <w:sz w:val="24"/>
            <w:szCs w:val="24"/>
          </w:rPr>
          <w:t>https://doi.org/10.46837/journey.v6i2.119</w:t>
        </w:r>
      </w:hyperlink>
      <w:r w:rsidRPr="002B5902">
        <w:rPr>
          <w:rFonts w:ascii="Arial" w:hAnsi="Arial" w:cs="Arial"/>
          <w:sz w:val="24"/>
          <w:szCs w:val="24"/>
        </w:rPr>
        <w:t xml:space="preserve">. </w:t>
      </w:r>
    </w:p>
    <w:p w14:paraId="39F09C89"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Majka, M., 2024. Mastering Root Cause Analysis with the 5 Whys Method. </w:t>
      </w:r>
      <w:hyperlink r:id="rId38" w:history="1">
        <w:r w:rsidRPr="002B5902">
          <w:rPr>
            <w:rStyle w:val="Hyperlink"/>
            <w:rFonts w:ascii="Arial" w:hAnsi="Arial" w:cs="Arial"/>
            <w:sz w:val="24"/>
            <w:szCs w:val="24"/>
          </w:rPr>
          <w:t>https://www.researchgate.net/profile/Marcin-Majka-2/publication/385047019_Mastering_Root_Cause_Analysis_with_the_5_Whys_Method/links/6712e8cc68ac3041499f1ca4/Mastering-Root-Cause-Analysis-with-the-5-Whys-Method.pdf</w:t>
        </w:r>
      </w:hyperlink>
      <w:r w:rsidRPr="002B5902">
        <w:rPr>
          <w:rFonts w:ascii="Arial" w:hAnsi="Arial" w:cs="Arial"/>
          <w:sz w:val="24"/>
          <w:szCs w:val="24"/>
        </w:rPr>
        <w:t xml:space="preserve"> </w:t>
      </w:r>
    </w:p>
    <w:p w14:paraId="5EB21014"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Mallen, C., and Adams, L.J., 2017. Event Management in Sport, Recreation and Tourism: Theoretical and Practical Dimensions (3rd ed.). Routledge. </w:t>
      </w:r>
      <w:hyperlink r:id="rId39" w:history="1">
        <w:r w:rsidRPr="002B5902">
          <w:rPr>
            <w:rStyle w:val="Hyperlink"/>
            <w:rFonts w:ascii="Arial" w:hAnsi="Arial" w:cs="Arial"/>
            <w:sz w:val="24"/>
            <w:szCs w:val="24"/>
          </w:rPr>
          <w:t>https://doi.org/10.4324/9781315306155</w:t>
        </w:r>
      </w:hyperlink>
      <w:r w:rsidRPr="002B5902">
        <w:rPr>
          <w:rFonts w:ascii="Arial" w:hAnsi="Arial" w:cs="Arial"/>
          <w:sz w:val="24"/>
          <w:szCs w:val="24"/>
        </w:rPr>
        <w:t xml:space="preserve"> </w:t>
      </w:r>
    </w:p>
    <w:p w14:paraId="701FC713"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lastRenderedPageBreak/>
        <w:t xml:space="preserve">Miller, R., and </w:t>
      </w:r>
      <w:proofErr w:type="spellStart"/>
      <w:r w:rsidRPr="002B5902">
        <w:rPr>
          <w:rFonts w:ascii="Arial" w:hAnsi="Arial" w:cs="Arial"/>
          <w:sz w:val="24"/>
          <w:szCs w:val="24"/>
        </w:rPr>
        <w:t>Maellaro</w:t>
      </w:r>
      <w:proofErr w:type="spellEnd"/>
      <w:r w:rsidRPr="002B5902">
        <w:rPr>
          <w:rFonts w:ascii="Arial" w:hAnsi="Arial" w:cs="Arial"/>
          <w:sz w:val="24"/>
          <w:szCs w:val="24"/>
        </w:rPr>
        <w:t xml:space="preserve">, R., 2016. Getting to the Root of the Problem in Experiential Learning. Journal of Management Education, 40, pp. 170 - 193. </w:t>
      </w:r>
      <w:hyperlink r:id="rId40" w:history="1">
        <w:r w:rsidRPr="002B5902">
          <w:rPr>
            <w:rStyle w:val="Hyperlink"/>
            <w:rFonts w:ascii="Arial" w:hAnsi="Arial" w:cs="Arial"/>
            <w:sz w:val="24"/>
            <w:szCs w:val="24"/>
          </w:rPr>
          <w:t>https://doi.org/10.1177/1052562915623822</w:t>
        </w:r>
      </w:hyperlink>
      <w:r w:rsidRPr="002B5902">
        <w:rPr>
          <w:rFonts w:ascii="Arial" w:hAnsi="Arial" w:cs="Arial"/>
          <w:sz w:val="24"/>
          <w:szCs w:val="24"/>
        </w:rPr>
        <w:t xml:space="preserve">. </w:t>
      </w:r>
    </w:p>
    <w:p w14:paraId="0E250EC1" w14:textId="77777777" w:rsidR="004B565C" w:rsidRPr="002B5902" w:rsidRDefault="004B565C" w:rsidP="002B5902">
      <w:pPr>
        <w:numPr>
          <w:ilvl w:val="0"/>
          <w:numId w:val="20"/>
        </w:numPr>
        <w:spacing w:line="360" w:lineRule="auto"/>
        <w:jc w:val="both"/>
        <w:rPr>
          <w:rFonts w:ascii="Arial" w:hAnsi="Arial" w:cs="Arial"/>
          <w:sz w:val="24"/>
          <w:szCs w:val="24"/>
        </w:rPr>
      </w:pPr>
      <w:proofErr w:type="spellStart"/>
      <w:r w:rsidRPr="002B5902">
        <w:rPr>
          <w:rFonts w:ascii="Arial" w:hAnsi="Arial" w:cs="Arial"/>
          <w:sz w:val="24"/>
          <w:szCs w:val="24"/>
        </w:rPr>
        <w:t>Mongkhonvanit</w:t>
      </w:r>
      <w:proofErr w:type="spellEnd"/>
      <w:r w:rsidRPr="002B5902">
        <w:rPr>
          <w:rFonts w:ascii="Arial" w:hAnsi="Arial" w:cs="Arial"/>
          <w:sz w:val="24"/>
          <w:szCs w:val="24"/>
        </w:rPr>
        <w:t xml:space="preserve">, C. and </w:t>
      </w:r>
      <w:proofErr w:type="spellStart"/>
      <w:r w:rsidRPr="002B5902">
        <w:rPr>
          <w:rFonts w:ascii="Arial" w:hAnsi="Arial" w:cs="Arial"/>
          <w:sz w:val="24"/>
          <w:szCs w:val="24"/>
        </w:rPr>
        <w:t>Chattiwong</w:t>
      </w:r>
      <w:proofErr w:type="spellEnd"/>
      <w:r w:rsidRPr="002B5902">
        <w:rPr>
          <w:rFonts w:ascii="Arial" w:hAnsi="Arial" w:cs="Arial"/>
          <w:sz w:val="24"/>
          <w:szCs w:val="24"/>
        </w:rPr>
        <w:t xml:space="preserve">, R., 2017. “Desirable Attributes of Personnel in the MICE Industry”, WMS Journal of Management, 6(2), pp. 41–50. Available at: </w:t>
      </w:r>
      <w:hyperlink r:id="rId41" w:history="1">
        <w:r w:rsidRPr="002B5902">
          <w:rPr>
            <w:rStyle w:val="Hyperlink"/>
            <w:rFonts w:ascii="Arial" w:hAnsi="Arial" w:cs="Arial"/>
            <w:sz w:val="24"/>
            <w:szCs w:val="24"/>
          </w:rPr>
          <w:t>https://so06.tci-thaijo.org/index.php/wms/article/view/86312</w:t>
        </w:r>
      </w:hyperlink>
      <w:r w:rsidRPr="002B5902">
        <w:rPr>
          <w:rFonts w:ascii="Arial" w:hAnsi="Arial" w:cs="Arial"/>
          <w:sz w:val="24"/>
          <w:szCs w:val="24"/>
        </w:rPr>
        <w:t xml:space="preserve"> </w:t>
      </w:r>
    </w:p>
    <w:p w14:paraId="3EB3B67D"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Nolan, E., 2020. The supply and design of different types of venues for business events. </w:t>
      </w:r>
      <w:hyperlink r:id="rId42" w:history="1">
        <w:r w:rsidRPr="002B5902">
          <w:rPr>
            <w:rStyle w:val="Hyperlink"/>
            <w:rFonts w:ascii="Arial" w:hAnsi="Arial" w:cs="Arial"/>
            <w:sz w:val="24"/>
            <w:szCs w:val="24"/>
          </w:rPr>
          <w:t>https://www.proquest.com/scholarly-journals/supply-design-different-types-venues-business/docview/2499019479/se-2?accountid=130472</w:t>
        </w:r>
      </w:hyperlink>
      <w:r w:rsidRPr="002B5902">
        <w:rPr>
          <w:rFonts w:ascii="Arial" w:hAnsi="Arial" w:cs="Arial"/>
          <w:sz w:val="24"/>
          <w:szCs w:val="24"/>
        </w:rPr>
        <w:t xml:space="preserve"> </w:t>
      </w:r>
    </w:p>
    <w:p w14:paraId="0F6CB1FB"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Ong, H., Wang, C., and Zainon, N., 2016. Integrated Earned Value Gantt Chart (EV-Gantt) Tool for Project Portfolio Planning and Monitoring Optimization. Engineering Management Journal, 28, pp. 39 - 53. </w:t>
      </w:r>
      <w:hyperlink r:id="rId43" w:history="1">
        <w:r w:rsidRPr="002B5902">
          <w:rPr>
            <w:rStyle w:val="Hyperlink"/>
            <w:rFonts w:ascii="Arial" w:hAnsi="Arial" w:cs="Arial"/>
            <w:sz w:val="24"/>
            <w:szCs w:val="24"/>
          </w:rPr>
          <w:t>https://doi.org/10.1080/10429247.2015.1135033</w:t>
        </w:r>
      </w:hyperlink>
      <w:r w:rsidRPr="002B5902">
        <w:rPr>
          <w:rFonts w:ascii="Arial" w:hAnsi="Arial" w:cs="Arial"/>
          <w:sz w:val="24"/>
          <w:szCs w:val="24"/>
        </w:rPr>
        <w:t xml:space="preserve">. </w:t>
      </w:r>
    </w:p>
    <w:p w14:paraId="57F4921F"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Padron, T., and Stone, M., 2019. Leadership Skills in Event Management Courses. Event Management, 23, pp. 927-937. </w:t>
      </w:r>
      <w:hyperlink r:id="rId44" w:history="1">
        <w:r w:rsidRPr="002B5902">
          <w:rPr>
            <w:rStyle w:val="Hyperlink"/>
            <w:rFonts w:ascii="Arial" w:hAnsi="Arial" w:cs="Arial"/>
            <w:sz w:val="24"/>
            <w:szCs w:val="24"/>
          </w:rPr>
          <w:t>https://doi.org/10.3727/152599518X15403853721321</w:t>
        </w:r>
      </w:hyperlink>
      <w:r w:rsidRPr="002B5902">
        <w:rPr>
          <w:rFonts w:ascii="Arial" w:hAnsi="Arial" w:cs="Arial"/>
          <w:sz w:val="24"/>
          <w:szCs w:val="24"/>
        </w:rPr>
        <w:t xml:space="preserve">. </w:t>
      </w:r>
    </w:p>
    <w:p w14:paraId="5C9681FB"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Pakarinen, T. and Hoods, J., 2018. From hybrid events to the next generation-interactive virtual events: Viewed from three different stakeholders’ point of view. </w:t>
      </w:r>
      <w:hyperlink r:id="rId45" w:history="1">
        <w:r w:rsidRPr="002B5902">
          <w:rPr>
            <w:rStyle w:val="Hyperlink"/>
            <w:rFonts w:ascii="Arial" w:hAnsi="Arial" w:cs="Arial"/>
            <w:sz w:val="24"/>
            <w:szCs w:val="24"/>
          </w:rPr>
          <w:t>https://urn.fi/URN:NBN:fi:amk-201805046564</w:t>
        </w:r>
      </w:hyperlink>
      <w:r w:rsidRPr="002B5902">
        <w:rPr>
          <w:rFonts w:ascii="Arial" w:hAnsi="Arial" w:cs="Arial"/>
          <w:sz w:val="24"/>
          <w:szCs w:val="24"/>
        </w:rPr>
        <w:t xml:space="preserve"> </w:t>
      </w:r>
    </w:p>
    <w:p w14:paraId="15056868"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Paul, J., and Mas, E., 2019. Toward a 7-P framework for international marketing. Journal of Strategic Marketing, 28, pp. 681 - 701. </w:t>
      </w:r>
      <w:hyperlink r:id="rId46" w:history="1">
        <w:r w:rsidRPr="002B5902">
          <w:rPr>
            <w:rStyle w:val="Hyperlink"/>
            <w:rFonts w:ascii="Arial" w:hAnsi="Arial" w:cs="Arial"/>
            <w:sz w:val="24"/>
            <w:szCs w:val="24"/>
          </w:rPr>
          <w:t>https://doi.org/10.1080/0965254X.2019.1569111</w:t>
        </w:r>
      </w:hyperlink>
      <w:r w:rsidRPr="002B5902">
        <w:rPr>
          <w:rFonts w:ascii="Arial" w:hAnsi="Arial" w:cs="Arial"/>
          <w:sz w:val="24"/>
          <w:szCs w:val="24"/>
        </w:rPr>
        <w:t xml:space="preserve">. </w:t>
      </w:r>
    </w:p>
    <w:p w14:paraId="0B8318AE" w14:textId="0283C231" w:rsidR="004B565C" w:rsidRPr="002B5902" w:rsidRDefault="004B565C" w:rsidP="009E7436">
      <w:pPr>
        <w:spacing w:line="360" w:lineRule="auto"/>
        <w:ind w:left="720"/>
        <w:jc w:val="both"/>
        <w:rPr>
          <w:rFonts w:ascii="Arial" w:hAnsi="Arial" w:cs="Arial"/>
          <w:sz w:val="24"/>
          <w:szCs w:val="24"/>
        </w:rPr>
      </w:pPr>
    </w:p>
    <w:p w14:paraId="3F5675D8" w14:textId="77777777" w:rsidR="004B565C" w:rsidRPr="002B5902" w:rsidRDefault="004B565C" w:rsidP="002B5902">
      <w:pPr>
        <w:numPr>
          <w:ilvl w:val="0"/>
          <w:numId w:val="20"/>
        </w:numPr>
        <w:spacing w:line="360" w:lineRule="auto"/>
        <w:jc w:val="both"/>
        <w:rPr>
          <w:rFonts w:ascii="Arial" w:hAnsi="Arial" w:cs="Arial"/>
          <w:sz w:val="24"/>
          <w:szCs w:val="24"/>
        </w:rPr>
      </w:pPr>
      <w:proofErr w:type="spellStart"/>
      <w:r w:rsidRPr="002B5902">
        <w:rPr>
          <w:rFonts w:ascii="Arial" w:hAnsi="Arial" w:cs="Arial"/>
          <w:sz w:val="24"/>
          <w:szCs w:val="24"/>
        </w:rPr>
        <w:t>Ramely</w:t>
      </w:r>
      <w:proofErr w:type="spellEnd"/>
      <w:r w:rsidRPr="002B5902">
        <w:rPr>
          <w:rFonts w:ascii="Arial" w:hAnsi="Arial" w:cs="Arial"/>
          <w:sz w:val="24"/>
          <w:szCs w:val="24"/>
        </w:rPr>
        <w:t xml:space="preserve">, A., Mustafa, E., Sin, F.Y. and Yusof, N.A.M., 2024. A SYSTEMATIC REVIEW ON COMMON CRISES IN THE EVENT BUSINESS. Journal of Event, Tourism and Hospitality Studies, 4, pp.30-46. </w:t>
      </w:r>
      <w:hyperlink r:id="rId47" w:history="1">
        <w:r w:rsidRPr="002B5902">
          <w:rPr>
            <w:rStyle w:val="Hyperlink"/>
            <w:rFonts w:ascii="Arial" w:hAnsi="Arial" w:cs="Arial"/>
            <w:sz w:val="24"/>
            <w:szCs w:val="24"/>
          </w:rPr>
          <w:t>https://e-journal.uum.edu.my/index.php/jeth/article/download/22335/4410</w:t>
        </w:r>
      </w:hyperlink>
      <w:r w:rsidRPr="002B5902">
        <w:rPr>
          <w:rFonts w:ascii="Arial" w:hAnsi="Arial" w:cs="Arial"/>
          <w:sz w:val="24"/>
          <w:szCs w:val="24"/>
        </w:rPr>
        <w:t xml:space="preserve"> </w:t>
      </w:r>
    </w:p>
    <w:p w14:paraId="72F3C6DE"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lastRenderedPageBreak/>
        <w:t xml:space="preserve">Rosenkrantz, A., Lawson, K., Ally, R., Chen, D., </w:t>
      </w:r>
      <w:proofErr w:type="spellStart"/>
      <w:r w:rsidRPr="002B5902">
        <w:rPr>
          <w:rFonts w:ascii="Arial" w:hAnsi="Arial" w:cs="Arial"/>
          <w:sz w:val="24"/>
          <w:szCs w:val="24"/>
        </w:rPr>
        <w:t>Donno</w:t>
      </w:r>
      <w:proofErr w:type="spellEnd"/>
      <w:r w:rsidRPr="002B5902">
        <w:rPr>
          <w:rFonts w:ascii="Arial" w:hAnsi="Arial" w:cs="Arial"/>
          <w:sz w:val="24"/>
          <w:szCs w:val="24"/>
        </w:rPr>
        <w:t xml:space="preserve">, F., Rittberg, S., Rodríguez, J., and Recht, M., 2015. Focused process improvement events: sustainability of impact on process and performance in an academic radiology </w:t>
      </w:r>
      <w:proofErr w:type="gramStart"/>
      <w:r w:rsidRPr="002B5902">
        <w:rPr>
          <w:rFonts w:ascii="Arial" w:hAnsi="Arial" w:cs="Arial"/>
          <w:sz w:val="24"/>
          <w:szCs w:val="24"/>
        </w:rPr>
        <w:t>department..</w:t>
      </w:r>
      <w:proofErr w:type="gramEnd"/>
      <w:r w:rsidRPr="002B5902">
        <w:rPr>
          <w:rFonts w:ascii="Arial" w:hAnsi="Arial" w:cs="Arial"/>
          <w:sz w:val="24"/>
          <w:szCs w:val="24"/>
        </w:rPr>
        <w:t xml:space="preserve"> Journal of the American College of </w:t>
      </w:r>
      <w:proofErr w:type="gramStart"/>
      <w:r w:rsidRPr="002B5902">
        <w:rPr>
          <w:rFonts w:ascii="Arial" w:hAnsi="Arial" w:cs="Arial"/>
          <w:sz w:val="24"/>
          <w:szCs w:val="24"/>
        </w:rPr>
        <w:t>Radiology :</w:t>
      </w:r>
      <w:proofErr w:type="gramEnd"/>
      <w:r w:rsidRPr="002B5902">
        <w:rPr>
          <w:rFonts w:ascii="Arial" w:hAnsi="Arial" w:cs="Arial"/>
          <w:sz w:val="24"/>
          <w:szCs w:val="24"/>
        </w:rPr>
        <w:t xml:space="preserve"> JACR, 12 1, pp. 75-81 . </w:t>
      </w:r>
      <w:hyperlink r:id="rId48" w:history="1">
        <w:r w:rsidRPr="002B5902">
          <w:rPr>
            <w:rStyle w:val="Hyperlink"/>
            <w:rFonts w:ascii="Arial" w:hAnsi="Arial" w:cs="Arial"/>
            <w:sz w:val="24"/>
            <w:szCs w:val="24"/>
          </w:rPr>
          <w:t>https://doi.org/10.1016/j.jacr.2014.08.016</w:t>
        </w:r>
      </w:hyperlink>
      <w:r w:rsidRPr="002B5902">
        <w:rPr>
          <w:rFonts w:ascii="Arial" w:hAnsi="Arial" w:cs="Arial"/>
          <w:sz w:val="24"/>
          <w:szCs w:val="24"/>
        </w:rPr>
        <w:t xml:space="preserve"> </w:t>
      </w:r>
    </w:p>
    <w:p w14:paraId="0D2125F7"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Salama, M., 2021. Event project management: principles, technology and innovation. Oxford: Goodfellow Publishers. </w:t>
      </w:r>
      <w:hyperlink r:id="rId49" w:history="1">
        <w:r w:rsidRPr="002B5902">
          <w:rPr>
            <w:rStyle w:val="Hyperlink"/>
            <w:rFonts w:ascii="Arial" w:hAnsi="Arial" w:cs="Arial"/>
            <w:sz w:val="24"/>
            <w:szCs w:val="24"/>
          </w:rPr>
          <w:t>https://librarysearch.uwtsd.ac.uk/permalink/44WHELF_UWTSD/upgrip/alma99100509002002421</w:t>
        </w:r>
      </w:hyperlink>
      <w:r w:rsidRPr="002B5902">
        <w:rPr>
          <w:rFonts w:ascii="Arial" w:hAnsi="Arial" w:cs="Arial"/>
          <w:sz w:val="24"/>
          <w:szCs w:val="24"/>
        </w:rPr>
        <w:t xml:space="preserve"> </w:t>
      </w:r>
    </w:p>
    <w:p w14:paraId="4BBA3D30"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Scott, K., 2017. An Integrative Framework for Problem-Based Learning and Action Learning. Human Resource Development Review, 16, pp. 3 - 34. </w:t>
      </w:r>
      <w:hyperlink r:id="rId50" w:history="1">
        <w:r w:rsidRPr="002B5902">
          <w:rPr>
            <w:rStyle w:val="Hyperlink"/>
            <w:rFonts w:ascii="Arial" w:hAnsi="Arial" w:cs="Arial"/>
            <w:sz w:val="24"/>
            <w:szCs w:val="24"/>
          </w:rPr>
          <w:t>https://doi.org/10.1177/1534484317693090</w:t>
        </w:r>
      </w:hyperlink>
      <w:r w:rsidRPr="002B5902">
        <w:rPr>
          <w:rFonts w:ascii="Arial" w:hAnsi="Arial" w:cs="Arial"/>
          <w:sz w:val="24"/>
          <w:szCs w:val="24"/>
        </w:rPr>
        <w:t xml:space="preserve">. </w:t>
      </w:r>
    </w:p>
    <w:p w14:paraId="42CA26B7"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lang w:val="de-DE"/>
        </w:rPr>
        <w:t>Sillmann, J., Shepherd, T.G., van den Hurk, B., Hazeleger, W., Martius, O., Slingo, J. and Zscheischler, J., 2021. </w:t>
      </w:r>
      <w:r w:rsidRPr="002B5902">
        <w:rPr>
          <w:rFonts w:ascii="Arial" w:hAnsi="Arial" w:cs="Arial"/>
          <w:sz w:val="24"/>
          <w:szCs w:val="24"/>
        </w:rPr>
        <w:t>Event-based storylines to address climate risk, Earth’s Future, 9,  </w:t>
      </w:r>
      <w:hyperlink r:id="rId51" w:history="1">
        <w:r w:rsidRPr="002B5902">
          <w:rPr>
            <w:rStyle w:val="Hyperlink"/>
            <w:rFonts w:ascii="Arial" w:hAnsi="Arial" w:cs="Arial"/>
            <w:sz w:val="24"/>
            <w:szCs w:val="24"/>
          </w:rPr>
          <w:t>https://doi.org/10.1029/2020EF001783</w:t>
        </w:r>
      </w:hyperlink>
      <w:r w:rsidRPr="002B5902">
        <w:rPr>
          <w:rFonts w:ascii="Arial" w:hAnsi="Arial" w:cs="Arial"/>
          <w:sz w:val="24"/>
          <w:szCs w:val="24"/>
        </w:rPr>
        <w:t xml:space="preserve"> </w:t>
      </w:r>
    </w:p>
    <w:p w14:paraId="603C10DF"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Silvers, J.R., 2007. The Event Management Body of Knowledge (EMBOK). International EMBOK Executive. </w:t>
      </w:r>
      <w:hyperlink r:id="rId52" w:history="1">
        <w:r w:rsidRPr="002B5902">
          <w:rPr>
            <w:rStyle w:val="Hyperlink"/>
            <w:rFonts w:ascii="Arial" w:hAnsi="Arial" w:cs="Arial"/>
            <w:sz w:val="24"/>
            <w:szCs w:val="24"/>
          </w:rPr>
          <w:t>Event Management Body of Knowledge Project</w:t>
        </w:r>
      </w:hyperlink>
    </w:p>
    <w:p w14:paraId="7B602568"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Sugden, D., 1968. The Selectivity of Glacial Erosion in the Cairngorm Mountains, Scotland. Transactions of the Institute of British Geographers, pp. 79. </w:t>
      </w:r>
      <w:hyperlink r:id="rId53" w:history="1">
        <w:r w:rsidRPr="002B5902">
          <w:rPr>
            <w:rStyle w:val="Hyperlink"/>
            <w:rFonts w:ascii="Arial" w:hAnsi="Arial" w:cs="Arial"/>
            <w:sz w:val="24"/>
            <w:szCs w:val="24"/>
          </w:rPr>
          <w:t>https://doi.org/10.2307/621394</w:t>
        </w:r>
      </w:hyperlink>
      <w:r w:rsidRPr="002B5902">
        <w:rPr>
          <w:rFonts w:ascii="Arial" w:hAnsi="Arial" w:cs="Arial"/>
          <w:sz w:val="24"/>
          <w:szCs w:val="24"/>
        </w:rPr>
        <w:t xml:space="preserve">. </w:t>
      </w:r>
    </w:p>
    <w:p w14:paraId="3288044A"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Tang, C., and Jang, S., 2011. Weather risk management in ski resorts: Financial hedging and geographical diversification. International Journal of Hospitality Management, 30, pp. 301-311. </w:t>
      </w:r>
      <w:hyperlink r:id="rId54" w:history="1">
        <w:r w:rsidRPr="002B5902">
          <w:rPr>
            <w:rStyle w:val="Hyperlink"/>
            <w:rFonts w:ascii="Arial" w:hAnsi="Arial" w:cs="Arial"/>
            <w:sz w:val="24"/>
            <w:szCs w:val="24"/>
          </w:rPr>
          <w:t>https://doi.org/10.1016/J.IJHM.2010.09.012</w:t>
        </w:r>
      </w:hyperlink>
      <w:r w:rsidRPr="002B5902">
        <w:rPr>
          <w:rFonts w:ascii="Arial" w:hAnsi="Arial" w:cs="Arial"/>
          <w:sz w:val="24"/>
          <w:szCs w:val="24"/>
        </w:rPr>
        <w:t xml:space="preserve">. </w:t>
      </w:r>
    </w:p>
    <w:p w14:paraId="271947F4"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Verbos, R., and Brownlee, M., 2017. The Weather Dependency Framework (WDF): A tool for assessing the weather dependency of outdoor recreation activities</w:t>
      </w:r>
      <w:r w:rsidRPr="002B5902">
        <w:rPr>
          <w:rFonts w:ascii="Segoe UI Symbol" w:hAnsi="Segoe UI Symbol" w:cs="Segoe UI Symbol"/>
          <w:sz w:val="24"/>
          <w:szCs w:val="24"/>
        </w:rPr>
        <w:t>☆</w:t>
      </w:r>
      <w:r w:rsidRPr="002B5902">
        <w:rPr>
          <w:rFonts w:ascii="Arial" w:hAnsi="Arial" w:cs="Arial"/>
          <w:sz w:val="24"/>
          <w:szCs w:val="24"/>
        </w:rPr>
        <w:t xml:space="preserve">. Journal of outdoor recreation and tourism, 18, pp. 88-99. </w:t>
      </w:r>
      <w:hyperlink r:id="rId55" w:history="1">
        <w:r w:rsidRPr="002B5902">
          <w:rPr>
            <w:rStyle w:val="Hyperlink"/>
            <w:rFonts w:ascii="Arial" w:hAnsi="Arial" w:cs="Arial"/>
            <w:sz w:val="24"/>
            <w:szCs w:val="24"/>
          </w:rPr>
          <w:t>https://doi.org/10.1016/J.JORT.2017.02.005</w:t>
        </w:r>
      </w:hyperlink>
      <w:r w:rsidRPr="002B5902">
        <w:rPr>
          <w:rFonts w:ascii="Arial" w:hAnsi="Arial" w:cs="Arial"/>
          <w:sz w:val="24"/>
          <w:szCs w:val="24"/>
        </w:rPr>
        <w:t xml:space="preserve">. </w:t>
      </w:r>
    </w:p>
    <w:p w14:paraId="0FEA108B"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lang w:val="de-DE"/>
        </w:rPr>
        <w:lastRenderedPageBreak/>
        <w:t xml:space="preserve">Weinhofer, G., and Busch, T., 2013. </w:t>
      </w:r>
      <w:r w:rsidRPr="002B5902">
        <w:rPr>
          <w:rFonts w:ascii="Arial" w:hAnsi="Arial" w:cs="Arial"/>
          <w:sz w:val="24"/>
          <w:szCs w:val="24"/>
        </w:rPr>
        <w:t xml:space="preserve">Corporate Strategies for Managing Climate Risks. Business Strategy and The Environment, 22, pp. 121-144. </w:t>
      </w:r>
      <w:hyperlink r:id="rId56" w:history="1">
        <w:r w:rsidRPr="002B5902">
          <w:rPr>
            <w:rStyle w:val="Hyperlink"/>
            <w:rFonts w:ascii="Arial" w:hAnsi="Arial" w:cs="Arial"/>
            <w:sz w:val="24"/>
            <w:szCs w:val="24"/>
          </w:rPr>
          <w:t>https://doi.org/10.1002/BSE.1744</w:t>
        </w:r>
      </w:hyperlink>
      <w:r w:rsidRPr="002B5902">
        <w:rPr>
          <w:rFonts w:ascii="Arial" w:hAnsi="Arial" w:cs="Arial"/>
          <w:sz w:val="24"/>
          <w:szCs w:val="24"/>
        </w:rPr>
        <w:t xml:space="preserve">. </w:t>
      </w:r>
    </w:p>
    <w:p w14:paraId="2189611E"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Wieczorek-Kosmala, M., 2020. Weather Risk Management in Energy Sector: The Polish Case. Energies. </w:t>
      </w:r>
      <w:hyperlink r:id="rId57" w:history="1">
        <w:r w:rsidRPr="002B5902">
          <w:rPr>
            <w:rStyle w:val="Hyperlink"/>
            <w:rFonts w:ascii="Arial" w:hAnsi="Arial" w:cs="Arial"/>
            <w:sz w:val="24"/>
            <w:szCs w:val="24"/>
          </w:rPr>
          <w:t>https://doi.org/10.3390/en13040945</w:t>
        </w:r>
      </w:hyperlink>
      <w:r w:rsidRPr="002B5902">
        <w:rPr>
          <w:rFonts w:ascii="Arial" w:hAnsi="Arial" w:cs="Arial"/>
          <w:sz w:val="24"/>
          <w:szCs w:val="24"/>
        </w:rPr>
        <w:t xml:space="preserve">. </w:t>
      </w:r>
    </w:p>
    <w:p w14:paraId="2E5F6D5A"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rPr>
        <w:t xml:space="preserve">Yoon, T., and Wang, S., 2023. How Important Is Stakeholder Collaboration in the MICE Industry: Antecedents and Outcomes of Supply Chain Integration. Sustainability. </w:t>
      </w:r>
      <w:hyperlink r:id="rId58" w:history="1">
        <w:r w:rsidRPr="002B5902">
          <w:rPr>
            <w:rStyle w:val="Hyperlink"/>
            <w:rFonts w:ascii="Arial" w:hAnsi="Arial" w:cs="Arial"/>
            <w:sz w:val="24"/>
            <w:szCs w:val="24"/>
          </w:rPr>
          <w:t>https://doi.org/10.3390/su152014966</w:t>
        </w:r>
      </w:hyperlink>
      <w:r w:rsidRPr="002B5902">
        <w:rPr>
          <w:rFonts w:ascii="Arial" w:hAnsi="Arial" w:cs="Arial"/>
          <w:sz w:val="24"/>
          <w:szCs w:val="24"/>
        </w:rPr>
        <w:t xml:space="preserve">. </w:t>
      </w:r>
    </w:p>
    <w:p w14:paraId="1DF2EB0B" w14:textId="77777777" w:rsidR="004B565C" w:rsidRPr="002B5902" w:rsidRDefault="004B565C" w:rsidP="002B5902">
      <w:pPr>
        <w:numPr>
          <w:ilvl w:val="0"/>
          <w:numId w:val="20"/>
        </w:numPr>
        <w:spacing w:line="360" w:lineRule="auto"/>
        <w:jc w:val="both"/>
        <w:rPr>
          <w:rFonts w:ascii="Arial" w:hAnsi="Arial" w:cs="Arial"/>
          <w:sz w:val="24"/>
          <w:szCs w:val="24"/>
        </w:rPr>
      </w:pPr>
      <w:r w:rsidRPr="002B5902">
        <w:rPr>
          <w:rFonts w:ascii="Arial" w:hAnsi="Arial" w:cs="Arial"/>
          <w:sz w:val="24"/>
          <w:szCs w:val="24"/>
          <w:lang w:val="de-DE"/>
        </w:rPr>
        <w:t xml:space="preserve">Yuan, X., Wei, Y., Wang, B., and Mi, Z., 2017. </w:t>
      </w:r>
      <w:r w:rsidRPr="002B5902">
        <w:rPr>
          <w:rFonts w:ascii="Arial" w:hAnsi="Arial" w:cs="Arial"/>
          <w:sz w:val="24"/>
          <w:szCs w:val="24"/>
        </w:rPr>
        <w:t xml:space="preserve">Risk management of extreme events under climate change. Journal of Cleaner Production, 166, pp. 1169-1174. </w:t>
      </w:r>
      <w:hyperlink r:id="rId59" w:history="1">
        <w:r w:rsidRPr="002B5902">
          <w:rPr>
            <w:rStyle w:val="Hyperlink"/>
            <w:rFonts w:ascii="Arial" w:hAnsi="Arial" w:cs="Arial"/>
            <w:sz w:val="24"/>
            <w:szCs w:val="24"/>
          </w:rPr>
          <w:t>https://doi.org/10.1016/J.JCLEPRO.2017.07.209</w:t>
        </w:r>
      </w:hyperlink>
      <w:r w:rsidRPr="002B5902">
        <w:rPr>
          <w:rFonts w:ascii="Arial" w:hAnsi="Arial" w:cs="Arial"/>
          <w:sz w:val="24"/>
          <w:szCs w:val="24"/>
        </w:rPr>
        <w:t xml:space="preserve">. </w:t>
      </w:r>
    </w:p>
    <w:p w14:paraId="4429C132" w14:textId="77777777" w:rsidR="00E77AC3" w:rsidRPr="002B5902" w:rsidRDefault="00E77AC3" w:rsidP="002B5902">
      <w:pPr>
        <w:spacing w:line="360" w:lineRule="auto"/>
        <w:jc w:val="both"/>
        <w:rPr>
          <w:rFonts w:ascii="Arial" w:hAnsi="Arial" w:cs="Arial"/>
          <w:vanish/>
          <w:sz w:val="24"/>
          <w:szCs w:val="24"/>
        </w:rPr>
      </w:pPr>
    </w:p>
    <w:p w14:paraId="61EE0C9F" w14:textId="77777777" w:rsidR="00C276DA" w:rsidRPr="002B5902" w:rsidRDefault="00C276DA" w:rsidP="002B5902">
      <w:pPr>
        <w:spacing w:line="360" w:lineRule="auto"/>
        <w:jc w:val="both"/>
        <w:rPr>
          <w:rFonts w:ascii="Arial" w:hAnsi="Arial" w:cs="Arial"/>
          <w:vanish/>
          <w:sz w:val="24"/>
          <w:szCs w:val="24"/>
        </w:rPr>
      </w:pPr>
      <w:r w:rsidRPr="002B5902">
        <w:rPr>
          <w:rFonts w:ascii="Arial" w:hAnsi="Arial" w:cs="Arial"/>
          <w:vanish/>
          <w:sz w:val="24"/>
          <w:szCs w:val="24"/>
        </w:rPr>
        <w:t>Bottom of Form</w:t>
      </w:r>
    </w:p>
    <w:p w14:paraId="6A37DCCD" w14:textId="77777777" w:rsidR="00C276DA" w:rsidRPr="002B5902" w:rsidRDefault="00C276DA" w:rsidP="002B5902">
      <w:pPr>
        <w:spacing w:line="360" w:lineRule="auto"/>
        <w:jc w:val="both"/>
        <w:rPr>
          <w:rFonts w:ascii="Arial" w:hAnsi="Arial" w:cs="Arial"/>
          <w:sz w:val="24"/>
          <w:szCs w:val="24"/>
        </w:rPr>
      </w:pPr>
    </w:p>
    <w:sectPr w:rsidR="00C276DA" w:rsidRPr="002B5902" w:rsidSect="00AD4C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6DBB9D" w14:textId="77777777" w:rsidR="00093EB5" w:rsidRDefault="00093EB5" w:rsidP="00D65296">
      <w:pPr>
        <w:spacing w:after="0" w:line="240" w:lineRule="auto"/>
      </w:pPr>
      <w:r>
        <w:separator/>
      </w:r>
    </w:p>
  </w:endnote>
  <w:endnote w:type="continuationSeparator" w:id="0">
    <w:p w14:paraId="21C13FE1" w14:textId="77777777" w:rsidR="00093EB5" w:rsidRDefault="00093EB5" w:rsidP="00D65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A8DCF3" w14:textId="77777777" w:rsidR="00093EB5" w:rsidRDefault="00093EB5" w:rsidP="00D65296">
      <w:pPr>
        <w:spacing w:after="0" w:line="240" w:lineRule="auto"/>
      </w:pPr>
      <w:r>
        <w:separator/>
      </w:r>
    </w:p>
  </w:footnote>
  <w:footnote w:type="continuationSeparator" w:id="0">
    <w:p w14:paraId="00069E82" w14:textId="77777777" w:rsidR="00093EB5" w:rsidRDefault="00093EB5" w:rsidP="00D652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92377"/>
    <w:multiLevelType w:val="multilevel"/>
    <w:tmpl w:val="8E689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B14D5E"/>
    <w:multiLevelType w:val="multilevel"/>
    <w:tmpl w:val="A768E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456D7"/>
    <w:multiLevelType w:val="multilevel"/>
    <w:tmpl w:val="93E65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B42FAB"/>
    <w:multiLevelType w:val="multilevel"/>
    <w:tmpl w:val="BB1A6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D6316F"/>
    <w:multiLevelType w:val="multilevel"/>
    <w:tmpl w:val="5748C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637C3"/>
    <w:multiLevelType w:val="hybridMultilevel"/>
    <w:tmpl w:val="E5AA33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8FF7A89"/>
    <w:multiLevelType w:val="multilevel"/>
    <w:tmpl w:val="7D34C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CE1C08"/>
    <w:multiLevelType w:val="multilevel"/>
    <w:tmpl w:val="3F06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127699"/>
    <w:multiLevelType w:val="multilevel"/>
    <w:tmpl w:val="1990F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422FB6"/>
    <w:multiLevelType w:val="multilevel"/>
    <w:tmpl w:val="19509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632C5B"/>
    <w:multiLevelType w:val="multilevel"/>
    <w:tmpl w:val="C0FE7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A8743C"/>
    <w:multiLevelType w:val="multilevel"/>
    <w:tmpl w:val="F47CF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377D4A"/>
    <w:multiLevelType w:val="multilevel"/>
    <w:tmpl w:val="B0347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D317CB"/>
    <w:multiLevelType w:val="multilevel"/>
    <w:tmpl w:val="04C2F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F35E43"/>
    <w:multiLevelType w:val="multilevel"/>
    <w:tmpl w:val="061A79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4740F97"/>
    <w:multiLevelType w:val="multilevel"/>
    <w:tmpl w:val="80187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AA110B"/>
    <w:multiLevelType w:val="multilevel"/>
    <w:tmpl w:val="FB429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413776"/>
    <w:multiLevelType w:val="multilevel"/>
    <w:tmpl w:val="E146C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EE1316"/>
    <w:multiLevelType w:val="multilevel"/>
    <w:tmpl w:val="B0448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FA07BB"/>
    <w:multiLevelType w:val="multilevel"/>
    <w:tmpl w:val="64521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67337B"/>
    <w:multiLevelType w:val="multilevel"/>
    <w:tmpl w:val="8BD01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CE41D9"/>
    <w:multiLevelType w:val="multilevel"/>
    <w:tmpl w:val="E860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EE01EB"/>
    <w:multiLevelType w:val="multilevel"/>
    <w:tmpl w:val="72882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E50870"/>
    <w:multiLevelType w:val="multilevel"/>
    <w:tmpl w:val="D996D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CD3554"/>
    <w:multiLevelType w:val="multilevel"/>
    <w:tmpl w:val="11AE8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A57324D"/>
    <w:multiLevelType w:val="multilevel"/>
    <w:tmpl w:val="0428C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A95BC5"/>
    <w:multiLevelType w:val="multilevel"/>
    <w:tmpl w:val="D72C3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CD6779B"/>
    <w:multiLevelType w:val="multilevel"/>
    <w:tmpl w:val="822E7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D68556C"/>
    <w:multiLevelType w:val="multilevel"/>
    <w:tmpl w:val="C7C0B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0A175B"/>
    <w:multiLevelType w:val="multilevel"/>
    <w:tmpl w:val="5E185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C343A7"/>
    <w:multiLevelType w:val="multilevel"/>
    <w:tmpl w:val="5DA2A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6690134">
    <w:abstractNumId w:val="28"/>
  </w:num>
  <w:num w:numId="2" w16cid:durableId="1512138800">
    <w:abstractNumId w:val="15"/>
  </w:num>
  <w:num w:numId="3" w16cid:durableId="1795949320">
    <w:abstractNumId w:val="29"/>
  </w:num>
  <w:num w:numId="4" w16cid:durableId="1442186127">
    <w:abstractNumId w:val="25"/>
  </w:num>
  <w:num w:numId="5" w16cid:durableId="1072891373">
    <w:abstractNumId w:val="22"/>
  </w:num>
  <w:num w:numId="6" w16cid:durableId="63186585">
    <w:abstractNumId w:val="30"/>
  </w:num>
  <w:num w:numId="7" w16cid:durableId="1240477780">
    <w:abstractNumId w:val="20"/>
  </w:num>
  <w:num w:numId="8" w16cid:durableId="1256985652">
    <w:abstractNumId w:val="18"/>
  </w:num>
  <w:num w:numId="9" w16cid:durableId="96028174">
    <w:abstractNumId w:val="12"/>
  </w:num>
  <w:num w:numId="10" w16cid:durableId="304749068">
    <w:abstractNumId w:val="9"/>
  </w:num>
  <w:num w:numId="11" w16cid:durableId="677511525">
    <w:abstractNumId w:val="4"/>
  </w:num>
  <w:num w:numId="12" w16cid:durableId="1698461903">
    <w:abstractNumId w:val="13"/>
  </w:num>
  <w:num w:numId="13" w16cid:durableId="13041834">
    <w:abstractNumId w:val="23"/>
  </w:num>
  <w:num w:numId="14" w16cid:durableId="637763270">
    <w:abstractNumId w:val="3"/>
  </w:num>
  <w:num w:numId="15" w16cid:durableId="125321941">
    <w:abstractNumId w:val="17"/>
  </w:num>
  <w:num w:numId="16" w16cid:durableId="377974336">
    <w:abstractNumId w:val="6"/>
  </w:num>
  <w:num w:numId="17" w16cid:durableId="533620044">
    <w:abstractNumId w:val="19"/>
  </w:num>
  <w:num w:numId="18" w16cid:durableId="811948018">
    <w:abstractNumId w:val="7"/>
  </w:num>
  <w:num w:numId="19" w16cid:durableId="254361984">
    <w:abstractNumId w:val="2"/>
  </w:num>
  <w:num w:numId="20" w16cid:durableId="1934434993">
    <w:abstractNumId w:val="5"/>
  </w:num>
  <w:num w:numId="21" w16cid:durableId="1123765330">
    <w:abstractNumId w:val="10"/>
  </w:num>
  <w:num w:numId="22" w16cid:durableId="111020941">
    <w:abstractNumId w:val="21"/>
  </w:num>
  <w:num w:numId="23" w16cid:durableId="2065253166">
    <w:abstractNumId w:val="16"/>
  </w:num>
  <w:num w:numId="24" w16cid:durableId="496919975">
    <w:abstractNumId w:val="8"/>
  </w:num>
  <w:num w:numId="25" w16cid:durableId="2009936916">
    <w:abstractNumId w:val="1"/>
  </w:num>
  <w:num w:numId="26" w16cid:durableId="245266209">
    <w:abstractNumId w:val="11"/>
  </w:num>
  <w:num w:numId="27" w16cid:durableId="2028288517">
    <w:abstractNumId w:val="24"/>
  </w:num>
  <w:num w:numId="28" w16cid:durableId="64182651">
    <w:abstractNumId w:val="0"/>
  </w:num>
  <w:num w:numId="29" w16cid:durableId="1917013340">
    <w:abstractNumId w:val="26"/>
  </w:num>
  <w:num w:numId="30" w16cid:durableId="297152848">
    <w:abstractNumId w:val="27"/>
  </w:num>
  <w:num w:numId="31" w16cid:durableId="58893048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877"/>
    <w:rsid w:val="0000403C"/>
    <w:rsid w:val="00004A0D"/>
    <w:rsid w:val="00007F55"/>
    <w:rsid w:val="000100D7"/>
    <w:rsid w:val="000149AD"/>
    <w:rsid w:val="00021464"/>
    <w:rsid w:val="00027072"/>
    <w:rsid w:val="00030F1B"/>
    <w:rsid w:val="00045231"/>
    <w:rsid w:val="00062E02"/>
    <w:rsid w:val="00093EB5"/>
    <w:rsid w:val="000B64C4"/>
    <w:rsid w:val="000C22CB"/>
    <w:rsid w:val="000D2956"/>
    <w:rsid w:val="000D5D25"/>
    <w:rsid w:val="000F0908"/>
    <w:rsid w:val="00101DEC"/>
    <w:rsid w:val="00122900"/>
    <w:rsid w:val="00142FF8"/>
    <w:rsid w:val="001574A5"/>
    <w:rsid w:val="00170653"/>
    <w:rsid w:val="00177BF4"/>
    <w:rsid w:val="00184544"/>
    <w:rsid w:val="0018737B"/>
    <w:rsid w:val="0019184C"/>
    <w:rsid w:val="001958D0"/>
    <w:rsid w:val="001A460B"/>
    <w:rsid w:val="001B59C7"/>
    <w:rsid w:val="001C062C"/>
    <w:rsid w:val="001E1787"/>
    <w:rsid w:val="001F1A8C"/>
    <w:rsid w:val="002100DD"/>
    <w:rsid w:val="0022487C"/>
    <w:rsid w:val="0023116E"/>
    <w:rsid w:val="0023217C"/>
    <w:rsid w:val="00243482"/>
    <w:rsid w:val="00263A0E"/>
    <w:rsid w:val="00285E10"/>
    <w:rsid w:val="0029561E"/>
    <w:rsid w:val="002974D7"/>
    <w:rsid w:val="002A701D"/>
    <w:rsid w:val="002B5902"/>
    <w:rsid w:val="002D0FDA"/>
    <w:rsid w:val="002D1584"/>
    <w:rsid w:val="002D71F3"/>
    <w:rsid w:val="002E46BB"/>
    <w:rsid w:val="002F0F63"/>
    <w:rsid w:val="002F4BE6"/>
    <w:rsid w:val="00303B10"/>
    <w:rsid w:val="00305CE5"/>
    <w:rsid w:val="003220B8"/>
    <w:rsid w:val="003257B9"/>
    <w:rsid w:val="00331D5D"/>
    <w:rsid w:val="0039154A"/>
    <w:rsid w:val="003C0A7E"/>
    <w:rsid w:val="003C3DF3"/>
    <w:rsid w:val="003D7382"/>
    <w:rsid w:val="003E04EE"/>
    <w:rsid w:val="003E7F80"/>
    <w:rsid w:val="003F3C87"/>
    <w:rsid w:val="004108B1"/>
    <w:rsid w:val="00412293"/>
    <w:rsid w:val="004140B7"/>
    <w:rsid w:val="00415398"/>
    <w:rsid w:val="004229E7"/>
    <w:rsid w:val="00426353"/>
    <w:rsid w:val="0043569A"/>
    <w:rsid w:val="004359C7"/>
    <w:rsid w:val="00452F48"/>
    <w:rsid w:val="004559DD"/>
    <w:rsid w:val="00471BE8"/>
    <w:rsid w:val="00487E6E"/>
    <w:rsid w:val="004A0622"/>
    <w:rsid w:val="004A1A69"/>
    <w:rsid w:val="004B3751"/>
    <w:rsid w:val="004B565C"/>
    <w:rsid w:val="004B74F7"/>
    <w:rsid w:val="004C0085"/>
    <w:rsid w:val="0050640B"/>
    <w:rsid w:val="005238F6"/>
    <w:rsid w:val="005454F8"/>
    <w:rsid w:val="0056643F"/>
    <w:rsid w:val="005667F9"/>
    <w:rsid w:val="00566F27"/>
    <w:rsid w:val="00571C3B"/>
    <w:rsid w:val="0057238B"/>
    <w:rsid w:val="00584D93"/>
    <w:rsid w:val="00585495"/>
    <w:rsid w:val="005B0F27"/>
    <w:rsid w:val="005C330C"/>
    <w:rsid w:val="005D1642"/>
    <w:rsid w:val="005D2166"/>
    <w:rsid w:val="005D749E"/>
    <w:rsid w:val="005D7D08"/>
    <w:rsid w:val="00631877"/>
    <w:rsid w:val="0065376E"/>
    <w:rsid w:val="006709A1"/>
    <w:rsid w:val="00671CFF"/>
    <w:rsid w:val="006A4B2D"/>
    <w:rsid w:val="006B0F12"/>
    <w:rsid w:val="006B48B1"/>
    <w:rsid w:val="00716297"/>
    <w:rsid w:val="00717CF2"/>
    <w:rsid w:val="00720910"/>
    <w:rsid w:val="00732A11"/>
    <w:rsid w:val="00734F25"/>
    <w:rsid w:val="007472BD"/>
    <w:rsid w:val="00754700"/>
    <w:rsid w:val="00756C0C"/>
    <w:rsid w:val="007576AA"/>
    <w:rsid w:val="00782296"/>
    <w:rsid w:val="007839A1"/>
    <w:rsid w:val="007D5F68"/>
    <w:rsid w:val="007F01B3"/>
    <w:rsid w:val="00834EF6"/>
    <w:rsid w:val="00843052"/>
    <w:rsid w:val="00854282"/>
    <w:rsid w:val="00857E14"/>
    <w:rsid w:val="00877D46"/>
    <w:rsid w:val="008B24F5"/>
    <w:rsid w:val="008C1467"/>
    <w:rsid w:val="008D2F47"/>
    <w:rsid w:val="008E6750"/>
    <w:rsid w:val="008F7794"/>
    <w:rsid w:val="009158A4"/>
    <w:rsid w:val="00937C07"/>
    <w:rsid w:val="00942173"/>
    <w:rsid w:val="00945DBB"/>
    <w:rsid w:val="00955E82"/>
    <w:rsid w:val="009576FA"/>
    <w:rsid w:val="00957AFF"/>
    <w:rsid w:val="00970EAB"/>
    <w:rsid w:val="00980316"/>
    <w:rsid w:val="00993E46"/>
    <w:rsid w:val="0099560B"/>
    <w:rsid w:val="009A3166"/>
    <w:rsid w:val="009C1365"/>
    <w:rsid w:val="009C50AD"/>
    <w:rsid w:val="009D2B61"/>
    <w:rsid w:val="009D5FE1"/>
    <w:rsid w:val="009E7436"/>
    <w:rsid w:val="009F4DBB"/>
    <w:rsid w:val="009F5607"/>
    <w:rsid w:val="00A1534E"/>
    <w:rsid w:val="00A325D8"/>
    <w:rsid w:val="00A347E5"/>
    <w:rsid w:val="00A34E5A"/>
    <w:rsid w:val="00A45DBE"/>
    <w:rsid w:val="00A75206"/>
    <w:rsid w:val="00A76192"/>
    <w:rsid w:val="00AA075F"/>
    <w:rsid w:val="00AA5B63"/>
    <w:rsid w:val="00AD2AD3"/>
    <w:rsid w:val="00AD4CBD"/>
    <w:rsid w:val="00AF626C"/>
    <w:rsid w:val="00B03771"/>
    <w:rsid w:val="00B04DFD"/>
    <w:rsid w:val="00B06D20"/>
    <w:rsid w:val="00B40895"/>
    <w:rsid w:val="00B61179"/>
    <w:rsid w:val="00B64489"/>
    <w:rsid w:val="00BA1E3A"/>
    <w:rsid w:val="00BA26D0"/>
    <w:rsid w:val="00BB14A0"/>
    <w:rsid w:val="00BC70F3"/>
    <w:rsid w:val="00BE4B70"/>
    <w:rsid w:val="00BF7B81"/>
    <w:rsid w:val="00C276DA"/>
    <w:rsid w:val="00C36CD9"/>
    <w:rsid w:val="00C46F11"/>
    <w:rsid w:val="00C527C1"/>
    <w:rsid w:val="00C548B6"/>
    <w:rsid w:val="00C777B6"/>
    <w:rsid w:val="00C80261"/>
    <w:rsid w:val="00C85E99"/>
    <w:rsid w:val="00CA65F3"/>
    <w:rsid w:val="00CB1781"/>
    <w:rsid w:val="00CC6662"/>
    <w:rsid w:val="00CD217F"/>
    <w:rsid w:val="00CF533A"/>
    <w:rsid w:val="00CF7EC2"/>
    <w:rsid w:val="00D069B1"/>
    <w:rsid w:val="00D07F2C"/>
    <w:rsid w:val="00D10C75"/>
    <w:rsid w:val="00D13D00"/>
    <w:rsid w:val="00D33BC2"/>
    <w:rsid w:val="00D57380"/>
    <w:rsid w:val="00D65296"/>
    <w:rsid w:val="00D8002E"/>
    <w:rsid w:val="00D91842"/>
    <w:rsid w:val="00D9329A"/>
    <w:rsid w:val="00D95952"/>
    <w:rsid w:val="00D969C5"/>
    <w:rsid w:val="00DB251E"/>
    <w:rsid w:val="00DB306D"/>
    <w:rsid w:val="00DC0A68"/>
    <w:rsid w:val="00DC2F27"/>
    <w:rsid w:val="00DD7EC4"/>
    <w:rsid w:val="00DF466D"/>
    <w:rsid w:val="00E163C8"/>
    <w:rsid w:val="00E32C82"/>
    <w:rsid w:val="00E567EF"/>
    <w:rsid w:val="00E66401"/>
    <w:rsid w:val="00E77AC3"/>
    <w:rsid w:val="00E8212D"/>
    <w:rsid w:val="00EA1473"/>
    <w:rsid w:val="00EA1881"/>
    <w:rsid w:val="00EA7791"/>
    <w:rsid w:val="00EC4467"/>
    <w:rsid w:val="00EC7F00"/>
    <w:rsid w:val="00EE0FDE"/>
    <w:rsid w:val="00EE22D9"/>
    <w:rsid w:val="00EE3276"/>
    <w:rsid w:val="00EE67C4"/>
    <w:rsid w:val="00EF0ABE"/>
    <w:rsid w:val="00EF1164"/>
    <w:rsid w:val="00EF5A55"/>
    <w:rsid w:val="00F05CA8"/>
    <w:rsid w:val="00F112C7"/>
    <w:rsid w:val="00F40DC7"/>
    <w:rsid w:val="00F47911"/>
    <w:rsid w:val="00F47B8D"/>
    <w:rsid w:val="00F80D1E"/>
    <w:rsid w:val="00F81907"/>
    <w:rsid w:val="00F97312"/>
    <w:rsid w:val="00FA2506"/>
    <w:rsid w:val="00FA6DA4"/>
    <w:rsid w:val="00FB0E57"/>
    <w:rsid w:val="00FC442B"/>
    <w:rsid w:val="00FC5426"/>
    <w:rsid w:val="00FD18FF"/>
    <w:rsid w:val="00FD58F4"/>
    <w:rsid w:val="00FD68BC"/>
    <w:rsid w:val="00FE71C6"/>
    <w:rsid w:val="00FF48C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D08960"/>
  <w15:chartTrackingRefBased/>
  <w15:docId w15:val="{D5F436B4-3561-4EB2-9FC8-E24374FD6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18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18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18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18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18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18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18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18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18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8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18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18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18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18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18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18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18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1877"/>
    <w:rPr>
      <w:rFonts w:eastAsiaTheme="majorEastAsia" w:cstheme="majorBidi"/>
      <w:color w:val="272727" w:themeColor="text1" w:themeTint="D8"/>
    </w:rPr>
  </w:style>
  <w:style w:type="paragraph" w:styleId="Title">
    <w:name w:val="Title"/>
    <w:basedOn w:val="Normal"/>
    <w:next w:val="Normal"/>
    <w:link w:val="TitleChar"/>
    <w:uiPriority w:val="10"/>
    <w:qFormat/>
    <w:rsid w:val="006318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18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18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18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1877"/>
    <w:pPr>
      <w:spacing w:before="160"/>
      <w:jc w:val="center"/>
    </w:pPr>
    <w:rPr>
      <w:i/>
      <w:iCs/>
      <w:color w:val="404040" w:themeColor="text1" w:themeTint="BF"/>
    </w:rPr>
  </w:style>
  <w:style w:type="character" w:customStyle="1" w:styleId="QuoteChar">
    <w:name w:val="Quote Char"/>
    <w:basedOn w:val="DefaultParagraphFont"/>
    <w:link w:val="Quote"/>
    <w:uiPriority w:val="29"/>
    <w:rsid w:val="00631877"/>
    <w:rPr>
      <w:i/>
      <w:iCs/>
      <w:color w:val="404040" w:themeColor="text1" w:themeTint="BF"/>
    </w:rPr>
  </w:style>
  <w:style w:type="paragraph" w:styleId="ListParagraph">
    <w:name w:val="List Paragraph"/>
    <w:basedOn w:val="Normal"/>
    <w:uiPriority w:val="34"/>
    <w:qFormat/>
    <w:rsid w:val="00631877"/>
    <w:pPr>
      <w:ind w:left="720"/>
      <w:contextualSpacing/>
    </w:pPr>
  </w:style>
  <w:style w:type="character" w:styleId="IntenseEmphasis">
    <w:name w:val="Intense Emphasis"/>
    <w:basedOn w:val="DefaultParagraphFont"/>
    <w:uiPriority w:val="21"/>
    <w:qFormat/>
    <w:rsid w:val="00631877"/>
    <w:rPr>
      <w:i/>
      <w:iCs/>
      <w:color w:val="0F4761" w:themeColor="accent1" w:themeShade="BF"/>
    </w:rPr>
  </w:style>
  <w:style w:type="paragraph" w:styleId="IntenseQuote">
    <w:name w:val="Intense Quote"/>
    <w:basedOn w:val="Normal"/>
    <w:next w:val="Normal"/>
    <w:link w:val="IntenseQuoteChar"/>
    <w:uiPriority w:val="30"/>
    <w:qFormat/>
    <w:rsid w:val="006318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1877"/>
    <w:rPr>
      <w:i/>
      <w:iCs/>
      <w:color w:val="0F4761" w:themeColor="accent1" w:themeShade="BF"/>
    </w:rPr>
  </w:style>
  <w:style w:type="character" w:styleId="IntenseReference">
    <w:name w:val="Intense Reference"/>
    <w:basedOn w:val="DefaultParagraphFont"/>
    <w:uiPriority w:val="32"/>
    <w:qFormat/>
    <w:rsid w:val="00631877"/>
    <w:rPr>
      <w:b/>
      <w:bCs/>
      <w:smallCaps/>
      <w:color w:val="0F4761" w:themeColor="accent1" w:themeShade="BF"/>
      <w:spacing w:val="5"/>
    </w:rPr>
  </w:style>
  <w:style w:type="character" w:styleId="Hyperlink">
    <w:name w:val="Hyperlink"/>
    <w:basedOn w:val="DefaultParagraphFont"/>
    <w:uiPriority w:val="99"/>
    <w:unhideWhenUsed/>
    <w:rsid w:val="00B40895"/>
    <w:rPr>
      <w:color w:val="467886" w:themeColor="hyperlink"/>
      <w:u w:val="single"/>
    </w:rPr>
  </w:style>
  <w:style w:type="character" w:styleId="UnresolvedMention">
    <w:name w:val="Unresolved Mention"/>
    <w:basedOn w:val="DefaultParagraphFont"/>
    <w:uiPriority w:val="99"/>
    <w:semiHidden/>
    <w:unhideWhenUsed/>
    <w:rsid w:val="00B40895"/>
    <w:rPr>
      <w:color w:val="605E5C"/>
      <w:shd w:val="clear" w:color="auto" w:fill="E1DFDD"/>
    </w:rPr>
  </w:style>
  <w:style w:type="character" w:styleId="FollowedHyperlink">
    <w:name w:val="FollowedHyperlink"/>
    <w:basedOn w:val="DefaultParagraphFont"/>
    <w:uiPriority w:val="99"/>
    <w:semiHidden/>
    <w:unhideWhenUsed/>
    <w:rsid w:val="004B74F7"/>
    <w:rPr>
      <w:color w:val="96607D" w:themeColor="followedHyperlink"/>
      <w:u w:val="single"/>
    </w:rPr>
  </w:style>
  <w:style w:type="paragraph" w:styleId="Header">
    <w:name w:val="header"/>
    <w:basedOn w:val="Normal"/>
    <w:link w:val="HeaderChar"/>
    <w:uiPriority w:val="99"/>
    <w:unhideWhenUsed/>
    <w:rsid w:val="00D65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296"/>
  </w:style>
  <w:style w:type="paragraph" w:styleId="Footer">
    <w:name w:val="footer"/>
    <w:basedOn w:val="Normal"/>
    <w:link w:val="FooterChar"/>
    <w:uiPriority w:val="99"/>
    <w:unhideWhenUsed/>
    <w:rsid w:val="00D65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296"/>
  </w:style>
  <w:style w:type="paragraph" w:styleId="NormalWeb">
    <w:name w:val="Normal (Web)"/>
    <w:basedOn w:val="Normal"/>
    <w:uiPriority w:val="99"/>
    <w:semiHidden/>
    <w:unhideWhenUsed/>
    <w:rsid w:val="00945DBB"/>
    <w:rPr>
      <w:rFonts w:ascii="Times New Roman" w:hAnsi="Times New Roman" w:cs="Times New Roman"/>
      <w:sz w:val="24"/>
      <w:szCs w:val="24"/>
    </w:rPr>
  </w:style>
  <w:style w:type="table" w:styleId="TableGrid">
    <w:name w:val="Table Grid"/>
    <w:basedOn w:val="TableNormal"/>
    <w:uiPriority w:val="39"/>
    <w:rsid w:val="003220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93E46"/>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993E46"/>
    <w:pPr>
      <w:spacing w:after="100"/>
    </w:pPr>
  </w:style>
  <w:style w:type="paragraph" w:styleId="TOC2">
    <w:name w:val="toc 2"/>
    <w:basedOn w:val="Normal"/>
    <w:next w:val="Normal"/>
    <w:autoRedefine/>
    <w:uiPriority w:val="39"/>
    <w:unhideWhenUsed/>
    <w:rsid w:val="00993E46"/>
    <w:pPr>
      <w:spacing w:after="100"/>
      <w:ind w:left="220"/>
    </w:pPr>
  </w:style>
  <w:style w:type="paragraph" w:styleId="TOC3">
    <w:name w:val="toc 3"/>
    <w:basedOn w:val="Normal"/>
    <w:next w:val="Normal"/>
    <w:autoRedefine/>
    <w:uiPriority w:val="39"/>
    <w:unhideWhenUsed/>
    <w:rsid w:val="00993E4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536213">
      <w:bodyDiv w:val="1"/>
      <w:marLeft w:val="0"/>
      <w:marRight w:val="0"/>
      <w:marTop w:val="0"/>
      <w:marBottom w:val="0"/>
      <w:divBdr>
        <w:top w:val="none" w:sz="0" w:space="0" w:color="auto"/>
        <w:left w:val="none" w:sz="0" w:space="0" w:color="auto"/>
        <w:bottom w:val="none" w:sz="0" w:space="0" w:color="auto"/>
        <w:right w:val="none" w:sz="0" w:space="0" w:color="auto"/>
      </w:divBdr>
    </w:div>
    <w:div w:id="60374881">
      <w:bodyDiv w:val="1"/>
      <w:marLeft w:val="0"/>
      <w:marRight w:val="0"/>
      <w:marTop w:val="0"/>
      <w:marBottom w:val="0"/>
      <w:divBdr>
        <w:top w:val="none" w:sz="0" w:space="0" w:color="auto"/>
        <w:left w:val="none" w:sz="0" w:space="0" w:color="auto"/>
        <w:bottom w:val="none" w:sz="0" w:space="0" w:color="auto"/>
        <w:right w:val="none" w:sz="0" w:space="0" w:color="auto"/>
      </w:divBdr>
    </w:div>
    <w:div w:id="66461861">
      <w:bodyDiv w:val="1"/>
      <w:marLeft w:val="0"/>
      <w:marRight w:val="0"/>
      <w:marTop w:val="0"/>
      <w:marBottom w:val="0"/>
      <w:divBdr>
        <w:top w:val="none" w:sz="0" w:space="0" w:color="auto"/>
        <w:left w:val="none" w:sz="0" w:space="0" w:color="auto"/>
        <w:bottom w:val="none" w:sz="0" w:space="0" w:color="auto"/>
        <w:right w:val="none" w:sz="0" w:space="0" w:color="auto"/>
      </w:divBdr>
    </w:div>
    <w:div w:id="81338945">
      <w:bodyDiv w:val="1"/>
      <w:marLeft w:val="0"/>
      <w:marRight w:val="0"/>
      <w:marTop w:val="0"/>
      <w:marBottom w:val="0"/>
      <w:divBdr>
        <w:top w:val="none" w:sz="0" w:space="0" w:color="auto"/>
        <w:left w:val="none" w:sz="0" w:space="0" w:color="auto"/>
        <w:bottom w:val="none" w:sz="0" w:space="0" w:color="auto"/>
        <w:right w:val="none" w:sz="0" w:space="0" w:color="auto"/>
      </w:divBdr>
    </w:div>
    <w:div w:id="85273193">
      <w:bodyDiv w:val="1"/>
      <w:marLeft w:val="0"/>
      <w:marRight w:val="0"/>
      <w:marTop w:val="0"/>
      <w:marBottom w:val="0"/>
      <w:divBdr>
        <w:top w:val="none" w:sz="0" w:space="0" w:color="auto"/>
        <w:left w:val="none" w:sz="0" w:space="0" w:color="auto"/>
        <w:bottom w:val="none" w:sz="0" w:space="0" w:color="auto"/>
        <w:right w:val="none" w:sz="0" w:space="0" w:color="auto"/>
      </w:divBdr>
    </w:div>
    <w:div w:id="97912617">
      <w:bodyDiv w:val="1"/>
      <w:marLeft w:val="0"/>
      <w:marRight w:val="0"/>
      <w:marTop w:val="0"/>
      <w:marBottom w:val="0"/>
      <w:divBdr>
        <w:top w:val="none" w:sz="0" w:space="0" w:color="auto"/>
        <w:left w:val="none" w:sz="0" w:space="0" w:color="auto"/>
        <w:bottom w:val="none" w:sz="0" w:space="0" w:color="auto"/>
        <w:right w:val="none" w:sz="0" w:space="0" w:color="auto"/>
      </w:divBdr>
    </w:div>
    <w:div w:id="121120966">
      <w:bodyDiv w:val="1"/>
      <w:marLeft w:val="0"/>
      <w:marRight w:val="0"/>
      <w:marTop w:val="0"/>
      <w:marBottom w:val="0"/>
      <w:divBdr>
        <w:top w:val="none" w:sz="0" w:space="0" w:color="auto"/>
        <w:left w:val="none" w:sz="0" w:space="0" w:color="auto"/>
        <w:bottom w:val="none" w:sz="0" w:space="0" w:color="auto"/>
        <w:right w:val="none" w:sz="0" w:space="0" w:color="auto"/>
      </w:divBdr>
    </w:div>
    <w:div w:id="137310658">
      <w:bodyDiv w:val="1"/>
      <w:marLeft w:val="0"/>
      <w:marRight w:val="0"/>
      <w:marTop w:val="0"/>
      <w:marBottom w:val="0"/>
      <w:divBdr>
        <w:top w:val="none" w:sz="0" w:space="0" w:color="auto"/>
        <w:left w:val="none" w:sz="0" w:space="0" w:color="auto"/>
        <w:bottom w:val="none" w:sz="0" w:space="0" w:color="auto"/>
        <w:right w:val="none" w:sz="0" w:space="0" w:color="auto"/>
      </w:divBdr>
    </w:div>
    <w:div w:id="137647123">
      <w:bodyDiv w:val="1"/>
      <w:marLeft w:val="0"/>
      <w:marRight w:val="0"/>
      <w:marTop w:val="0"/>
      <w:marBottom w:val="0"/>
      <w:divBdr>
        <w:top w:val="none" w:sz="0" w:space="0" w:color="auto"/>
        <w:left w:val="none" w:sz="0" w:space="0" w:color="auto"/>
        <w:bottom w:val="none" w:sz="0" w:space="0" w:color="auto"/>
        <w:right w:val="none" w:sz="0" w:space="0" w:color="auto"/>
      </w:divBdr>
    </w:div>
    <w:div w:id="143814022">
      <w:bodyDiv w:val="1"/>
      <w:marLeft w:val="0"/>
      <w:marRight w:val="0"/>
      <w:marTop w:val="0"/>
      <w:marBottom w:val="0"/>
      <w:divBdr>
        <w:top w:val="none" w:sz="0" w:space="0" w:color="auto"/>
        <w:left w:val="none" w:sz="0" w:space="0" w:color="auto"/>
        <w:bottom w:val="none" w:sz="0" w:space="0" w:color="auto"/>
        <w:right w:val="none" w:sz="0" w:space="0" w:color="auto"/>
      </w:divBdr>
    </w:div>
    <w:div w:id="169836246">
      <w:bodyDiv w:val="1"/>
      <w:marLeft w:val="0"/>
      <w:marRight w:val="0"/>
      <w:marTop w:val="0"/>
      <w:marBottom w:val="0"/>
      <w:divBdr>
        <w:top w:val="none" w:sz="0" w:space="0" w:color="auto"/>
        <w:left w:val="none" w:sz="0" w:space="0" w:color="auto"/>
        <w:bottom w:val="none" w:sz="0" w:space="0" w:color="auto"/>
        <w:right w:val="none" w:sz="0" w:space="0" w:color="auto"/>
      </w:divBdr>
      <w:divsChild>
        <w:div w:id="1057315748">
          <w:marLeft w:val="0"/>
          <w:marRight w:val="0"/>
          <w:marTop w:val="0"/>
          <w:marBottom w:val="0"/>
          <w:divBdr>
            <w:top w:val="none" w:sz="0" w:space="0" w:color="auto"/>
            <w:left w:val="none" w:sz="0" w:space="0" w:color="auto"/>
            <w:bottom w:val="none" w:sz="0" w:space="0" w:color="auto"/>
            <w:right w:val="none" w:sz="0" w:space="0" w:color="auto"/>
          </w:divBdr>
          <w:divsChild>
            <w:div w:id="117722072">
              <w:marLeft w:val="0"/>
              <w:marRight w:val="0"/>
              <w:marTop w:val="0"/>
              <w:marBottom w:val="0"/>
              <w:divBdr>
                <w:top w:val="none" w:sz="0" w:space="0" w:color="auto"/>
                <w:left w:val="none" w:sz="0" w:space="0" w:color="auto"/>
                <w:bottom w:val="none" w:sz="0" w:space="0" w:color="auto"/>
                <w:right w:val="none" w:sz="0" w:space="0" w:color="auto"/>
              </w:divBdr>
              <w:divsChild>
                <w:div w:id="1118715551">
                  <w:marLeft w:val="0"/>
                  <w:marRight w:val="0"/>
                  <w:marTop w:val="0"/>
                  <w:marBottom w:val="0"/>
                  <w:divBdr>
                    <w:top w:val="none" w:sz="0" w:space="0" w:color="auto"/>
                    <w:left w:val="none" w:sz="0" w:space="0" w:color="auto"/>
                    <w:bottom w:val="none" w:sz="0" w:space="0" w:color="auto"/>
                    <w:right w:val="none" w:sz="0" w:space="0" w:color="auto"/>
                  </w:divBdr>
                  <w:divsChild>
                    <w:div w:id="1752391465">
                      <w:marLeft w:val="0"/>
                      <w:marRight w:val="0"/>
                      <w:marTop w:val="0"/>
                      <w:marBottom w:val="0"/>
                      <w:divBdr>
                        <w:top w:val="none" w:sz="0" w:space="0" w:color="auto"/>
                        <w:left w:val="none" w:sz="0" w:space="0" w:color="auto"/>
                        <w:bottom w:val="none" w:sz="0" w:space="0" w:color="auto"/>
                        <w:right w:val="none" w:sz="0" w:space="0" w:color="auto"/>
                      </w:divBdr>
                      <w:divsChild>
                        <w:div w:id="691345839">
                          <w:marLeft w:val="0"/>
                          <w:marRight w:val="0"/>
                          <w:marTop w:val="0"/>
                          <w:marBottom w:val="0"/>
                          <w:divBdr>
                            <w:top w:val="none" w:sz="0" w:space="0" w:color="auto"/>
                            <w:left w:val="none" w:sz="0" w:space="0" w:color="auto"/>
                            <w:bottom w:val="none" w:sz="0" w:space="0" w:color="auto"/>
                            <w:right w:val="none" w:sz="0" w:space="0" w:color="auto"/>
                          </w:divBdr>
                          <w:divsChild>
                            <w:div w:id="2102412257">
                              <w:marLeft w:val="0"/>
                              <w:marRight w:val="0"/>
                              <w:marTop w:val="0"/>
                              <w:marBottom w:val="0"/>
                              <w:divBdr>
                                <w:top w:val="none" w:sz="0" w:space="0" w:color="auto"/>
                                <w:left w:val="none" w:sz="0" w:space="0" w:color="auto"/>
                                <w:bottom w:val="none" w:sz="0" w:space="0" w:color="auto"/>
                                <w:right w:val="none" w:sz="0" w:space="0" w:color="auto"/>
                              </w:divBdr>
                              <w:divsChild>
                                <w:div w:id="1147818029">
                                  <w:marLeft w:val="0"/>
                                  <w:marRight w:val="0"/>
                                  <w:marTop w:val="0"/>
                                  <w:marBottom w:val="0"/>
                                  <w:divBdr>
                                    <w:top w:val="none" w:sz="0" w:space="0" w:color="auto"/>
                                    <w:left w:val="none" w:sz="0" w:space="0" w:color="auto"/>
                                    <w:bottom w:val="none" w:sz="0" w:space="0" w:color="auto"/>
                                    <w:right w:val="none" w:sz="0" w:space="0" w:color="auto"/>
                                  </w:divBdr>
                                  <w:divsChild>
                                    <w:div w:id="990984127">
                                      <w:marLeft w:val="0"/>
                                      <w:marRight w:val="0"/>
                                      <w:marTop w:val="0"/>
                                      <w:marBottom w:val="0"/>
                                      <w:divBdr>
                                        <w:top w:val="none" w:sz="0" w:space="0" w:color="auto"/>
                                        <w:left w:val="none" w:sz="0" w:space="0" w:color="auto"/>
                                        <w:bottom w:val="none" w:sz="0" w:space="0" w:color="auto"/>
                                        <w:right w:val="none" w:sz="0" w:space="0" w:color="auto"/>
                                      </w:divBdr>
                                      <w:divsChild>
                                        <w:div w:id="320620831">
                                          <w:marLeft w:val="0"/>
                                          <w:marRight w:val="0"/>
                                          <w:marTop w:val="0"/>
                                          <w:marBottom w:val="0"/>
                                          <w:divBdr>
                                            <w:top w:val="none" w:sz="0" w:space="0" w:color="auto"/>
                                            <w:left w:val="none" w:sz="0" w:space="0" w:color="auto"/>
                                            <w:bottom w:val="none" w:sz="0" w:space="0" w:color="auto"/>
                                            <w:right w:val="none" w:sz="0" w:space="0" w:color="auto"/>
                                          </w:divBdr>
                                          <w:divsChild>
                                            <w:div w:id="1552231084">
                                              <w:marLeft w:val="0"/>
                                              <w:marRight w:val="0"/>
                                              <w:marTop w:val="0"/>
                                              <w:marBottom w:val="0"/>
                                              <w:divBdr>
                                                <w:top w:val="none" w:sz="0" w:space="0" w:color="auto"/>
                                                <w:left w:val="none" w:sz="0" w:space="0" w:color="auto"/>
                                                <w:bottom w:val="none" w:sz="0" w:space="0" w:color="auto"/>
                                                <w:right w:val="none" w:sz="0" w:space="0" w:color="auto"/>
                                              </w:divBdr>
                                              <w:divsChild>
                                                <w:div w:id="70323040">
                                                  <w:marLeft w:val="0"/>
                                                  <w:marRight w:val="0"/>
                                                  <w:marTop w:val="0"/>
                                                  <w:marBottom w:val="0"/>
                                                  <w:divBdr>
                                                    <w:top w:val="none" w:sz="0" w:space="0" w:color="auto"/>
                                                    <w:left w:val="none" w:sz="0" w:space="0" w:color="auto"/>
                                                    <w:bottom w:val="none" w:sz="0" w:space="0" w:color="auto"/>
                                                    <w:right w:val="none" w:sz="0" w:space="0" w:color="auto"/>
                                                  </w:divBdr>
                                                  <w:divsChild>
                                                    <w:div w:id="1159880597">
                                                      <w:marLeft w:val="0"/>
                                                      <w:marRight w:val="0"/>
                                                      <w:marTop w:val="0"/>
                                                      <w:marBottom w:val="0"/>
                                                      <w:divBdr>
                                                        <w:top w:val="none" w:sz="0" w:space="0" w:color="auto"/>
                                                        <w:left w:val="none" w:sz="0" w:space="0" w:color="auto"/>
                                                        <w:bottom w:val="none" w:sz="0" w:space="0" w:color="auto"/>
                                                        <w:right w:val="none" w:sz="0" w:space="0" w:color="auto"/>
                                                      </w:divBdr>
                                                      <w:divsChild>
                                                        <w:div w:id="131472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11685832">
          <w:marLeft w:val="0"/>
          <w:marRight w:val="0"/>
          <w:marTop w:val="0"/>
          <w:marBottom w:val="0"/>
          <w:divBdr>
            <w:top w:val="none" w:sz="0" w:space="0" w:color="auto"/>
            <w:left w:val="none" w:sz="0" w:space="0" w:color="auto"/>
            <w:bottom w:val="none" w:sz="0" w:space="0" w:color="auto"/>
            <w:right w:val="none" w:sz="0" w:space="0" w:color="auto"/>
          </w:divBdr>
          <w:divsChild>
            <w:div w:id="2115444209">
              <w:marLeft w:val="0"/>
              <w:marRight w:val="0"/>
              <w:marTop w:val="0"/>
              <w:marBottom w:val="0"/>
              <w:divBdr>
                <w:top w:val="none" w:sz="0" w:space="0" w:color="auto"/>
                <w:left w:val="none" w:sz="0" w:space="0" w:color="auto"/>
                <w:bottom w:val="none" w:sz="0" w:space="0" w:color="auto"/>
                <w:right w:val="none" w:sz="0" w:space="0" w:color="auto"/>
              </w:divBdr>
              <w:divsChild>
                <w:div w:id="878737483">
                  <w:marLeft w:val="0"/>
                  <w:marRight w:val="0"/>
                  <w:marTop w:val="0"/>
                  <w:marBottom w:val="0"/>
                  <w:divBdr>
                    <w:top w:val="none" w:sz="0" w:space="0" w:color="auto"/>
                    <w:left w:val="none" w:sz="0" w:space="0" w:color="auto"/>
                    <w:bottom w:val="none" w:sz="0" w:space="0" w:color="auto"/>
                    <w:right w:val="none" w:sz="0" w:space="0" w:color="auto"/>
                  </w:divBdr>
                  <w:divsChild>
                    <w:div w:id="117364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060724">
      <w:bodyDiv w:val="1"/>
      <w:marLeft w:val="0"/>
      <w:marRight w:val="0"/>
      <w:marTop w:val="0"/>
      <w:marBottom w:val="0"/>
      <w:divBdr>
        <w:top w:val="none" w:sz="0" w:space="0" w:color="auto"/>
        <w:left w:val="none" w:sz="0" w:space="0" w:color="auto"/>
        <w:bottom w:val="none" w:sz="0" w:space="0" w:color="auto"/>
        <w:right w:val="none" w:sz="0" w:space="0" w:color="auto"/>
      </w:divBdr>
      <w:divsChild>
        <w:div w:id="48505273">
          <w:marLeft w:val="0"/>
          <w:marRight w:val="0"/>
          <w:marTop w:val="0"/>
          <w:marBottom w:val="0"/>
          <w:divBdr>
            <w:top w:val="none" w:sz="0" w:space="0" w:color="auto"/>
            <w:left w:val="none" w:sz="0" w:space="0" w:color="auto"/>
            <w:bottom w:val="none" w:sz="0" w:space="0" w:color="auto"/>
            <w:right w:val="none" w:sz="0" w:space="0" w:color="auto"/>
          </w:divBdr>
          <w:divsChild>
            <w:div w:id="1807896828">
              <w:marLeft w:val="0"/>
              <w:marRight w:val="0"/>
              <w:marTop w:val="0"/>
              <w:marBottom w:val="0"/>
              <w:divBdr>
                <w:top w:val="none" w:sz="0" w:space="0" w:color="auto"/>
                <w:left w:val="none" w:sz="0" w:space="0" w:color="auto"/>
                <w:bottom w:val="none" w:sz="0" w:space="0" w:color="auto"/>
                <w:right w:val="none" w:sz="0" w:space="0" w:color="auto"/>
              </w:divBdr>
              <w:divsChild>
                <w:div w:id="261955285">
                  <w:marLeft w:val="0"/>
                  <w:marRight w:val="0"/>
                  <w:marTop w:val="0"/>
                  <w:marBottom w:val="0"/>
                  <w:divBdr>
                    <w:top w:val="none" w:sz="0" w:space="0" w:color="auto"/>
                    <w:left w:val="none" w:sz="0" w:space="0" w:color="auto"/>
                    <w:bottom w:val="none" w:sz="0" w:space="0" w:color="auto"/>
                    <w:right w:val="none" w:sz="0" w:space="0" w:color="auto"/>
                  </w:divBdr>
                  <w:divsChild>
                    <w:div w:id="116409372">
                      <w:marLeft w:val="0"/>
                      <w:marRight w:val="0"/>
                      <w:marTop w:val="0"/>
                      <w:marBottom w:val="0"/>
                      <w:divBdr>
                        <w:top w:val="none" w:sz="0" w:space="0" w:color="auto"/>
                        <w:left w:val="none" w:sz="0" w:space="0" w:color="auto"/>
                        <w:bottom w:val="none" w:sz="0" w:space="0" w:color="auto"/>
                        <w:right w:val="none" w:sz="0" w:space="0" w:color="auto"/>
                      </w:divBdr>
                      <w:divsChild>
                        <w:div w:id="1252545135">
                          <w:marLeft w:val="0"/>
                          <w:marRight w:val="0"/>
                          <w:marTop w:val="0"/>
                          <w:marBottom w:val="0"/>
                          <w:divBdr>
                            <w:top w:val="none" w:sz="0" w:space="0" w:color="auto"/>
                            <w:left w:val="none" w:sz="0" w:space="0" w:color="auto"/>
                            <w:bottom w:val="none" w:sz="0" w:space="0" w:color="auto"/>
                            <w:right w:val="none" w:sz="0" w:space="0" w:color="auto"/>
                          </w:divBdr>
                          <w:divsChild>
                            <w:div w:id="1407412573">
                              <w:marLeft w:val="0"/>
                              <w:marRight w:val="0"/>
                              <w:marTop w:val="0"/>
                              <w:marBottom w:val="0"/>
                              <w:divBdr>
                                <w:top w:val="none" w:sz="0" w:space="0" w:color="auto"/>
                                <w:left w:val="none" w:sz="0" w:space="0" w:color="auto"/>
                                <w:bottom w:val="none" w:sz="0" w:space="0" w:color="auto"/>
                                <w:right w:val="none" w:sz="0" w:space="0" w:color="auto"/>
                              </w:divBdr>
                              <w:divsChild>
                                <w:div w:id="563686682">
                                  <w:marLeft w:val="0"/>
                                  <w:marRight w:val="0"/>
                                  <w:marTop w:val="0"/>
                                  <w:marBottom w:val="0"/>
                                  <w:divBdr>
                                    <w:top w:val="none" w:sz="0" w:space="0" w:color="auto"/>
                                    <w:left w:val="none" w:sz="0" w:space="0" w:color="auto"/>
                                    <w:bottom w:val="none" w:sz="0" w:space="0" w:color="auto"/>
                                    <w:right w:val="none" w:sz="0" w:space="0" w:color="auto"/>
                                  </w:divBdr>
                                  <w:divsChild>
                                    <w:div w:id="344599546">
                                      <w:marLeft w:val="0"/>
                                      <w:marRight w:val="0"/>
                                      <w:marTop w:val="0"/>
                                      <w:marBottom w:val="0"/>
                                      <w:divBdr>
                                        <w:top w:val="none" w:sz="0" w:space="0" w:color="auto"/>
                                        <w:left w:val="none" w:sz="0" w:space="0" w:color="auto"/>
                                        <w:bottom w:val="none" w:sz="0" w:space="0" w:color="auto"/>
                                        <w:right w:val="none" w:sz="0" w:space="0" w:color="auto"/>
                                      </w:divBdr>
                                      <w:divsChild>
                                        <w:div w:id="1546258610">
                                          <w:marLeft w:val="0"/>
                                          <w:marRight w:val="0"/>
                                          <w:marTop w:val="0"/>
                                          <w:marBottom w:val="0"/>
                                          <w:divBdr>
                                            <w:top w:val="none" w:sz="0" w:space="0" w:color="auto"/>
                                            <w:left w:val="none" w:sz="0" w:space="0" w:color="auto"/>
                                            <w:bottom w:val="none" w:sz="0" w:space="0" w:color="auto"/>
                                            <w:right w:val="none" w:sz="0" w:space="0" w:color="auto"/>
                                          </w:divBdr>
                                          <w:divsChild>
                                            <w:div w:id="968242776">
                                              <w:marLeft w:val="0"/>
                                              <w:marRight w:val="0"/>
                                              <w:marTop w:val="0"/>
                                              <w:marBottom w:val="0"/>
                                              <w:divBdr>
                                                <w:top w:val="none" w:sz="0" w:space="0" w:color="auto"/>
                                                <w:left w:val="none" w:sz="0" w:space="0" w:color="auto"/>
                                                <w:bottom w:val="none" w:sz="0" w:space="0" w:color="auto"/>
                                                <w:right w:val="none" w:sz="0" w:space="0" w:color="auto"/>
                                              </w:divBdr>
                                              <w:divsChild>
                                                <w:div w:id="867522251">
                                                  <w:marLeft w:val="0"/>
                                                  <w:marRight w:val="0"/>
                                                  <w:marTop w:val="0"/>
                                                  <w:marBottom w:val="0"/>
                                                  <w:divBdr>
                                                    <w:top w:val="none" w:sz="0" w:space="0" w:color="auto"/>
                                                    <w:left w:val="none" w:sz="0" w:space="0" w:color="auto"/>
                                                    <w:bottom w:val="none" w:sz="0" w:space="0" w:color="auto"/>
                                                    <w:right w:val="none" w:sz="0" w:space="0" w:color="auto"/>
                                                  </w:divBdr>
                                                  <w:divsChild>
                                                    <w:div w:id="443420955">
                                                      <w:marLeft w:val="0"/>
                                                      <w:marRight w:val="0"/>
                                                      <w:marTop w:val="0"/>
                                                      <w:marBottom w:val="0"/>
                                                      <w:divBdr>
                                                        <w:top w:val="none" w:sz="0" w:space="0" w:color="auto"/>
                                                        <w:left w:val="none" w:sz="0" w:space="0" w:color="auto"/>
                                                        <w:bottom w:val="none" w:sz="0" w:space="0" w:color="auto"/>
                                                        <w:right w:val="none" w:sz="0" w:space="0" w:color="auto"/>
                                                      </w:divBdr>
                                                      <w:divsChild>
                                                        <w:div w:id="106194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22282762">
          <w:marLeft w:val="0"/>
          <w:marRight w:val="0"/>
          <w:marTop w:val="0"/>
          <w:marBottom w:val="0"/>
          <w:divBdr>
            <w:top w:val="none" w:sz="0" w:space="0" w:color="auto"/>
            <w:left w:val="none" w:sz="0" w:space="0" w:color="auto"/>
            <w:bottom w:val="none" w:sz="0" w:space="0" w:color="auto"/>
            <w:right w:val="none" w:sz="0" w:space="0" w:color="auto"/>
          </w:divBdr>
          <w:divsChild>
            <w:div w:id="123741791">
              <w:marLeft w:val="0"/>
              <w:marRight w:val="0"/>
              <w:marTop w:val="0"/>
              <w:marBottom w:val="0"/>
              <w:divBdr>
                <w:top w:val="none" w:sz="0" w:space="0" w:color="auto"/>
                <w:left w:val="none" w:sz="0" w:space="0" w:color="auto"/>
                <w:bottom w:val="none" w:sz="0" w:space="0" w:color="auto"/>
                <w:right w:val="none" w:sz="0" w:space="0" w:color="auto"/>
              </w:divBdr>
              <w:divsChild>
                <w:div w:id="825514117">
                  <w:marLeft w:val="0"/>
                  <w:marRight w:val="0"/>
                  <w:marTop w:val="0"/>
                  <w:marBottom w:val="0"/>
                  <w:divBdr>
                    <w:top w:val="none" w:sz="0" w:space="0" w:color="auto"/>
                    <w:left w:val="none" w:sz="0" w:space="0" w:color="auto"/>
                    <w:bottom w:val="none" w:sz="0" w:space="0" w:color="auto"/>
                    <w:right w:val="none" w:sz="0" w:space="0" w:color="auto"/>
                  </w:divBdr>
                  <w:divsChild>
                    <w:div w:id="90927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9703983">
      <w:bodyDiv w:val="1"/>
      <w:marLeft w:val="0"/>
      <w:marRight w:val="0"/>
      <w:marTop w:val="0"/>
      <w:marBottom w:val="0"/>
      <w:divBdr>
        <w:top w:val="none" w:sz="0" w:space="0" w:color="auto"/>
        <w:left w:val="none" w:sz="0" w:space="0" w:color="auto"/>
        <w:bottom w:val="none" w:sz="0" w:space="0" w:color="auto"/>
        <w:right w:val="none" w:sz="0" w:space="0" w:color="auto"/>
      </w:divBdr>
    </w:div>
    <w:div w:id="229929824">
      <w:bodyDiv w:val="1"/>
      <w:marLeft w:val="0"/>
      <w:marRight w:val="0"/>
      <w:marTop w:val="0"/>
      <w:marBottom w:val="0"/>
      <w:divBdr>
        <w:top w:val="none" w:sz="0" w:space="0" w:color="auto"/>
        <w:left w:val="none" w:sz="0" w:space="0" w:color="auto"/>
        <w:bottom w:val="none" w:sz="0" w:space="0" w:color="auto"/>
        <w:right w:val="none" w:sz="0" w:space="0" w:color="auto"/>
      </w:divBdr>
    </w:div>
    <w:div w:id="262692249">
      <w:bodyDiv w:val="1"/>
      <w:marLeft w:val="0"/>
      <w:marRight w:val="0"/>
      <w:marTop w:val="0"/>
      <w:marBottom w:val="0"/>
      <w:divBdr>
        <w:top w:val="none" w:sz="0" w:space="0" w:color="auto"/>
        <w:left w:val="none" w:sz="0" w:space="0" w:color="auto"/>
        <w:bottom w:val="none" w:sz="0" w:space="0" w:color="auto"/>
        <w:right w:val="none" w:sz="0" w:space="0" w:color="auto"/>
      </w:divBdr>
    </w:div>
    <w:div w:id="299923093">
      <w:bodyDiv w:val="1"/>
      <w:marLeft w:val="0"/>
      <w:marRight w:val="0"/>
      <w:marTop w:val="0"/>
      <w:marBottom w:val="0"/>
      <w:divBdr>
        <w:top w:val="none" w:sz="0" w:space="0" w:color="auto"/>
        <w:left w:val="none" w:sz="0" w:space="0" w:color="auto"/>
        <w:bottom w:val="none" w:sz="0" w:space="0" w:color="auto"/>
        <w:right w:val="none" w:sz="0" w:space="0" w:color="auto"/>
      </w:divBdr>
    </w:div>
    <w:div w:id="313531343">
      <w:bodyDiv w:val="1"/>
      <w:marLeft w:val="0"/>
      <w:marRight w:val="0"/>
      <w:marTop w:val="0"/>
      <w:marBottom w:val="0"/>
      <w:divBdr>
        <w:top w:val="none" w:sz="0" w:space="0" w:color="auto"/>
        <w:left w:val="none" w:sz="0" w:space="0" w:color="auto"/>
        <w:bottom w:val="none" w:sz="0" w:space="0" w:color="auto"/>
        <w:right w:val="none" w:sz="0" w:space="0" w:color="auto"/>
      </w:divBdr>
    </w:div>
    <w:div w:id="340085854">
      <w:bodyDiv w:val="1"/>
      <w:marLeft w:val="0"/>
      <w:marRight w:val="0"/>
      <w:marTop w:val="0"/>
      <w:marBottom w:val="0"/>
      <w:divBdr>
        <w:top w:val="none" w:sz="0" w:space="0" w:color="auto"/>
        <w:left w:val="none" w:sz="0" w:space="0" w:color="auto"/>
        <w:bottom w:val="none" w:sz="0" w:space="0" w:color="auto"/>
        <w:right w:val="none" w:sz="0" w:space="0" w:color="auto"/>
      </w:divBdr>
    </w:div>
    <w:div w:id="362749826">
      <w:bodyDiv w:val="1"/>
      <w:marLeft w:val="0"/>
      <w:marRight w:val="0"/>
      <w:marTop w:val="0"/>
      <w:marBottom w:val="0"/>
      <w:divBdr>
        <w:top w:val="none" w:sz="0" w:space="0" w:color="auto"/>
        <w:left w:val="none" w:sz="0" w:space="0" w:color="auto"/>
        <w:bottom w:val="none" w:sz="0" w:space="0" w:color="auto"/>
        <w:right w:val="none" w:sz="0" w:space="0" w:color="auto"/>
      </w:divBdr>
    </w:div>
    <w:div w:id="382483645">
      <w:bodyDiv w:val="1"/>
      <w:marLeft w:val="0"/>
      <w:marRight w:val="0"/>
      <w:marTop w:val="0"/>
      <w:marBottom w:val="0"/>
      <w:divBdr>
        <w:top w:val="none" w:sz="0" w:space="0" w:color="auto"/>
        <w:left w:val="none" w:sz="0" w:space="0" w:color="auto"/>
        <w:bottom w:val="none" w:sz="0" w:space="0" w:color="auto"/>
        <w:right w:val="none" w:sz="0" w:space="0" w:color="auto"/>
      </w:divBdr>
    </w:div>
    <w:div w:id="400908072">
      <w:bodyDiv w:val="1"/>
      <w:marLeft w:val="0"/>
      <w:marRight w:val="0"/>
      <w:marTop w:val="0"/>
      <w:marBottom w:val="0"/>
      <w:divBdr>
        <w:top w:val="none" w:sz="0" w:space="0" w:color="auto"/>
        <w:left w:val="none" w:sz="0" w:space="0" w:color="auto"/>
        <w:bottom w:val="none" w:sz="0" w:space="0" w:color="auto"/>
        <w:right w:val="none" w:sz="0" w:space="0" w:color="auto"/>
      </w:divBdr>
    </w:div>
    <w:div w:id="405999593">
      <w:bodyDiv w:val="1"/>
      <w:marLeft w:val="0"/>
      <w:marRight w:val="0"/>
      <w:marTop w:val="0"/>
      <w:marBottom w:val="0"/>
      <w:divBdr>
        <w:top w:val="none" w:sz="0" w:space="0" w:color="auto"/>
        <w:left w:val="none" w:sz="0" w:space="0" w:color="auto"/>
        <w:bottom w:val="none" w:sz="0" w:space="0" w:color="auto"/>
        <w:right w:val="none" w:sz="0" w:space="0" w:color="auto"/>
      </w:divBdr>
    </w:div>
    <w:div w:id="421754759">
      <w:bodyDiv w:val="1"/>
      <w:marLeft w:val="0"/>
      <w:marRight w:val="0"/>
      <w:marTop w:val="0"/>
      <w:marBottom w:val="0"/>
      <w:divBdr>
        <w:top w:val="none" w:sz="0" w:space="0" w:color="auto"/>
        <w:left w:val="none" w:sz="0" w:space="0" w:color="auto"/>
        <w:bottom w:val="none" w:sz="0" w:space="0" w:color="auto"/>
        <w:right w:val="none" w:sz="0" w:space="0" w:color="auto"/>
      </w:divBdr>
    </w:div>
    <w:div w:id="428240457">
      <w:bodyDiv w:val="1"/>
      <w:marLeft w:val="0"/>
      <w:marRight w:val="0"/>
      <w:marTop w:val="0"/>
      <w:marBottom w:val="0"/>
      <w:divBdr>
        <w:top w:val="none" w:sz="0" w:space="0" w:color="auto"/>
        <w:left w:val="none" w:sz="0" w:space="0" w:color="auto"/>
        <w:bottom w:val="none" w:sz="0" w:space="0" w:color="auto"/>
        <w:right w:val="none" w:sz="0" w:space="0" w:color="auto"/>
      </w:divBdr>
    </w:div>
    <w:div w:id="467284606">
      <w:bodyDiv w:val="1"/>
      <w:marLeft w:val="0"/>
      <w:marRight w:val="0"/>
      <w:marTop w:val="0"/>
      <w:marBottom w:val="0"/>
      <w:divBdr>
        <w:top w:val="none" w:sz="0" w:space="0" w:color="auto"/>
        <w:left w:val="none" w:sz="0" w:space="0" w:color="auto"/>
        <w:bottom w:val="none" w:sz="0" w:space="0" w:color="auto"/>
        <w:right w:val="none" w:sz="0" w:space="0" w:color="auto"/>
      </w:divBdr>
    </w:div>
    <w:div w:id="468674312">
      <w:bodyDiv w:val="1"/>
      <w:marLeft w:val="0"/>
      <w:marRight w:val="0"/>
      <w:marTop w:val="0"/>
      <w:marBottom w:val="0"/>
      <w:divBdr>
        <w:top w:val="none" w:sz="0" w:space="0" w:color="auto"/>
        <w:left w:val="none" w:sz="0" w:space="0" w:color="auto"/>
        <w:bottom w:val="none" w:sz="0" w:space="0" w:color="auto"/>
        <w:right w:val="none" w:sz="0" w:space="0" w:color="auto"/>
      </w:divBdr>
    </w:div>
    <w:div w:id="486867154">
      <w:bodyDiv w:val="1"/>
      <w:marLeft w:val="0"/>
      <w:marRight w:val="0"/>
      <w:marTop w:val="0"/>
      <w:marBottom w:val="0"/>
      <w:divBdr>
        <w:top w:val="none" w:sz="0" w:space="0" w:color="auto"/>
        <w:left w:val="none" w:sz="0" w:space="0" w:color="auto"/>
        <w:bottom w:val="none" w:sz="0" w:space="0" w:color="auto"/>
        <w:right w:val="none" w:sz="0" w:space="0" w:color="auto"/>
      </w:divBdr>
    </w:div>
    <w:div w:id="490175067">
      <w:bodyDiv w:val="1"/>
      <w:marLeft w:val="0"/>
      <w:marRight w:val="0"/>
      <w:marTop w:val="0"/>
      <w:marBottom w:val="0"/>
      <w:divBdr>
        <w:top w:val="none" w:sz="0" w:space="0" w:color="auto"/>
        <w:left w:val="none" w:sz="0" w:space="0" w:color="auto"/>
        <w:bottom w:val="none" w:sz="0" w:space="0" w:color="auto"/>
        <w:right w:val="none" w:sz="0" w:space="0" w:color="auto"/>
      </w:divBdr>
    </w:div>
    <w:div w:id="517625120">
      <w:bodyDiv w:val="1"/>
      <w:marLeft w:val="0"/>
      <w:marRight w:val="0"/>
      <w:marTop w:val="0"/>
      <w:marBottom w:val="0"/>
      <w:divBdr>
        <w:top w:val="none" w:sz="0" w:space="0" w:color="auto"/>
        <w:left w:val="none" w:sz="0" w:space="0" w:color="auto"/>
        <w:bottom w:val="none" w:sz="0" w:space="0" w:color="auto"/>
        <w:right w:val="none" w:sz="0" w:space="0" w:color="auto"/>
      </w:divBdr>
      <w:divsChild>
        <w:div w:id="1655177350">
          <w:marLeft w:val="0"/>
          <w:marRight w:val="0"/>
          <w:marTop w:val="0"/>
          <w:marBottom w:val="0"/>
          <w:divBdr>
            <w:top w:val="none" w:sz="0" w:space="0" w:color="auto"/>
            <w:left w:val="none" w:sz="0" w:space="0" w:color="auto"/>
            <w:bottom w:val="none" w:sz="0" w:space="0" w:color="auto"/>
            <w:right w:val="none" w:sz="0" w:space="0" w:color="auto"/>
          </w:divBdr>
          <w:divsChild>
            <w:div w:id="659427695">
              <w:marLeft w:val="0"/>
              <w:marRight w:val="0"/>
              <w:marTop w:val="0"/>
              <w:marBottom w:val="0"/>
              <w:divBdr>
                <w:top w:val="none" w:sz="0" w:space="0" w:color="auto"/>
                <w:left w:val="none" w:sz="0" w:space="0" w:color="auto"/>
                <w:bottom w:val="none" w:sz="0" w:space="0" w:color="auto"/>
                <w:right w:val="none" w:sz="0" w:space="0" w:color="auto"/>
              </w:divBdr>
              <w:divsChild>
                <w:div w:id="1898318523">
                  <w:marLeft w:val="0"/>
                  <w:marRight w:val="0"/>
                  <w:marTop w:val="0"/>
                  <w:marBottom w:val="0"/>
                  <w:divBdr>
                    <w:top w:val="none" w:sz="0" w:space="0" w:color="auto"/>
                    <w:left w:val="none" w:sz="0" w:space="0" w:color="auto"/>
                    <w:bottom w:val="none" w:sz="0" w:space="0" w:color="auto"/>
                    <w:right w:val="none" w:sz="0" w:space="0" w:color="auto"/>
                  </w:divBdr>
                  <w:divsChild>
                    <w:div w:id="1448964350">
                      <w:marLeft w:val="0"/>
                      <w:marRight w:val="0"/>
                      <w:marTop w:val="0"/>
                      <w:marBottom w:val="0"/>
                      <w:divBdr>
                        <w:top w:val="none" w:sz="0" w:space="0" w:color="auto"/>
                        <w:left w:val="none" w:sz="0" w:space="0" w:color="auto"/>
                        <w:bottom w:val="none" w:sz="0" w:space="0" w:color="auto"/>
                        <w:right w:val="none" w:sz="0" w:space="0" w:color="auto"/>
                      </w:divBdr>
                      <w:divsChild>
                        <w:div w:id="1403798258">
                          <w:marLeft w:val="0"/>
                          <w:marRight w:val="0"/>
                          <w:marTop w:val="0"/>
                          <w:marBottom w:val="0"/>
                          <w:divBdr>
                            <w:top w:val="none" w:sz="0" w:space="0" w:color="auto"/>
                            <w:left w:val="none" w:sz="0" w:space="0" w:color="auto"/>
                            <w:bottom w:val="none" w:sz="0" w:space="0" w:color="auto"/>
                            <w:right w:val="none" w:sz="0" w:space="0" w:color="auto"/>
                          </w:divBdr>
                          <w:divsChild>
                            <w:div w:id="98469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4365281">
      <w:bodyDiv w:val="1"/>
      <w:marLeft w:val="0"/>
      <w:marRight w:val="0"/>
      <w:marTop w:val="0"/>
      <w:marBottom w:val="0"/>
      <w:divBdr>
        <w:top w:val="none" w:sz="0" w:space="0" w:color="auto"/>
        <w:left w:val="none" w:sz="0" w:space="0" w:color="auto"/>
        <w:bottom w:val="none" w:sz="0" w:space="0" w:color="auto"/>
        <w:right w:val="none" w:sz="0" w:space="0" w:color="auto"/>
      </w:divBdr>
    </w:div>
    <w:div w:id="580022861">
      <w:bodyDiv w:val="1"/>
      <w:marLeft w:val="0"/>
      <w:marRight w:val="0"/>
      <w:marTop w:val="0"/>
      <w:marBottom w:val="0"/>
      <w:divBdr>
        <w:top w:val="none" w:sz="0" w:space="0" w:color="auto"/>
        <w:left w:val="none" w:sz="0" w:space="0" w:color="auto"/>
        <w:bottom w:val="none" w:sz="0" w:space="0" w:color="auto"/>
        <w:right w:val="none" w:sz="0" w:space="0" w:color="auto"/>
      </w:divBdr>
    </w:div>
    <w:div w:id="619992714">
      <w:bodyDiv w:val="1"/>
      <w:marLeft w:val="0"/>
      <w:marRight w:val="0"/>
      <w:marTop w:val="0"/>
      <w:marBottom w:val="0"/>
      <w:divBdr>
        <w:top w:val="none" w:sz="0" w:space="0" w:color="auto"/>
        <w:left w:val="none" w:sz="0" w:space="0" w:color="auto"/>
        <w:bottom w:val="none" w:sz="0" w:space="0" w:color="auto"/>
        <w:right w:val="none" w:sz="0" w:space="0" w:color="auto"/>
      </w:divBdr>
    </w:div>
    <w:div w:id="631712797">
      <w:bodyDiv w:val="1"/>
      <w:marLeft w:val="0"/>
      <w:marRight w:val="0"/>
      <w:marTop w:val="0"/>
      <w:marBottom w:val="0"/>
      <w:divBdr>
        <w:top w:val="none" w:sz="0" w:space="0" w:color="auto"/>
        <w:left w:val="none" w:sz="0" w:space="0" w:color="auto"/>
        <w:bottom w:val="none" w:sz="0" w:space="0" w:color="auto"/>
        <w:right w:val="none" w:sz="0" w:space="0" w:color="auto"/>
      </w:divBdr>
    </w:div>
    <w:div w:id="668479922">
      <w:bodyDiv w:val="1"/>
      <w:marLeft w:val="0"/>
      <w:marRight w:val="0"/>
      <w:marTop w:val="0"/>
      <w:marBottom w:val="0"/>
      <w:divBdr>
        <w:top w:val="none" w:sz="0" w:space="0" w:color="auto"/>
        <w:left w:val="none" w:sz="0" w:space="0" w:color="auto"/>
        <w:bottom w:val="none" w:sz="0" w:space="0" w:color="auto"/>
        <w:right w:val="none" w:sz="0" w:space="0" w:color="auto"/>
      </w:divBdr>
      <w:divsChild>
        <w:div w:id="1376736239">
          <w:marLeft w:val="0"/>
          <w:marRight w:val="0"/>
          <w:marTop w:val="0"/>
          <w:marBottom w:val="0"/>
          <w:divBdr>
            <w:top w:val="none" w:sz="0" w:space="0" w:color="auto"/>
            <w:left w:val="none" w:sz="0" w:space="0" w:color="auto"/>
            <w:bottom w:val="none" w:sz="0" w:space="0" w:color="auto"/>
            <w:right w:val="none" w:sz="0" w:space="0" w:color="auto"/>
          </w:divBdr>
          <w:divsChild>
            <w:div w:id="522787877">
              <w:marLeft w:val="0"/>
              <w:marRight w:val="0"/>
              <w:marTop w:val="0"/>
              <w:marBottom w:val="0"/>
              <w:divBdr>
                <w:top w:val="none" w:sz="0" w:space="0" w:color="auto"/>
                <w:left w:val="none" w:sz="0" w:space="0" w:color="auto"/>
                <w:bottom w:val="none" w:sz="0" w:space="0" w:color="auto"/>
                <w:right w:val="none" w:sz="0" w:space="0" w:color="auto"/>
              </w:divBdr>
              <w:divsChild>
                <w:div w:id="2042395257">
                  <w:marLeft w:val="0"/>
                  <w:marRight w:val="0"/>
                  <w:marTop w:val="0"/>
                  <w:marBottom w:val="0"/>
                  <w:divBdr>
                    <w:top w:val="none" w:sz="0" w:space="0" w:color="auto"/>
                    <w:left w:val="none" w:sz="0" w:space="0" w:color="auto"/>
                    <w:bottom w:val="none" w:sz="0" w:space="0" w:color="auto"/>
                    <w:right w:val="none" w:sz="0" w:space="0" w:color="auto"/>
                  </w:divBdr>
                  <w:divsChild>
                    <w:div w:id="1884320739">
                      <w:marLeft w:val="0"/>
                      <w:marRight w:val="0"/>
                      <w:marTop w:val="0"/>
                      <w:marBottom w:val="0"/>
                      <w:divBdr>
                        <w:top w:val="none" w:sz="0" w:space="0" w:color="auto"/>
                        <w:left w:val="none" w:sz="0" w:space="0" w:color="auto"/>
                        <w:bottom w:val="none" w:sz="0" w:space="0" w:color="auto"/>
                        <w:right w:val="none" w:sz="0" w:space="0" w:color="auto"/>
                      </w:divBdr>
                      <w:divsChild>
                        <w:div w:id="274869888">
                          <w:marLeft w:val="0"/>
                          <w:marRight w:val="0"/>
                          <w:marTop w:val="0"/>
                          <w:marBottom w:val="0"/>
                          <w:divBdr>
                            <w:top w:val="none" w:sz="0" w:space="0" w:color="auto"/>
                            <w:left w:val="none" w:sz="0" w:space="0" w:color="auto"/>
                            <w:bottom w:val="none" w:sz="0" w:space="0" w:color="auto"/>
                            <w:right w:val="none" w:sz="0" w:space="0" w:color="auto"/>
                          </w:divBdr>
                          <w:divsChild>
                            <w:div w:id="44767654">
                              <w:marLeft w:val="0"/>
                              <w:marRight w:val="0"/>
                              <w:marTop w:val="0"/>
                              <w:marBottom w:val="0"/>
                              <w:divBdr>
                                <w:top w:val="none" w:sz="0" w:space="0" w:color="auto"/>
                                <w:left w:val="none" w:sz="0" w:space="0" w:color="auto"/>
                                <w:bottom w:val="none" w:sz="0" w:space="0" w:color="auto"/>
                                <w:right w:val="none" w:sz="0" w:space="0" w:color="auto"/>
                              </w:divBdr>
                              <w:divsChild>
                                <w:div w:id="944462724">
                                  <w:marLeft w:val="0"/>
                                  <w:marRight w:val="0"/>
                                  <w:marTop w:val="0"/>
                                  <w:marBottom w:val="0"/>
                                  <w:divBdr>
                                    <w:top w:val="none" w:sz="0" w:space="0" w:color="auto"/>
                                    <w:left w:val="none" w:sz="0" w:space="0" w:color="auto"/>
                                    <w:bottom w:val="none" w:sz="0" w:space="0" w:color="auto"/>
                                    <w:right w:val="none" w:sz="0" w:space="0" w:color="auto"/>
                                  </w:divBdr>
                                  <w:divsChild>
                                    <w:div w:id="1322345427">
                                      <w:marLeft w:val="0"/>
                                      <w:marRight w:val="0"/>
                                      <w:marTop w:val="0"/>
                                      <w:marBottom w:val="0"/>
                                      <w:divBdr>
                                        <w:top w:val="none" w:sz="0" w:space="0" w:color="auto"/>
                                        <w:left w:val="none" w:sz="0" w:space="0" w:color="auto"/>
                                        <w:bottom w:val="none" w:sz="0" w:space="0" w:color="auto"/>
                                        <w:right w:val="none" w:sz="0" w:space="0" w:color="auto"/>
                                      </w:divBdr>
                                      <w:divsChild>
                                        <w:div w:id="1665860613">
                                          <w:marLeft w:val="0"/>
                                          <w:marRight w:val="0"/>
                                          <w:marTop w:val="0"/>
                                          <w:marBottom w:val="0"/>
                                          <w:divBdr>
                                            <w:top w:val="none" w:sz="0" w:space="0" w:color="auto"/>
                                            <w:left w:val="none" w:sz="0" w:space="0" w:color="auto"/>
                                            <w:bottom w:val="none" w:sz="0" w:space="0" w:color="auto"/>
                                            <w:right w:val="none" w:sz="0" w:space="0" w:color="auto"/>
                                          </w:divBdr>
                                          <w:divsChild>
                                            <w:div w:id="1070930938">
                                              <w:marLeft w:val="0"/>
                                              <w:marRight w:val="0"/>
                                              <w:marTop w:val="0"/>
                                              <w:marBottom w:val="0"/>
                                              <w:divBdr>
                                                <w:top w:val="none" w:sz="0" w:space="0" w:color="auto"/>
                                                <w:left w:val="none" w:sz="0" w:space="0" w:color="auto"/>
                                                <w:bottom w:val="none" w:sz="0" w:space="0" w:color="auto"/>
                                                <w:right w:val="none" w:sz="0" w:space="0" w:color="auto"/>
                                              </w:divBdr>
                                              <w:divsChild>
                                                <w:div w:id="786197490">
                                                  <w:marLeft w:val="0"/>
                                                  <w:marRight w:val="0"/>
                                                  <w:marTop w:val="0"/>
                                                  <w:marBottom w:val="0"/>
                                                  <w:divBdr>
                                                    <w:top w:val="none" w:sz="0" w:space="0" w:color="auto"/>
                                                    <w:left w:val="none" w:sz="0" w:space="0" w:color="auto"/>
                                                    <w:bottom w:val="none" w:sz="0" w:space="0" w:color="auto"/>
                                                    <w:right w:val="none" w:sz="0" w:space="0" w:color="auto"/>
                                                  </w:divBdr>
                                                  <w:divsChild>
                                                    <w:div w:id="1502350682">
                                                      <w:marLeft w:val="0"/>
                                                      <w:marRight w:val="0"/>
                                                      <w:marTop w:val="0"/>
                                                      <w:marBottom w:val="0"/>
                                                      <w:divBdr>
                                                        <w:top w:val="none" w:sz="0" w:space="0" w:color="auto"/>
                                                        <w:left w:val="none" w:sz="0" w:space="0" w:color="auto"/>
                                                        <w:bottom w:val="none" w:sz="0" w:space="0" w:color="auto"/>
                                                        <w:right w:val="none" w:sz="0" w:space="0" w:color="auto"/>
                                                      </w:divBdr>
                                                      <w:divsChild>
                                                        <w:div w:id="177177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61222955">
          <w:marLeft w:val="0"/>
          <w:marRight w:val="0"/>
          <w:marTop w:val="0"/>
          <w:marBottom w:val="0"/>
          <w:divBdr>
            <w:top w:val="none" w:sz="0" w:space="0" w:color="auto"/>
            <w:left w:val="none" w:sz="0" w:space="0" w:color="auto"/>
            <w:bottom w:val="none" w:sz="0" w:space="0" w:color="auto"/>
            <w:right w:val="none" w:sz="0" w:space="0" w:color="auto"/>
          </w:divBdr>
          <w:divsChild>
            <w:div w:id="137841644">
              <w:marLeft w:val="0"/>
              <w:marRight w:val="0"/>
              <w:marTop w:val="0"/>
              <w:marBottom w:val="0"/>
              <w:divBdr>
                <w:top w:val="none" w:sz="0" w:space="0" w:color="auto"/>
                <w:left w:val="none" w:sz="0" w:space="0" w:color="auto"/>
                <w:bottom w:val="none" w:sz="0" w:space="0" w:color="auto"/>
                <w:right w:val="none" w:sz="0" w:space="0" w:color="auto"/>
              </w:divBdr>
              <w:divsChild>
                <w:div w:id="960185909">
                  <w:marLeft w:val="0"/>
                  <w:marRight w:val="0"/>
                  <w:marTop w:val="0"/>
                  <w:marBottom w:val="0"/>
                  <w:divBdr>
                    <w:top w:val="none" w:sz="0" w:space="0" w:color="auto"/>
                    <w:left w:val="none" w:sz="0" w:space="0" w:color="auto"/>
                    <w:bottom w:val="none" w:sz="0" w:space="0" w:color="auto"/>
                    <w:right w:val="none" w:sz="0" w:space="0" w:color="auto"/>
                  </w:divBdr>
                  <w:divsChild>
                    <w:div w:id="11672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607813">
      <w:bodyDiv w:val="1"/>
      <w:marLeft w:val="0"/>
      <w:marRight w:val="0"/>
      <w:marTop w:val="0"/>
      <w:marBottom w:val="0"/>
      <w:divBdr>
        <w:top w:val="none" w:sz="0" w:space="0" w:color="auto"/>
        <w:left w:val="none" w:sz="0" w:space="0" w:color="auto"/>
        <w:bottom w:val="none" w:sz="0" w:space="0" w:color="auto"/>
        <w:right w:val="none" w:sz="0" w:space="0" w:color="auto"/>
      </w:divBdr>
    </w:div>
    <w:div w:id="727648029">
      <w:bodyDiv w:val="1"/>
      <w:marLeft w:val="0"/>
      <w:marRight w:val="0"/>
      <w:marTop w:val="0"/>
      <w:marBottom w:val="0"/>
      <w:divBdr>
        <w:top w:val="none" w:sz="0" w:space="0" w:color="auto"/>
        <w:left w:val="none" w:sz="0" w:space="0" w:color="auto"/>
        <w:bottom w:val="none" w:sz="0" w:space="0" w:color="auto"/>
        <w:right w:val="none" w:sz="0" w:space="0" w:color="auto"/>
      </w:divBdr>
    </w:div>
    <w:div w:id="752047289">
      <w:bodyDiv w:val="1"/>
      <w:marLeft w:val="0"/>
      <w:marRight w:val="0"/>
      <w:marTop w:val="0"/>
      <w:marBottom w:val="0"/>
      <w:divBdr>
        <w:top w:val="none" w:sz="0" w:space="0" w:color="auto"/>
        <w:left w:val="none" w:sz="0" w:space="0" w:color="auto"/>
        <w:bottom w:val="none" w:sz="0" w:space="0" w:color="auto"/>
        <w:right w:val="none" w:sz="0" w:space="0" w:color="auto"/>
      </w:divBdr>
    </w:div>
    <w:div w:id="804929071">
      <w:bodyDiv w:val="1"/>
      <w:marLeft w:val="0"/>
      <w:marRight w:val="0"/>
      <w:marTop w:val="0"/>
      <w:marBottom w:val="0"/>
      <w:divBdr>
        <w:top w:val="none" w:sz="0" w:space="0" w:color="auto"/>
        <w:left w:val="none" w:sz="0" w:space="0" w:color="auto"/>
        <w:bottom w:val="none" w:sz="0" w:space="0" w:color="auto"/>
        <w:right w:val="none" w:sz="0" w:space="0" w:color="auto"/>
      </w:divBdr>
    </w:div>
    <w:div w:id="819226417">
      <w:bodyDiv w:val="1"/>
      <w:marLeft w:val="0"/>
      <w:marRight w:val="0"/>
      <w:marTop w:val="0"/>
      <w:marBottom w:val="0"/>
      <w:divBdr>
        <w:top w:val="none" w:sz="0" w:space="0" w:color="auto"/>
        <w:left w:val="none" w:sz="0" w:space="0" w:color="auto"/>
        <w:bottom w:val="none" w:sz="0" w:space="0" w:color="auto"/>
        <w:right w:val="none" w:sz="0" w:space="0" w:color="auto"/>
      </w:divBdr>
      <w:divsChild>
        <w:div w:id="2012295207">
          <w:marLeft w:val="0"/>
          <w:marRight w:val="0"/>
          <w:marTop w:val="0"/>
          <w:marBottom w:val="0"/>
          <w:divBdr>
            <w:top w:val="none" w:sz="0" w:space="0" w:color="auto"/>
            <w:left w:val="none" w:sz="0" w:space="0" w:color="auto"/>
            <w:bottom w:val="none" w:sz="0" w:space="0" w:color="auto"/>
            <w:right w:val="none" w:sz="0" w:space="0" w:color="auto"/>
          </w:divBdr>
          <w:divsChild>
            <w:div w:id="1687291427">
              <w:marLeft w:val="0"/>
              <w:marRight w:val="0"/>
              <w:marTop w:val="0"/>
              <w:marBottom w:val="0"/>
              <w:divBdr>
                <w:top w:val="none" w:sz="0" w:space="0" w:color="auto"/>
                <w:left w:val="none" w:sz="0" w:space="0" w:color="auto"/>
                <w:bottom w:val="none" w:sz="0" w:space="0" w:color="auto"/>
                <w:right w:val="none" w:sz="0" w:space="0" w:color="auto"/>
              </w:divBdr>
              <w:divsChild>
                <w:div w:id="1016420928">
                  <w:marLeft w:val="0"/>
                  <w:marRight w:val="0"/>
                  <w:marTop w:val="0"/>
                  <w:marBottom w:val="0"/>
                  <w:divBdr>
                    <w:top w:val="none" w:sz="0" w:space="0" w:color="auto"/>
                    <w:left w:val="none" w:sz="0" w:space="0" w:color="auto"/>
                    <w:bottom w:val="none" w:sz="0" w:space="0" w:color="auto"/>
                    <w:right w:val="none" w:sz="0" w:space="0" w:color="auto"/>
                  </w:divBdr>
                  <w:divsChild>
                    <w:div w:id="218713168">
                      <w:marLeft w:val="0"/>
                      <w:marRight w:val="0"/>
                      <w:marTop w:val="0"/>
                      <w:marBottom w:val="0"/>
                      <w:divBdr>
                        <w:top w:val="none" w:sz="0" w:space="0" w:color="auto"/>
                        <w:left w:val="none" w:sz="0" w:space="0" w:color="auto"/>
                        <w:bottom w:val="none" w:sz="0" w:space="0" w:color="auto"/>
                        <w:right w:val="none" w:sz="0" w:space="0" w:color="auto"/>
                      </w:divBdr>
                      <w:divsChild>
                        <w:div w:id="586888683">
                          <w:marLeft w:val="0"/>
                          <w:marRight w:val="0"/>
                          <w:marTop w:val="0"/>
                          <w:marBottom w:val="0"/>
                          <w:divBdr>
                            <w:top w:val="none" w:sz="0" w:space="0" w:color="auto"/>
                            <w:left w:val="none" w:sz="0" w:space="0" w:color="auto"/>
                            <w:bottom w:val="none" w:sz="0" w:space="0" w:color="auto"/>
                            <w:right w:val="none" w:sz="0" w:space="0" w:color="auto"/>
                          </w:divBdr>
                          <w:divsChild>
                            <w:div w:id="376440359">
                              <w:marLeft w:val="0"/>
                              <w:marRight w:val="0"/>
                              <w:marTop w:val="0"/>
                              <w:marBottom w:val="0"/>
                              <w:divBdr>
                                <w:top w:val="none" w:sz="0" w:space="0" w:color="auto"/>
                                <w:left w:val="none" w:sz="0" w:space="0" w:color="auto"/>
                                <w:bottom w:val="none" w:sz="0" w:space="0" w:color="auto"/>
                                <w:right w:val="none" w:sz="0" w:space="0" w:color="auto"/>
                              </w:divBdr>
                              <w:divsChild>
                                <w:div w:id="1985038432">
                                  <w:marLeft w:val="0"/>
                                  <w:marRight w:val="0"/>
                                  <w:marTop w:val="0"/>
                                  <w:marBottom w:val="0"/>
                                  <w:divBdr>
                                    <w:top w:val="none" w:sz="0" w:space="0" w:color="auto"/>
                                    <w:left w:val="none" w:sz="0" w:space="0" w:color="auto"/>
                                    <w:bottom w:val="none" w:sz="0" w:space="0" w:color="auto"/>
                                    <w:right w:val="none" w:sz="0" w:space="0" w:color="auto"/>
                                  </w:divBdr>
                                  <w:divsChild>
                                    <w:div w:id="892160008">
                                      <w:marLeft w:val="0"/>
                                      <w:marRight w:val="0"/>
                                      <w:marTop w:val="0"/>
                                      <w:marBottom w:val="0"/>
                                      <w:divBdr>
                                        <w:top w:val="none" w:sz="0" w:space="0" w:color="auto"/>
                                        <w:left w:val="none" w:sz="0" w:space="0" w:color="auto"/>
                                        <w:bottom w:val="none" w:sz="0" w:space="0" w:color="auto"/>
                                        <w:right w:val="none" w:sz="0" w:space="0" w:color="auto"/>
                                      </w:divBdr>
                                      <w:divsChild>
                                        <w:div w:id="191848206">
                                          <w:marLeft w:val="0"/>
                                          <w:marRight w:val="0"/>
                                          <w:marTop w:val="0"/>
                                          <w:marBottom w:val="0"/>
                                          <w:divBdr>
                                            <w:top w:val="none" w:sz="0" w:space="0" w:color="auto"/>
                                            <w:left w:val="none" w:sz="0" w:space="0" w:color="auto"/>
                                            <w:bottom w:val="none" w:sz="0" w:space="0" w:color="auto"/>
                                            <w:right w:val="none" w:sz="0" w:space="0" w:color="auto"/>
                                          </w:divBdr>
                                          <w:divsChild>
                                            <w:div w:id="1787771361">
                                              <w:marLeft w:val="0"/>
                                              <w:marRight w:val="0"/>
                                              <w:marTop w:val="0"/>
                                              <w:marBottom w:val="0"/>
                                              <w:divBdr>
                                                <w:top w:val="none" w:sz="0" w:space="0" w:color="auto"/>
                                                <w:left w:val="none" w:sz="0" w:space="0" w:color="auto"/>
                                                <w:bottom w:val="none" w:sz="0" w:space="0" w:color="auto"/>
                                                <w:right w:val="none" w:sz="0" w:space="0" w:color="auto"/>
                                              </w:divBdr>
                                              <w:divsChild>
                                                <w:div w:id="1276863534">
                                                  <w:marLeft w:val="0"/>
                                                  <w:marRight w:val="0"/>
                                                  <w:marTop w:val="0"/>
                                                  <w:marBottom w:val="0"/>
                                                  <w:divBdr>
                                                    <w:top w:val="none" w:sz="0" w:space="0" w:color="auto"/>
                                                    <w:left w:val="none" w:sz="0" w:space="0" w:color="auto"/>
                                                    <w:bottom w:val="none" w:sz="0" w:space="0" w:color="auto"/>
                                                    <w:right w:val="none" w:sz="0" w:space="0" w:color="auto"/>
                                                  </w:divBdr>
                                                  <w:divsChild>
                                                    <w:div w:id="1731075723">
                                                      <w:marLeft w:val="0"/>
                                                      <w:marRight w:val="0"/>
                                                      <w:marTop w:val="0"/>
                                                      <w:marBottom w:val="0"/>
                                                      <w:divBdr>
                                                        <w:top w:val="none" w:sz="0" w:space="0" w:color="auto"/>
                                                        <w:left w:val="none" w:sz="0" w:space="0" w:color="auto"/>
                                                        <w:bottom w:val="none" w:sz="0" w:space="0" w:color="auto"/>
                                                        <w:right w:val="none" w:sz="0" w:space="0" w:color="auto"/>
                                                      </w:divBdr>
                                                      <w:divsChild>
                                                        <w:div w:id="32008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2784045">
          <w:marLeft w:val="0"/>
          <w:marRight w:val="0"/>
          <w:marTop w:val="0"/>
          <w:marBottom w:val="0"/>
          <w:divBdr>
            <w:top w:val="none" w:sz="0" w:space="0" w:color="auto"/>
            <w:left w:val="none" w:sz="0" w:space="0" w:color="auto"/>
            <w:bottom w:val="none" w:sz="0" w:space="0" w:color="auto"/>
            <w:right w:val="none" w:sz="0" w:space="0" w:color="auto"/>
          </w:divBdr>
          <w:divsChild>
            <w:div w:id="1980066754">
              <w:marLeft w:val="0"/>
              <w:marRight w:val="0"/>
              <w:marTop w:val="0"/>
              <w:marBottom w:val="0"/>
              <w:divBdr>
                <w:top w:val="none" w:sz="0" w:space="0" w:color="auto"/>
                <w:left w:val="none" w:sz="0" w:space="0" w:color="auto"/>
                <w:bottom w:val="none" w:sz="0" w:space="0" w:color="auto"/>
                <w:right w:val="none" w:sz="0" w:space="0" w:color="auto"/>
              </w:divBdr>
              <w:divsChild>
                <w:div w:id="1632056096">
                  <w:marLeft w:val="0"/>
                  <w:marRight w:val="0"/>
                  <w:marTop w:val="0"/>
                  <w:marBottom w:val="0"/>
                  <w:divBdr>
                    <w:top w:val="none" w:sz="0" w:space="0" w:color="auto"/>
                    <w:left w:val="none" w:sz="0" w:space="0" w:color="auto"/>
                    <w:bottom w:val="none" w:sz="0" w:space="0" w:color="auto"/>
                    <w:right w:val="none" w:sz="0" w:space="0" w:color="auto"/>
                  </w:divBdr>
                  <w:divsChild>
                    <w:div w:id="175828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409748">
      <w:bodyDiv w:val="1"/>
      <w:marLeft w:val="0"/>
      <w:marRight w:val="0"/>
      <w:marTop w:val="0"/>
      <w:marBottom w:val="0"/>
      <w:divBdr>
        <w:top w:val="none" w:sz="0" w:space="0" w:color="auto"/>
        <w:left w:val="none" w:sz="0" w:space="0" w:color="auto"/>
        <w:bottom w:val="none" w:sz="0" w:space="0" w:color="auto"/>
        <w:right w:val="none" w:sz="0" w:space="0" w:color="auto"/>
      </w:divBdr>
    </w:div>
    <w:div w:id="834608999">
      <w:bodyDiv w:val="1"/>
      <w:marLeft w:val="0"/>
      <w:marRight w:val="0"/>
      <w:marTop w:val="0"/>
      <w:marBottom w:val="0"/>
      <w:divBdr>
        <w:top w:val="none" w:sz="0" w:space="0" w:color="auto"/>
        <w:left w:val="none" w:sz="0" w:space="0" w:color="auto"/>
        <w:bottom w:val="none" w:sz="0" w:space="0" w:color="auto"/>
        <w:right w:val="none" w:sz="0" w:space="0" w:color="auto"/>
      </w:divBdr>
    </w:div>
    <w:div w:id="842668821">
      <w:bodyDiv w:val="1"/>
      <w:marLeft w:val="0"/>
      <w:marRight w:val="0"/>
      <w:marTop w:val="0"/>
      <w:marBottom w:val="0"/>
      <w:divBdr>
        <w:top w:val="none" w:sz="0" w:space="0" w:color="auto"/>
        <w:left w:val="none" w:sz="0" w:space="0" w:color="auto"/>
        <w:bottom w:val="none" w:sz="0" w:space="0" w:color="auto"/>
        <w:right w:val="none" w:sz="0" w:space="0" w:color="auto"/>
      </w:divBdr>
    </w:div>
    <w:div w:id="880169514">
      <w:bodyDiv w:val="1"/>
      <w:marLeft w:val="0"/>
      <w:marRight w:val="0"/>
      <w:marTop w:val="0"/>
      <w:marBottom w:val="0"/>
      <w:divBdr>
        <w:top w:val="none" w:sz="0" w:space="0" w:color="auto"/>
        <w:left w:val="none" w:sz="0" w:space="0" w:color="auto"/>
        <w:bottom w:val="none" w:sz="0" w:space="0" w:color="auto"/>
        <w:right w:val="none" w:sz="0" w:space="0" w:color="auto"/>
      </w:divBdr>
    </w:div>
    <w:div w:id="884292267">
      <w:bodyDiv w:val="1"/>
      <w:marLeft w:val="0"/>
      <w:marRight w:val="0"/>
      <w:marTop w:val="0"/>
      <w:marBottom w:val="0"/>
      <w:divBdr>
        <w:top w:val="none" w:sz="0" w:space="0" w:color="auto"/>
        <w:left w:val="none" w:sz="0" w:space="0" w:color="auto"/>
        <w:bottom w:val="none" w:sz="0" w:space="0" w:color="auto"/>
        <w:right w:val="none" w:sz="0" w:space="0" w:color="auto"/>
      </w:divBdr>
      <w:divsChild>
        <w:div w:id="33166696">
          <w:marLeft w:val="0"/>
          <w:marRight w:val="0"/>
          <w:marTop w:val="0"/>
          <w:marBottom w:val="0"/>
          <w:divBdr>
            <w:top w:val="none" w:sz="0" w:space="0" w:color="auto"/>
            <w:left w:val="none" w:sz="0" w:space="0" w:color="auto"/>
            <w:bottom w:val="none" w:sz="0" w:space="0" w:color="auto"/>
            <w:right w:val="none" w:sz="0" w:space="0" w:color="auto"/>
          </w:divBdr>
          <w:divsChild>
            <w:div w:id="80178427">
              <w:marLeft w:val="0"/>
              <w:marRight w:val="0"/>
              <w:marTop w:val="0"/>
              <w:marBottom w:val="0"/>
              <w:divBdr>
                <w:top w:val="none" w:sz="0" w:space="0" w:color="auto"/>
                <w:left w:val="none" w:sz="0" w:space="0" w:color="auto"/>
                <w:bottom w:val="none" w:sz="0" w:space="0" w:color="auto"/>
                <w:right w:val="none" w:sz="0" w:space="0" w:color="auto"/>
              </w:divBdr>
              <w:divsChild>
                <w:div w:id="399446741">
                  <w:marLeft w:val="0"/>
                  <w:marRight w:val="0"/>
                  <w:marTop w:val="0"/>
                  <w:marBottom w:val="0"/>
                  <w:divBdr>
                    <w:top w:val="none" w:sz="0" w:space="0" w:color="auto"/>
                    <w:left w:val="none" w:sz="0" w:space="0" w:color="auto"/>
                    <w:bottom w:val="none" w:sz="0" w:space="0" w:color="auto"/>
                    <w:right w:val="none" w:sz="0" w:space="0" w:color="auto"/>
                  </w:divBdr>
                  <w:divsChild>
                    <w:div w:id="383219210">
                      <w:marLeft w:val="0"/>
                      <w:marRight w:val="0"/>
                      <w:marTop w:val="0"/>
                      <w:marBottom w:val="0"/>
                      <w:divBdr>
                        <w:top w:val="none" w:sz="0" w:space="0" w:color="auto"/>
                        <w:left w:val="none" w:sz="0" w:space="0" w:color="auto"/>
                        <w:bottom w:val="none" w:sz="0" w:space="0" w:color="auto"/>
                        <w:right w:val="none" w:sz="0" w:space="0" w:color="auto"/>
                      </w:divBdr>
                      <w:divsChild>
                        <w:div w:id="1216233837">
                          <w:marLeft w:val="0"/>
                          <w:marRight w:val="0"/>
                          <w:marTop w:val="0"/>
                          <w:marBottom w:val="0"/>
                          <w:divBdr>
                            <w:top w:val="none" w:sz="0" w:space="0" w:color="auto"/>
                            <w:left w:val="none" w:sz="0" w:space="0" w:color="auto"/>
                            <w:bottom w:val="none" w:sz="0" w:space="0" w:color="auto"/>
                            <w:right w:val="none" w:sz="0" w:space="0" w:color="auto"/>
                          </w:divBdr>
                          <w:divsChild>
                            <w:div w:id="62223390">
                              <w:marLeft w:val="0"/>
                              <w:marRight w:val="0"/>
                              <w:marTop w:val="0"/>
                              <w:marBottom w:val="0"/>
                              <w:divBdr>
                                <w:top w:val="none" w:sz="0" w:space="0" w:color="auto"/>
                                <w:left w:val="none" w:sz="0" w:space="0" w:color="auto"/>
                                <w:bottom w:val="none" w:sz="0" w:space="0" w:color="auto"/>
                                <w:right w:val="none" w:sz="0" w:space="0" w:color="auto"/>
                              </w:divBdr>
                              <w:divsChild>
                                <w:div w:id="950207421">
                                  <w:marLeft w:val="0"/>
                                  <w:marRight w:val="0"/>
                                  <w:marTop w:val="0"/>
                                  <w:marBottom w:val="0"/>
                                  <w:divBdr>
                                    <w:top w:val="none" w:sz="0" w:space="0" w:color="auto"/>
                                    <w:left w:val="none" w:sz="0" w:space="0" w:color="auto"/>
                                    <w:bottom w:val="none" w:sz="0" w:space="0" w:color="auto"/>
                                    <w:right w:val="none" w:sz="0" w:space="0" w:color="auto"/>
                                  </w:divBdr>
                                  <w:divsChild>
                                    <w:div w:id="315650291">
                                      <w:marLeft w:val="0"/>
                                      <w:marRight w:val="0"/>
                                      <w:marTop w:val="0"/>
                                      <w:marBottom w:val="0"/>
                                      <w:divBdr>
                                        <w:top w:val="none" w:sz="0" w:space="0" w:color="auto"/>
                                        <w:left w:val="none" w:sz="0" w:space="0" w:color="auto"/>
                                        <w:bottom w:val="none" w:sz="0" w:space="0" w:color="auto"/>
                                        <w:right w:val="none" w:sz="0" w:space="0" w:color="auto"/>
                                      </w:divBdr>
                                      <w:divsChild>
                                        <w:div w:id="713387289">
                                          <w:marLeft w:val="0"/>
                                          <w:marRight w:val="0"/>
                                          <w:marTop w:val="0"/>
                                          <w:marBottom w:val="0"/>
                                          <w:divBdr>
                                            <w:top w:val="none" w:sz="0" w:space="0" w:color="auto"/>
                                            <w:left w:val="none" w:sz="0" w:space="0" w:color="auto"/>
                                            <w:bottom w:val="none" w:sz="0" w:space="0" w:color="auto"/>
                                            <w:right w:val="none" w:sz="0" w:space="0" w:color="auto"/>
                                          </w:divBdr>
                                          <w:divsChild>
                                            <w:div w:id="1871650145">
                                              <w:marLeft w:val="0"/>
                                              <w:marRight w:val="0"/>
                                              <w:marTop w:val="0"/>
                                              <w:marBottom w:val="0"/>
                                              <w:divBdr>
                                                <w:top w:val="none" w:sz="0" w:space="0" w:color="auto"/>
                                                <w:left w:val="none" w:sz="0" w:space="0" w:color="auto"/>
                                                <w:bottom w:val="none" w:sz="0" w:space="0" w:color="auto"/>
                                                <w:right w:val="none" w:sz="0" w:space="0" w:color="auto"/>
                                              </w:divBdr>
                                              <w:divsChild>
                                                <w:div w:id="1990742555">
                                                  <w:marLeft w:val="0"/>
                                                  <w:marRight w:val="0"/>
                                                  <w:marTop w:val="0"/>
                                                  <w:marBottom w:val="0"/>
                                                  <w:divBdr>
                                                    <w:top w:val="none" w:sz="0" w:space="0" w:color="auto"/>
                                                    <w:left w:val="none" w:sz="0" w:space="0" w:color="auto"/>
                                                    <w:bottom w:val="none" w:sz="0" w:space="0" w:color="auto"/>
                                                    <w:right w:val="none" w:sz="0" w:space="0" w:color="auto"/>
                                                  </w:divBdr>
                                                  <w:divsChild>
                                                    <w:div w:id="1512990300">
                                                      <w:marLeft w:val="0"/>
                                                      <w:marRight w:val="0"/>
                                                      <w:marTop w:val="0"/>
                                                      <w:marBottom w:val="0"/>
                                                      <w:divBdr>
                                                        <w:top w:val="none" w:sz="0" w:space="0" w:color="auto"/>
                                                        <w:left w:val="none" w:sz="0" w:space="0" w:color="auto"/>
                                                        <w:bottom w:val="none" w:sz="0" w:space="0" w:color="auto"/>
                                                        <w:right w:val="none" w:sz="0" w:space="0" w:color="auto"/>
                                                      </w:divBdr>
                                                      <w:divsChild>
                                                        <w:div w:id="113063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2360361">
          <w:marLeft w:val="0"/>
          <w:marRight w:val="0"/>
          <w:marTop w:val="0"/>
          <w:marBottom w:val="0"/>
          <w:divBdr>
            <w:top w:val="none" w:sz="0" w:space="0" w:color="auto"/>
            <w:left w:val="none" w:sz="0" w:space="0" w:color="auto"/>
            <w:bottom w:val="none" w:sz="0" w:space="0" w:color="auto"/>
            <w:right w:val="none" w:sz="0" w:space="0" w:color="auto"/>
          </w:divBdr>
          <w:divsChild>
            <w:div w:id="1402098967">
              <w:marLeft w:val="0"/>
              <w:marRight w:val="0"/>
              <w:marTop w:val="0"/>
              <w:marBottom w:val="0"/>
              <w:divBdr>
                <w:top w:val="none" w:sz="0" w:space="0" w:color="auto"/>
                <w:left w:val="none" w:sz="0" w:space="0" w:color="auto"/>
                <w:bottom w:val="none" w:sz="0" w:space="0" w:color="auto"/>
                <w:right w:val="none" w:sz="0" w:space="0" w:color="auto"/>
              </w:divBdr>
              <w:divsChild>
                <w:div w:id="1533154024">
                  <w:marLeft w:val="0"/>
                  <w:marRight w:val="0"/>
                  <w:marTop w:val="0"/>
                  <w:marBottom w:val="0"/>
                  <w:divBdr>
                    <w:top w:val="none" w:sz="0" w:space="0" w:color="auto"/>
                    <w:left w:val="none" w:sz="0" w:space="0" w:color="auto"/>
                    <w:bottom w:val="none" w:sz="0" w:space="0" w:color="auto"/>
                    <w:right w:val="none" w:sz="0" w:space="0" w:color="auto"/>
                  </w:divBdr>
                  <w:divsChild>
                    <w:div w:id="85977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003165">
      <w:bodyDiv w:val="1"/>
      <w:marLeft w:val="0"/>
      <w:marRight w:val="0"/>
      <w:marTop w:val="0"/>
      <w:marBottom w:val="0"/>
      <w:divBdr>
        <w:top w:val="none" w:sz="0" w:space="0" w:color="auto"/>
        <w:left w:val="none" w:sz="0" w:space="0" w:color="auto"/>
        <w:bottom w:val="none" w:sz="0" w:space="0" w:color="auto"/>
        <w:right w:val="none" w:sz="0" w:space="0" w:color="auto"/>
      </w:divBdr>
    </w:div>
    <w:div w:id="944046331">
      <w:bodyDiv w:val="1"/>
      <w:marLeft w:val="0"/>
      <w:marRight w:val="0"/>
      <w:marTop w:val="0"/>
      <w:marBottom w:val="0"/>
      <w:divBdr>
        <w:top w:val="none" w:sz="0" w:space="0" w:color="auto"/>
        <w:left w:val="none" w:sz="0" w:space="0" w:color="auto"/>
        <w:bottom w:val="none" w:sz="0" w:space="0" w:color="auto"/>
        <w:right w:val="none" w:sz="0" w:space="0" w:color="auto"/>
      </w:divBdr>
    </w:div>
    <w:div w:id="946615219">
      <w:bodyDiv w:val="1"/>
      <w:marLeft w:val="0"/>
      <w:marRight w:val="0"/>
      <w:marTop w:val="0"/>
      <w:marBottom w:val="0"/>
      <w:divBdr>
        <w:top w:val="none" w:sz="0" w:space="0" w:color="auto"/>
        <w:left w:val="none" w:sz="0" w:space="0" w:color="auto"/>
        <w:bottom w:val="none" w:sz="0" w:space="0" w:color="auto"/>
        <w:right w:val="none" w:sz="0" w:space="0" w:color="auto"/>
      </w:divBdr>
    </w:div>
    <w:div w:id="955454193">
      <w:bodyDiv w:val="1"/>
      <w:marLeft w:val="0"/>
      <w:marRight w:val="0"/>
      <w:marTop w:val="0"/>
      <w:marBottom w:val="0"/>
      <w:divBdr>
        <w:top w:val="none" w:sz="0" w:space="0" w:color="auto"/>
        <w:left w:val="none" w:sz="0" w:space="0" w:color="auto"/>
        <w:bottom w:val="none" w:sz="0" w:space="0" w:color="auto"/>
        <w:right w:val="none" w:sz="0" w:space="0" w:color="auto"/>
      </w:divBdr>
    </w:div>
    <w:div w:id="960307675">
      <w:bodyDiv w:val="1"/>
      <w:marLeft w:val="0"/>
      <w:marRight w:val="0"/>
      <w:marTop w:val="0"/>
      <w:marBottom w:val="0"/>
      <w:divBdr>
        <w:top w:val="none" w:sz="0" w:space="0" w:color="auto"/>
        <w:left w:val="none" w:sz="0" w:space="0" w:color="auto"/>
        <w:bottom w:val="none" w:sz="0" w:space="0" w:color="auto"/>
        <w:right w:val="none" w:sz="0" w:space="0" w:color="auto"/>
      </w:divBdr>
    </w:div>
    <w:div w:id="971523888">
      <w:bodyDiv w:val="1"/>
      <w:marLeft w:val="0"/>
      <w:marRight w:val="0"/>
      <w:marTop w:val="0"/>
      <w:marBottom w:val="0"/>
      <w:divBdr>
        <w:top w:val="none" w:sz="0" w:space="0" w:color="auto"/>
        <w:left w:val="none" w:sz="0" w:space="0" w:color="auto"/>
        <w:bottom w:val="none" w:sz="0" w:space="0" w:color="auto"/>
        <w:right w:val="none" w:sz="0" w:space="0" w:color="auto"/>
      </w:divBdr>
    </w:div>
    <w:div w:id="974874030">
      <w:bodyDiv w:val="1"/>
      <w:marLeft w:val="0"/>
      <w:marRight w:val="0"/>
      <w:marTop w:val="0"/>
      <w:marBottom w:val="0"/>
      <w:divBdr>
        <w:top w:val="none" w:sz="0" w:space="0" w:color="auto"/>
        <w:left w:val="none" w:sz="0" w:space="0" w:color="auto"/>
        <w:bottom w:val="none" w:sz="0" w:space="0" w:color="auto"/>
        <w:right w:val="none" w:sz="0" w:space="0" w:color="auto"/>
      </w:divBdr>
      <w:divsChild>
        <w:div w:id="788474326">
          <w:marLeft w:val="0"/>
          <w:marRight w:val="0"/>
          <w:marTop w:val="0"/>
          <w:marBottom w:val="0"/>
          <w:divBdr>
            <w:top w:val="none" w:sz="0" w:space="0" w:color="auto"/>
            <w:left w:val="none" w:sz="0" w:space="0" w:color="auto"/>
            <w:bottom w:val="none" w:sz="0" w:space="0" w:color="auto"/>
            <w:right w:val="none" w:sz="0" w:space="0" w:color="auto"/>
          </w:divBdr>
          <w:divsChild>
            <w:div w:id="1720200296">
              <w:marLeft w:val="0"/>
              <w:marRight w:val="0"/>
              <w:marTop w:val="0"/>
              <w:marBottom w:val="0"/>
              <w:divBdr>
                <w:top w:val="none" w:sz="0" w:space="0" w:color="auto"/>
                <w:left w:val="none" w:sz="0" w:space="0" w:color="auto"/>
                <w:bottom w:val="none" w:sz="0" w:space="0" w:color="auto"/>
                <w:right w:val="none" w:sz="0" w:space="0" w:color="auto"/>
              </w:divBdr>
              <w:divsChild>
                <w:div w:id="886529440">
                  <w:marLeft w:val="0"/>
                  <w:marRight w:val="0"/>
                  <w:marTop w:val="0"/>
                  <w:marBottom w:val="0"/>
                  <w:divBdr>
                    <w:top w:val="none" w:sz="0" w:space="0" w:color="auto"/>
                    <w:left w:val="none" w:sz="0" w:space="0" w:color="auto"/>
                    <w:bottom w:val="none" w:sz="0" w:space="0" w:color="auto"/>
                    <w:right w:val="none" w:sz="0" w:space="0" w:color="auto"/>
                  </w:divBdr>
                  <w:divsChild>
                    <w:div w:id="1159081455">
                      <w:marLeft w:val="0"/>
                      <w:marRight w:val="0"/>
                      <w:marTop w:val="0"/>
                      <w:marBottom w:val="0"/>
                      <w:divBdr>
                        <w:top w:val="none" w:sz="0" w:space="0" w:color="auto"/>
                        <w:left w:val="none" w:sz="0" w:space="0" w:color="auto"/>
                        <w:bottom w:val="none" w:sz="0" w:space="0" w:color="auto"/>
                        <w:right w:val="none" w:sz="0" w:space="0" w:color="auto"/>
                      </w:divBdr>
                      <w:divsChild>
                        <w:div w:id="918753907">
                          <w:marLeft w:val="0"/>
                          <w:marRight w:val="0"/>
                          <w:marTop w:val="0"/>
                          <w:marBottom w:val="0"/>
                          <w:divBdr>
                            <w:top w:val="none" w:sz="0" w:space="0" w:color="auto"/>
                            <w:left w:val="none" w:sz="0" w:space="0" w:color="auto"/>
                            <w:bottom w:val="none" w:sz="0" w:space="0" w:color="auto"/>
                            <w:right w:val="none" w:sz="0" w:space="0" w:color="auto"/>
                          </w:divBdr>
                          <w:divsChild>
                            <w:div w:id="500236946">
                              <w:marLeft w:val="0"/>
                              <w:marRight w:val="0"/>
                              <w:marTop w:val="0"/>
                              <w:marBottom w:val="0"/>
                              <w:divBdr>
                                <w:top w:val="none" w:sz="0" w:space="0" w:color="auto"/>
                                <w:left w:val="none" w:sz="0" w:space="0" w:color="auto"/>
                                <w:bottom w:val="none" w:sz="0" w:space="0" w:color="auto"/>
                                <w:right w:val="none" w:sz="0" w:space="0" w:color="auto"/>
                              </w:divBdr>
                              <w:divsChild>
                                <w:div w:id="1429814417">
                                  <w:marLeft w:val="0"/>
                                  <w:marRight w:val="0"/>
                                  <w:marTop w:val="0"/>
                                  <w:marBottom w:val="0"/>
                                  <w:divBdr>
                                    <w:top w:val="none" w:sz="0" w:space="0" w:color="auto"/>
                                    <w:left w:val="none" w:sz="0" w:space="0" w:color="auto"/>
                                    <w:bottom w:val="none" w:sz="0" w:space="0" w:color="auto"/>
                                    <w:right w:val="none" w:sz="0" w:space="0" w:color="auto"/>
                                  </w:divBdr>
                                  <w:divsChild>
                                    <w:div w:id="889731598">
                                      <w:marLeft w:val="0"/>
                                      <w:marRight w:val="0"/>
                                      <w:marTop w:val="0"/>
                                      <w:marBottom w:val="0"/>
                                      <w:divBdr>
                                        <w:top w:val="none" w:sz="0" w:space="0" w:color="auto"/>
                                        <w:left w:val="none" w:sz="0" w:space="0" w:color="auto"/>
                                        <w:bottom w:val="none" w:sz="0" w:space="0" w:color="auto"/>
                                        <w:right w:val="none" w:sz="0" w:space="0" w:color="auto"/>
                                      </w:divBdr>
                                      <w:divsChild>
                                        <w:div w:id="968055152">
                                          <w:marLeft w:val="0"/>
                                          <w:marRight w:val="0"/>
                                          <w:marTop w:val="0"/>
                                          <w:marBottom w:val="0"/>
                                          <w:divBdr>
                                            <w:top w:val="none" w:sz="0" w:space="0" w:color="auto"/>
                                            <w:left w:val="none" w:sz="0" w:space="0" w:color="auto"/>
                                            <w:bottom w:val="none" w:sz="0" w:space="0" w:color="auto"/>
                                            <w:right w:val="none" w:sz="0" w:space="0" w:color="auto"/>
                                          </w:divBdr>
                                          <w:divsChild>
                                            <w:div w:id="1674838438">
                                              <w:marLeft w:val="0"/>
                                              <w:marRight w:val="0"/>
                                              <w:marTop w:val="0"/>
                                              <w:marBottom w:val="0"/>
                                              <w:divBdr>
                                                <w:top w:val="none" w:sz="0" w:space="0" w:color="auto"/>
                                                <w:left w:val="none" w:sz="0" w:space="0" w:color="auto"/>
                                                <w:bottom w:val="none" w:sz="0" w:space="0" w:color="auto"/>
                                                <w:right w:val="none" w:sz="0" w:space="0" w:color="auto"/>
                                              </w:divBdr>
                                              <w:divsChild>
                                                <w:div w:id="1896314374">
                                                  <w:marLeft w:val="0"/>
                                                  <w:marRight w:val="0"/>
                                                  <w:marTop w:val="0"/>
                                                  <w:marBottom w:val="0"/>
                                                  <w:divBdr>
                                                    <w:top w:val="none" w:sz="0" w:space="0" w:color="auto"/>
                                                    <w:left w:val="none" w:sz="0" w:space="0" w:color="auto"/>
                                                    <w:bottom w:val="none" w:sz="0" w:space="0" w:color="auto"/>
                                                    <w:right w:val="none" w:sz="0" w:space="0" w:color="auto"/>
                                                  </w:divBdr>
                                                  <w:divsChild>
                                                    <w:div w:id="1661229622">
                                                      <w:marLeft w:val="0"/>
                                                      <w:marRight w:val="0"/>
                                                      <w:marTop w:val="0"/>
                                                      <w:marBottom w:val="0"/>
                                                      <w:divBdr>
                                                        <w:top w:val="none" w:sz="0" w:space="0" w:color="auto"/>
                                                        <w:left w:val="none" w:sz="0" w:space="0" w:color="auto"/>
                                                        <w:bottom w:val="none" w:sz="0" w:space="0" w:color="auto"/>
                                                        <w:right w:val="none" w:sz="0" w:space="0" w:color="auto"/>
                                                      </w:divBdr>
                                                      <w:divsChild>
                                                        <w:div w:id="96056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40478937">
          <w:marLeft w:val="0"/>
          <w:marRight w:val="0"/>
          <w:marTop w:val="0"/>
          <w:marBottom w:val="0"/>
          <w:divBdr>
            <w:top w:val="none" w:sz="0" w:space="0" w:color="auto"/>
            <w:left w:val="none" w:sz="0" w:space="0" w:color="auto"/>
            <w:bottom w:val="none" w:sz="0" w:space="0" w:color="auto"/>
            <w:right w:val="none" w:sz="0" w:space="0" w:color="auto"/>
          </w:divBdr>
          <w:divsChild>
            <w:div w:id="1440486195">
              <w:marLeft w:val="0"/>
              <w:marRight w:val="0"/>
              <w:marTop w:val="0"/>
              <w:marBottom w:val="0"/>
              <w:divBdr>
                <w:top w:val="none" w:sz="0" w:space="0" w:color="auto"/>
                <w:left w:val="none" w:sz="0" w:space="0" w:color="auto"/>
                <w:bottom w:val="none" w:sz="0" w:space="0" w:color="auto"/>
                <w:right w:val="none" w:sz="0" w:space="0" w:color="auto"/>
              </w:divBdr>
              <w:divsChild>
                <w:div w:id="1726444874">
                  <w:marLeft w:val="0"/>
                  <w:marRight w:val="0"/>
                  <w:marTop w:val="0"/>
                  <w:marBottom w:val="0"/>
                  <w:divBdr>
                    <w:top w:val="none" w:sz="0" w:space="0" w:color="auto"/>
                    <w:left w:val="none" w:sz="0" w:space="0" w:color="auto"/>
                    <w:bottom w:val="none" w:sz="0" w:space="0" w:color="auto"/>
                    <w:right w:val="none" w:sz="0" w:space="0" w:color="auto"/>
                  </w:divBdr>
                  <w:divsChild>
                    <w:div w:id="212422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191995">
      <w:bodyDiv w:val="1"/>
      <w:marLeft w:val="0"/>
      <w:marRight w:val="0"/>
      <w:marTop w:val="0"/>
      <w:marBottom w:val="0"/>
      <w:divBdr>
        <w:top w:val="none" w:sz="0" w:space="0" w:color="auto"/>
        <w:left w:val="none" w:sz="0" w:space="0" w:color="auto"/>
        <w:bottom w:val="none" w:sz="0" w:space="0" w:color="auto"/>
        <w:right w:val="none" w:sz="0" w:space="0" w:color="auto"/>
      </w:divBdr>
    </w:div>
    <w:div w:id="996805778">
      <w:bodyDiv w:val="1"/>
      <w:marLeft w:val="0"/>
      <w:marRight w:val="0"/>
      <w:marTop w:val="0"/>
      <w:marBottom w:val="0"/>
      <w:divBdr>
        <w:top w:val="none" w:sz="0" w:space="0" w:color="auto"/>
        <w:left w:val="none" w:sz="0" w:space="0" w:color="auto"/>
        <w:bottom w:val="none" w:sz="0" w:space="0" w:color="auto"/>
        <w:right w:val="none" w:sz="0" w:space="0" w:color="auto"/>
      </w:divBdr>
      <w:divsChild>
        <w:div w:id="302121987">
          <w:marLeft w:val="0"/>
          <w:marRight w:val="0"/>
          <w:marTop w:val="0"/>
          <w:marBottom w:val="0"/>
          <w:divBdr>
            <w:top w:val="none" w:sz="0" w:space="0" w:color="auto"/>
            <w:left w:val="none" w:sz="0" w:space="0" w:color="auto"/>
            <w:bottom w:val="none" w:sz="0" w:space="0" w:color="auto"/>
            <w:right w:val="none" w:sz="0" w:space="0" w:color="auto"/>
          </w:divBdr>
          <w:divsChild>
            <w:div w:id="1531340758">
              <w:marLeft w:val="0"/>
              <w:marRight w:val="0"/>
              <w:marTop w:val="0"/>
              <w:marBottom w:val="0"/>
              <w:divBdr>
                <w:top w:val="none" w:sz="0" w:space="0" w:color="auto"/>
                <w:left w:val="none" w:sz="0" w:space="0" w:color="auto"/>
                <w:bottom w:val="none" w:sz="0" w:space="0" w:color="auto"/>
                <w:right w:val="none" w:sz="0" w:space="0" w:color="auto"/>
              </w:divBdr>
              <w:divsChild>
                <w:div w:id="1953393300">
                  <w:marLeft w:val="0"/>
                  <w:marRight w:val="0"/>
                  <w:marTop w:val="0"/>
                  <w:marBottom w:val="0"/>
                  <w:divBdr>
                    <w:top w:val="none" w:sz="0" w:space="0" w:color="auto"/>
                    <w:left w:val="none" w:sz="0" w:space="0" w:color="auto"/>
                    <w:bottom w:val="none" w:sz="0" w:space="0" w:color="auto"/>
                    <w:right w:val="none" w:sz="0" w:space="0" w:color="auto"/>
                  </w:divBdr>
                  <w:divsChild>
                    <w:div w:id="514811310">
                      <w:marLeft w:val="0"/>
                      <w:marRight w:val="0"/>
                      <w:marTop w:val="0"/>
                      <w:marBottom w:val="0"/>
                      <w:divBdr>
                        <w:top w:val="none" w:sz="0" w:space="0" w:color="auto"/>
                        <w:left w:val="none" w:sz="0" w:space="0" w:color="auto"/>
                        <w:bottom w:val="none" w:sz="0" w:space="0" w:color="auto"/>
                        <w:right w:val="none" w:sz="0" w:space="0" w:color="auto"/>
                      </w:divBdr>
                      <w:divsChild>
                        <w:div w:id="344290153">
                          <w:marLeft w:val="0"/>
                          <w:marRight w:val="0"/>
                          <w:marTop w:val="0"/>
                          <w:marBottom w:val="0"/>
                          <w:divBdr>
                            <w:top w:val="none" w:sz="0" w:space="0" w:color="auto"/>
                            <w:left w:val="none" w:sz="0" w:space="0" w:color="auto"/>
                            <w:bottom w:val="none" w:sz="0" w:space="0" w:color="auto"/>
                            <w:right w:val="none" w:sz="0" w:space="0" w:color="auto"/>
                          </w:divBdr>
                          <w:divsChild>
                            <w:div w:id="273943520">
                              <w:marLeft w:val="0"/>
                              <w:marRight w:val="0"/>
                              <w:marTop w:val="0"/>
                              <w:marBottom w:val="0"/>
                              <w:divBdr>
                                <w:top w:val="none" w:sz="0" w:space="0" w:color="auto"/>
                                <w:left w:val="none" w:sz="0" w:space="0" w:color="auto"/>
                                <w:bottom w:val="none" w:sz="0" w:space="0" w:color="auto"/>
                                <w:right w:val="none" w:sz="0" w:space="0" w:color="auto"/>
                              </w:divBdr>
                              <w:divsChild>
                                <w:div w:id="1120759986">
                                  <w:marLeft w:val="0"/>
                                  <w:marRight w:val="0"/>
                                  <w:marTop w:val="0"/>
                                  <w:marBottom w:val="0"/>
                                  <w:divBdr>
                                    <w:top w:val="none" w:sz="0" w:space="0" w:color="auto"/>
                                    <w:left w:val="none" w:sz="0" w:space="0" w:color="auto"/>
                                    <w:bottom w:val="none" w:sz="0" w:space="0" w:color="auto"/>
                                    <w:right w:val="none" w:sz="0" w:space="0" w:color="auto"/>
                                  </w:divBdr>
                                  <w:divsChild>
                                    <w:div w:id="1884172056">
                                      <w:marLeft w:val="0"/>
                                      <w:marRight w:val="0"/>
                                      <w:marTop w:val="0"/>
                                      <w:marBottom w:val="0"/>
                                      <w:divBdr>
                                        <w:top w:val="none" w:sz="0" w:space="0" w:color="auto"/>
                                        <w:left w:val="none" w:sz="0" w:space="0" w:color="auto"/>
                                        <w:bottom w:val="none" w:sz="0" w:space="0" w:color="auto"/>
                                        <w:right w:val="none" w:sz="0" w:space="0" w:color="auto"/>
                                      </w:divBdr>
                                      <w:divsChild>
                                        <w:div w:id="1688093580">
                                          <w:marLeft w:val="0"/>
                                          <w:marRight w:val="0"/>
                                          <w:marTop w:val="0"/>
                                          <w:marBottom w:val="0"/>
                                          <w:divBdr>
                                            <w:top w:val="none" w:sz="0" w:space="0" w:color="auto"/>
                                            <w:left w:val="none" w:sz="0" w:space="0" w:color="auto"/>
                                            <w:bottom w:val="none" w:sz="0" w:space="0" w:color="auto"/>
                                            <w:right w:val="none" w:sz="0" w:space="0" w:color="auto"/>
                                          </w:divBdr>
                                          <w:divsChild>
                                            <w:div w:id="2113818332">
                                              <w:marLeft w:val="0"/>
                                              <w:marRight w:val="0"/>
                                              <w:marTop w:val="0"/>
                                              <w:marBottom w:val="0"/>
                                              <w:divBdr>
                                                <w:top w:val="none" w:sz="0" w:space="0" w:color="auto"/>
                                                <w:left w:val="none" w:sz="0" w:space="0" w:color="auto"/>
                                                <w:bottom w:val="none" w:sz="0" w:space="0" w:color="auto"/>
                                                <w:right w:val="none" w:sz="0" w:space="0" w:color="auto"/>
                                              </w:divBdr>
                                              <w:divsChild>
                                                <w:div w:id="1394620486">
                                                  <w:marLeft w:val="0"/>
                                                  <w:marRight w:val="0"/>
                                                  <w:marTop w:val="0"/>
                                                  <w:marBottom w:val="0"/>
                                                  <w:divBdr>
                                                    <w:top w:val="none" w:sz="0" w:space="0" w:color="auto"/>
                                                    <w:left w:val="none" w:sz="0" w:space="0" w:color="auto"/>
                                                    <w:bottom w:val="none" w:sz="0" w:space="0" w:color="auto"/>
                                                    <w:right w:val="none" w:sz="0" w:space="0" w:color="auto"/>
                                                  </w:divBdr>
                                                  <w:divsChild>
                                                    <w:div w:id="102921740">
                                                      <w:marLeft w:val="0"/>
                                                      <w:marRight w:val="0"/>
                                                      <w:marTop w:val="0"/>
                                                      <w:marBottom w:val="0"/>
                                                      <w:divBdr>
                                                        <w:top w:val="none" w:sz="0" w:space="0" w:color="auto"/>
                                                        <w:left w:val="none" w:sz="0" w:space="0" w:color="auto"/>
                                                        <w:bottom w:val="none" w:sz="0" w:space="0" w:color="auto"/>
                                                        <w:right w:val="none" w:sz="0" w:space="0" w:color="auto"/>
                                                      </w:divBdr>
                                                      <w:divsChild>
                                                        <w:div w:id="187946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80738101">
          <w:marLeft w:val="0"/>
          <w:marRight w:val="0"/>
          <w:marTop w:val="0"/>
          <w:marBottom w:val="0"/>
          <w:divBdr>
            <w:top w:val="none" w:sz="0" w:space="0" w:color="auto"/>
            <w:left w:val="none" w:sz="0" w:space="0" w:color="auto"/>
            <w:bottom w:val="none" w:sz="0" w:space="0" w:color="auto"/>
            <w:right w:val="none" w:sz="0" w:space="0" w:color="auto"/>
          </w:divBdr>
          <w:divsChild>
            <w:div w:id="97215783">
              <w:marLeft w:val="0"/>
              <w:marRight w:val="0"/>
              <w:marTop w:val="0"/>
              <w:marBottom w:val="0"/>
              <w:divBdr>
                <w:top w:val="none" w:sz="0" w:space="0" w:color="auto"/>
                <w:left w:val="none" w:sz="0" w:space="0" w:color="auto"/>
                <w:bottom w:val="none" w:sz="0" w:space="0" w:color="auto"/>
                <w:right w:val="none" w:sz="0" w:space="0" w:color="auto"/>
              </w:divBdr>
              <w:divsChild>
                <w:div w:id="1576890813">
                  <w:marLeft w:val="0"/>
                  <w:marRight w:val="0"/>
                  <w:marTop w:val="0"/>
                  <w:marBottom w:val="0"/>
                  <w:divBdr>
                    <w:top w:val="none" w:sz="0" w:space="0" w:color="auto"/>
                    <w:left w:val="none" w:sz="0" w:space="0" w:color="auto"/>
                    <w:bottom w:val="none" w:sz="0" w:space="0" w:color="auto"/>
                    <w:right w:val="none" w:sz="0" w:space="0" w:color="auto"/>
                  </w:divBdr>
                  <w:divsChild>
                    <w:div w:id="185611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277514">
      <w:bodyDiv w:val="1"/>
      <w:marLeft w:val="0"/>
      <w:marRight w:val="0"/>
      <w:marTop w:val="0"/>
      <w:marBottom w:val="0"/>
      <w:divBdr>
        <w:top w:val="none" w:sz="0" w:space="0" w:color="auto"/>
        <w:left w:val="none" w:sz="0" w:space="0" w:color="auto"/>
        <w:bottom w:val="none" w:sz="0" w:space="0" w:color="auto"/>
        <w:right w:val="none" w:sz="0" w:space="0" w:color="auto"/>
      </w:divBdr>
    </w:div>
    <w:div w:id="1023481168">
      <w:bodyDiv w:val="1"/>
      <w:marLeft w:val="0"/>
      <w:marRight w:val="0"/>
      <w:marTop w:val="0"/>
      <w:marBottom w:val="0"/>
      <w:divBdr>
        <w:top w:val="none" w:sz="0" w:space="0" w:color="auto"/>
        <w:left w:val="none" w:sz="0" w:space="0" w:color="auto"/>
        <w:bottom w:val="none" w:sz="0" w:space="0" w:color="auto"/>
        <w:right w:val="none" w:sz="0" w:space="0" w:color="auto"/>
      </w:divBdr>
    </w:div>
    <w:div w:id="1037854756">
      <w:bodyDiv w:val="1"/>
      <w:marLeft w:val="0"/>
      <w:marRight w:val="0"/>
      <w:marTop w:val="0"/>
      <w:marBottom w:val="0"/>
      <w:divBdr>
        <w:top w:val="none" w:sz="0" w:space="0" w:color="auto"/>
        <w:left w:val="none" w:sz="0" w:space="0" w:color="auto"/>
        <w:bottom w:val="none" w:sz="0" w:space="0" w:color="auto"/>
        <w:right w:val="none" w:sz="0" w:space="0" w:color="auto"/>
      </w:divBdr>
    </w:div>
    <w:div w:id="1043561807">
      <w:bodyDiv w:val="1"/>
      <w:marLeft w:val="0"/>
      <w:marRight w:val="0"/>
      <w:marTop w:val="0"/>
      <w:marBottom w:val="0"/>
      <w:divBdr>
        <w:top w:val="none" w:sz="0" w:space="0" w:color="auto"/>
        <w:left w:val="none" w:sz="0" w:space="0" w:color="auto"/>
        <w:bottom w:val="none" w:sz="0" w:space="0" w:color="auto"/>
        <w:right w:val="none" w:sz="0" w:space="0" w:color="auto"/>
      </w:divBdr>
    </w:div>
    <w:div w:id="1117140219">
      <w:bodyDiv w:val="1"/>
      <w:marLeft w:val="0"/>
      <w:marRight w:val="0"/>
      <w:marTop w:val="0"/>
      <w:marBottom w:val="0"/>
      <w:divBdr>
        <w:top w:val="none" w:sz="0" w:space="0" w:color="auto"/>
        <w:left w:val="none" w:sz="0" w:space="0" w:color="auto"/>
        <w:bottom w:val="none" w:sz="0" w:space="0" w:color="auto"/>
        <w:right w:val="none" w:sz="0" w:space="0" w:color="auto"/>
      </w:divBdr>
    </w:div>
    <w:div w:id="1168517705">
      <w:bodyDiv w:val="1"/>
      <w:marLeft w:val="0"/>
      <w:marRight w:val="0"/>
      <w:marTop w:val="0"/>
      <w:marBottom w:val="0"/>
      <w:divBdr>
        <w:top w:val="none" w:sz="0" w:space="0" w:color="auto"/>
        <w:left w:val="none" w:sz="0" w:space="0" w:color="auto"/>
        <w:bottom w:val="none" w:sz="0" w:space="0" w:color="auto"/>
        <w:right w:val="none" w:sz="0" w:space="0" w:color="auto"/>
      </w:divBdr>
    </w:div>
    <w:div w:id="1169364473">
      <w:bodyDiv w:val="1"/>
      <w:marLeft w:val="0"/>
      <w:marRight w:val="0"/>
      <w:marTop w:val="0"/>
      <w:marBottom w:val="0"/>
      <w:divBdr>
        <w:top w:val="none" w:sz="0" w:space="0" w:color="auto"/>
        <w:left w:val="none" w:sz="0" w:space="0" w:color="auto"/>
        <w:bottom w:val="none" w:sz="0" w:space="0" w:color="auto"/>
        <w:right w:val="none" w:sz="0" w:space="0" w:color="auto"/>
      </w:divBdr>
    </w:div>
    <w:div w:id="1206412270">
      <w:bodyDiv w:val="1"/>
      <w:marLeft w:val="0"/>
      <w:marRight w:val="0"/>
      <w:marTop w:val="0"/>
      <w:marBottom w:val="0"/>
      <w:divBdr>
        <w:top w:val="none" w:sz="0" w:space="0" w:color="auto"/>
        <w:left w:val="none" w:sz="0" w:space="0" w:color="auto"/>
        <w:bottom w:val="none" w:sz="0" w:space="0" w:color="auto"/>
        <w:right w:val="none" w:sz="0" w:space="0" w:color="auto"/>
      </w:divBdr>
    </w:div>
    <w:div w:id="1223830551">
      <w:bodyDiv w:val="1"/>
      <w:marLeft w:val="0"/>
      <w:marRight w:val="0"/>
      <w:marTop w:val="0"/>
      <w:marBottom w:val="0"/>
      <w:divBdr>
        <w:top w:val="none" w:sz="0" w:space="0" w:color="auto"/>
        <w:left w:val="none" w:sz="0" w:space="0" w:color="auto"/>
        <w:bottom w:val="none" w:sz="0" w:space="0" w:color="auto"/>
        <w:right w:val="none" w:sz="0" w:space="0" w:color="auto"/>
      </w:divBdr>
    </w:div>
    <w:div w:id="1255936806">
      <w:bodyDiv w:val="1"/>
      <w:marLeft w:val="0"/>
      <w:marRight w:val="0"/>
      <w:marTop w:val="0"/>
      <w:marBottom w:val="0"/>
      <w:divBdr>
        <w:top w:val="none" w:sz="0" w:space="0" w:color="auto"/>
        <w:left w:val="none" w:sz="0" w:space="0" w:color="auto"/>
        <w:bottom w:val="none" w:sz="0" w:space="0" w:color="auto"/>
        <w:right w:val="none" w:sz="0" w:space="0" w:color="auto"/>
      </w:divBdr>
    </w:div>
    <w:div w:id="1257398320">
      <w:bodyDiv w:val="1"/>
      <w:marLeft w:val="0"/>
      <w:marRight w:val="0"/>
      <w:marTop w:val="0"/>
      <w:marBottom w:val="0"/>
      <w:divBdr>
        <w:top w:val="none" w:sz="0" w:space="0" w:color="auto"/>
        <w:left w:val="none" w:sz="0" w:space="0" w:color="auto"/>
        <w:bottom w:val="none" w:sz="0" w:space="0" w:color="auto"/>
        <w:right w:val="none" w:sz="0" w:space="0" w:color="auto"/>
      </w:divBdr>
    </w:div>
    <w:div w:id="1258905605">
      <w:bodyDiv w:val="1"/>
      <w:marLeft w:val="0"/>
      <w:marRight w:val="0"/>
      <w:marTop w:val="0"/>
      <w:marBottom w:val="0"/>
      <w:divBdr>
        <w:top w:val="none" w:sz="0" w:space="0" w:color="auto"/>
        <w:left w:val="none" w:sz="0" w:space="0" w:color="auto"/>
        <w:bottom w:val="none" w:sz="0" w:space="0" w:color="auto"/>
        <w:right w:val="none" w:sz="0" w:space="0" w:color="auto"/>
      </w:divBdr>
    </w:div>
    <w:div w:id="1265378896">
      <w:bodyDiv w:val="1"/>
      <w:marLeft w:val="0"/>
      <w:marRight w:val="0"/>
      <w:marTop w:val="0"/>
      <w:marBottom w:val="0"/>
      <w:divBdr>
        <w:top w:val="none" w:sz="0" w:space="0" w:color="auto"/>
        <w:left w:val="none" w:sz="0" w:space="0" w:color="auto"/>
        <w:bottom w:val="none" w:sz="0" w:space="0" w:color="auto"/>
        <w:right w:val="none" w:sz="0" w:space="0" w:color="auto"/>
      </w:divBdr>
    </w:div>
    <w:div w:id="1299727713">
      <w:bodyDiv w:val="1"/>
      <w:marLeft w:val="0"/>
      <w:marRight w:val="0"/>
      <w:marTop w:val="0"/>
      <w:marBottom w:val="0"/>
      <w:divBdr>
        <w:top w:val="none" w:sz="0" w:space="0" w:color="auto"/>
        <w:left w:val="none" w:sz="0" w:space="0" w:color="auto"/>
        <w:bottom w:val="none" w:sz="0" w:space="0" w:color="auto"/>
        <w:right w:val="none" w:sz="0" w:space="0" w:color="auto"/>
      </w:divBdr>
    </w:div>
    <w:div w:id="1317535975">
      <w:bodyDiv w:val="1"/>
      <w:marLeft w:val="0"/>
      <w:marRight w:val="0"/>
      <w:marTop w:val="0"/>
      <w:marBottom w:val="0"/>
      <w:divBdr>
        <w:top w:val="none" w:sz="0" w:space="0" w:color="auto"/>
        <w:left w:val="none" w:sz="0" w:space="0" w:color="auto"/>
        <w:bottom w:val="none" w:sz="0" w:space="0" w:color="auto"/>
        <w:right w:val="none" w:sz="0" w:space="0" w:color="auto"/>
      </w:divBdr>
    </w:div>
    <w:div w:id="1332952732">
      <w:bodyDiv w:val="1"/>
      <w:marLeft w:val="0"/>
      <w:marRight w:val="0"/>
      <w:marTop w:val="0"/>
      <w:marBottom w:val="0"/>
      <w:divBdr>
        <w:top w:val="none" w:sz="0" w:space="0" w:color="auto"/>
        <w:left w:val="none" w:sz="0" w:space="0" w:color="auto"/>
        <w:bottom w:val="none" w:sz="0" w:space="0" w:color="auto"/>
        <w:right w:val="none" w:sz="0" w:space="0" w:color="auto"/>
      </w:divBdr>
    </w:div>
    <w:div w:id="1381632162">
      <w:bodyDiv w:val="1"/>
      <w:marLeft w:val="0"/>
      <w:marRight w:val="0"/>
      <w:marTop w:val="0"/>
      <w:marBottom w:val="0"/>
      <w:divBdr>
        <w:top w:val="none" w:sz="0" w:space="0" w:color="auto"/>
        <w:left w:val="none" w:sz="0" w:space="0" w:color="auto"/>
        <w:bottom w:val="none" w:sz="0" w:space="0" w:color="auto"/>
        <w:right w:val="none" w:sz="0" w:space="0" w:color="auto"/>
      </w:divBdr>
    </w:div>
    <w:div w:id="1386832090">
      <w:bodyDiv w:val="1"/>
      <w:marLeft w:val="0"/>
      <w:marRight w:val="0"/>
      <w:marTop w:val="0"/>
      <w:marBottom w:val="0"/>
      <w:divBdr>
        <w:top w:val="none" w:sz="0" w:space="0" w:color="auto"/>
        <w:left w:val="none" w:sz="0" w:space="0" w:color="auto"/>
        <w:bottom w:val="none" w:sz="0" w:space="0" w:color="auto"/>
        <w:right w:val="none" w:sz="0" w:space="0" w:color="auto"/>
      </w:divBdr>
    </w:div>
    <w:div w:id="1407726244">
      <w:bodyDiv w:val="1"/>
      <w:marLeft w:val="0"/>
      <w:marRight w:val="0"/>
      <w:marTop w:val="0"/>
      <w:marBottom w:val="0"/>
      <w:divBdr>
        <w:top w:val="none" w:sz="0" w:space="0" w:color="auto"/>
        <w:left w:val="none" w:sz="0" w:space="0" w:color="auto"/>
        <w:bottom w:val="none" w:sz="0" w:space="0" w:color="auto"/>
        <w:right w:val="none" w:sz="0" w:space="0" w:color="auto"/>
      </w:divBdr>
    </w:div>
    <w:div w:id="1443067354">
      <w:bodyDiv w:val="1"/>
      <w:marLeft w:val="0"/>
      <w:marRight w:val="0"/>
      <w:marTop w:val="0"/>
      <w:marBottom w:val="0"/>
      <w:divBdr>
        <w:top w:val="none" w:sz="0" w:space="0" w:color="auto"/>
        <w:left w:val="none" w:sz="0" w:space="0" w:color="auto"/>
        <w:bottom w:val="none" w:sz="0" w:space="0" w:color="auto"/>
        <w:right w:val="none" w:sz="0" w:space="0" w:color="auto"/>
      </w:divBdr>
    </w:div>
    <w:div w:id="1496384734">
      <w:bodyDiv w:val="1"/>
      <w:marLeft w:val="0"/>
      <w:marRight w:val="0"/>
      <w:marTop w:val="0"/>
      <w:marBottom w:val="0"/>
      <w:divBdr>
        <w:top w:val="none" w:sz="0" w:space="0" w:color="auto"/>
        <w:left w:val="none" w:sz="0" w:space="0" w:color="auto"/>
        <w:bottom w:val="none" w:sz="0" w:space="0" w:color="auto"/>
        <w:right w:val="none" w:sz="0" w:space="0" w:color="auto"/>
      </w:divBdr>
      <w:divsChild>
        <w:div w:id="1393577183">
          <w:marLeft w:val="0"/>
          <w:marRight w:val="0"/>
          <w:marTop w:val="0"/>
          <w:marBottom w:val="0"/>
          <w:divBdr>
            <w:top w:val="none" w:sz="0" w:space="0" w:color="auto"/>
            <w:left w:val="none" w:sz="0" w:space="0" w:color="auto"/>
            <w:bottom w:val="none" w:sz="0" w:space="0" w:color="auto"/>
            <w:right w:val="none" w:sz="0" w:space="0" w:color="auto"/>
          </w:divBdr>
          <w:divsChild>
            <w:div w:id="841354837">
              <w:marLeft w:val="0"/>
              <w:marRight w:val="0"/>
              <w:marTop w:val="0"/>
              <w:marBottom w:val="0"/>
              <w:divBdr>
                <w:top w:val="none" w:sz="0" w:space="0" w:color="auto"/>
                <w:left w:val="none" w:sz="0" w:space="0" w:color="auto"/>
                <w:bottom w:val="none" w:sz="0" w:space="0" w:color="auto"/>
                <w:right w:val="none" w:sz="0" w:space="0" w:color="auto"/>
              </w:divBdr>
              <w:divsChild>
                <w:div w:id="1172379157">
                  <w:marLeft w:val="0"/>
                  <w:marRight w:val="0"/>
                  <w:marTop w:val="0"/>
                  <w:marBottom w:val="0"/>
                  <w:divBdr>
                    <w:top w:val="none" w:sz="0" w:space="0" w:color="auto"/>
                    <w:left w:val="none" w:sz="0" w:space="0" w:color="auto"/>
                    <w:bottom w:val="none" w:sz="0" w:space="0" w:color="auto"/>
                    <w:right w:val="none" w:sz="0" w:space="0" w:color="auto"/>
                  </w:divBdr>
                  <w:divsChild>
                    <w:div w:id="192233878">
                      <w:marLeft w:val="0"/>
                      <w:marRight w:val="0"/>
                      <w:marTop w:val="0"/>
                      <w:marBottom w:val="0"/>
                      <w:divBdr>
                        <w:top w:val="none" w:sz="0" w:space="0" w:color="auto"/>
                        <w:left w:val="none" w:sz="0" w:space="0" w:color="auto"/>
                        <w:bottom w:val="none" w:sz="0" w:space="0" w:color="auto"/>
                        <w:right w:val="none" w:sz="0" w:space="0" w:color="auto"/>
                      </w:divBdr>
                      <w:divsChild>
                        <w:div w:id="2142070111">
                          <w:marLeft w:val="0"/>
                          <w:marRight w:val="0"/>
                          <w:marTop w:val="0"/>
                          <w:marBottom w:val="0"/>
                          <w:divBdr>
                            <w:top w:val="none" w:sz="0" w:space="0" w:color="auto"/>
                            <w:left w:val="none" w:sz="0" w:space="0" w:color="auto"/>
                            <w:bottom w:val="none" w:sz="0" w:space="0" w:color="auto"/>
                            <w:right w:val="none" w:sz="0" w:space="0" w:color="auto"/>
                          </w:divBdr>
                          <w:divsChild>
                            <w:div w:id="61950341">
                              <w:marLeft w:val="0"/>
                              <w:marRight w:val="0"/>
                              <w:marTop w:val="0"/>
                              <w:marBottom w:val="0"/>
                              <w:divBdr>
                                <w:top w:val="none" w:sz="0" w:space="0" w:color="auto"/>
                                <w:left w:val="none" w:sz="0" w:space="0" w:color="auto"/>
                                <w:bottom w:val="none" w:sz="0" w:space="0" w:color="auto"/>
                                <w:right w:val="none" w:sz="0" w:space="0" w:color="auto"/>
                              </w:divBdr>
                              <w:divsChild>
                                <w:div w:id="1267225776">
                                  <w:marLeft w:val="0"/>
                                  <w:marRight w:val="0"/>
                                  <w:marTop w:val="0"/>
                                  <w:marBottom w:val="0"/>
                                  <w:divBdr>
                                    <w:top w:val="none" w:sz="0" w:space="0" w:color="auto"/>
                                    <w:left w:val="none" w:sz="0" w:space="0" w:color="auto"/>
                                    <w:bottom w:val="none" w:sz="0" w:space="0" w:color="auto"/>
                                    <w:right w:val="none" w:sz="0" w:space="0" w:color="auto"/>
                                  </w:divBdr>
                                  <w:divsChild>
                                    <w:div w:id="1226263159">
                                      <w:marLeft w:val="0"/>
                                      <w:marRight w:val="0"/>
                                      <w:marTop w:val="0"/>
                                      <w:marBottom w:val="0"/>
                                      <w:divBdr>
                                        <w:top w:val="none" w:sz="0" w:space="0" w:color="auto"/>
                                        <w:left w:val="none" w:sz="0" w:space="0" w:color="auto"/>
                                        <w:bottom w:val="none" w:sz="0" w:space="0" w:color="auto"/>
                                        <w:right w:val="none" w:sz="0" w:space="0" w:color="auto"/>
                                      </w:divBdr>
                                      <w:divsChild>
                                        <w:div w:id="1716273512">
                                          <w:marLeft w:val="0"/>
                                          <w:marRight w:val="0"/>
                                          <w:marTop w:val="0"/>
                                          <w:marBottom w:val="0"/>
                                          <w:divBdr>
                                            <w:top w:val="none" w:sz="0" w:space="0" w:color="auto"/>
                                            <w:left w:val="none" w:sz="0" w:space="0" w:color="auto"/>
                                            <w:bottom w:val="none" w:sz="0" w:space="0" w:color="auto"/>
                                            <w:right w:val="none" w:sz="0" w:space="0" w:color="auto"/>
                                          </w:divBdr>
                                          <w:divsChild>
                                            <w:div w:id="1220364549">
                                              <w:marLeft w:val="0"/>
                                              <w:marRight w:val="0"/>
                                              <w:marTop w:val="0"/>
                                              <w:marBottom w:val="0"/>
                                              <w:divBdr>
                                                <w:top w:val="none" w:sz="0" w:space="0" w:color="auto"/>
                                                <w:left w:val="none" w:sz="0" w:space="0" w:color="auto"/>
                                                <w:bottom w:val="none" w:sz="0" w:space="0" w:color="auto"/>
                                                <w:right w:val="none" w:sz="0" w:space="0" w:color="auto"/>
                                              </w:divBdr>
                                              <w:divsChild>
                                                <w:div w:id="606887160">
                                                  <w:marLeft w:val="0"/>
                                                  <w:marRight w:val="0"/>
                                                  <w:marTop w:val="0"/>
                                                  <w:marBottom w:val="0"/>
                                                  <w:divBdr>
                                                    <w:top w:val="none" w:sz="0" w:space="0" w:color="auto"/>
                                                    <w:left w:val="none" w:sz="0" w:space="0" w:color="auto"/>
                                                    <w:bottom w:val="none" w:sz="0" w:space="0" w:color="auto"/>
                                                    <w:right w:val="none" w:sz="0" w:space="0" w:color="auto"/>
                                                  </w:divBdr>
                                                  <w:divsChild>
                                                    <w:div w:id="653803942">
                                                      <w:marLeft w:val="0"/>
                                                      <w:marRight w:val="0"/>
                                                      <w:marTop w:val="0"/>
                                                      <w:marBottom w:val="0"/>
                                                      <w:divBdr>
                                                        <w:top w:val="none" w:sz="0" w:space="0" w:color="auto"/>
                                                        <w:left w:val="none" w:sz="0" w:space="0" w:color="auto"/>
                                                        <w:bottom w:val="none" w:sz="0" w:space="0" w:color="auto"/>
                                                        <w:right w:val="none" w:sz="0" w:space="0" w:color="auto"/>
                                                      </w:divBdr>
                                                      <w:divsChild>
                                                        <w:div w:id="139952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034608">
          <w:marLeft w:val="0"/>
          <w:marRight w:val="0"/>
          <w:marTop w:val="0"/>
          <w:marBottom w:val="0"/>
          <w:divBdr>
            <w:top w:val="none" w:sz="0" w:space="0" w:color="auto"/>
            <w:left w:val="none" w:sz="0" w:space="0" w:color="auto"/>
            <w:bottom w:val="none" w:sz="0" w:space="0" w:color="auto"/>
            <w:right w:val="none" w:sz="0" w:space="0" w:color="auto"/>
          </w:divBdr>
          <w:divsChild>
            <w:div w:id="740254247">
              <w:marLeft w:val="0"/>
              <w:marRight w:val="0"/>
              <w:marTop w:val="0"/>
              <w:marBottom w:val="0"/>
              <w:divBdr>
                <w:top w:val="none" w:sz="0" w:space="0" w:color="auto"/>
                <w:left w:val="none" w:sz="0" w:space="0" w:color="auto"/>
                <w:bottom w:val="none" w:sz="0" w:space="0" w:color="auto"/>
                <w:right w:val="none" w:sz="0" w:space="0" w:color="auto"/>
              </w:divBdr>
              <w:divsChild>
                <w:div w:id="255604174">
                  <w:marLeft w:val="0"/>
                  <w:marRight w:val="0"/>
                  <w:marTop w:val="0"/>
                  <w:marBottom w:val="0"/>
                  <w:divBdr>
                    <w:top w:val="none" w:sz="0" w:space="0" w:color="auto"/>
                    <w:left w:val="none" w:sz="0" w:space="0" w:color="auto"/>
                    <w:bottom w:val="none" w:sz="0" w:space="0" w:color="auto"/>
                    <w:right w:val="none" w:sz="0" w:space="0" w:color="auto"/>
                  </w:divBdr>
                  <w:divsChild>
                    <w:div w:id="47083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452378">
      <w:bodyDiv w:val="1"/>
      <w:marLeft w:val="0"/>
      <w:marRight w:val="0"/>
      <w:marTop w:val="0"/>
      <w:marBottom w:val="0"/>
      <w:divBdr>
        <w:top w:val="none" w:sz="0" w:space="0" w:color="auto"/>
        <w:left w:val="none" w:sz="0" w:space="0" w:color="auto"/>
        <w:bottom w:val="none" w:sz="0" w:space="0" w:color="auto"/>
        <w:right w:val="none" w:sz="0" w:space="0" w:color="auto"/>
      </w:divBdr>
    </w:div>
    <w:div w:id="1559319513">
      <w:bodyDiv w:val="1"/>
      <w:marLeft w:val="0"/>
      <w:marRight w:val="0"/>
      <w:marTop w:val="0"/>
      <w:marBottom w:val="0"/>
      <w:divBdr>
        <w:top w:val="none" w:sz="0" w:space="0" w:color="auto"/>
        <w:left w:val="none" w:sz="0" w:space="0" w:color="auto"/>
        <w:bottom w:val="none" w:sz="0" w:space="0" w:color="auto"/>
        <w:right w:val="none" w:sz="0" w:space="0" w:color="auto"/>
      </w:divBdr>
    </w:div>
    <w:div w:id="1560750100">
      <w:bodyDiv w:val="1"/>
      <w:marLeft w:val="0"/>
      <w:marRight w:val="0"/>
      <w:marTop w:val="0"/>
      <w:marBottom w:val="0"/>
      <w:divBdr>
        <w:top w:val="none" w:sz="0" w:space="0" w:color="auto"/>
        <w:left w:val="none" w:sz="0" w:space="0" w:color="auto"/>
        <w:bottom w:val="none" w:sz="0" w:space="0" w:color="auto"/>
        <w:right w:val="none" w:sz="0" w:space="0" w:color="auto"/>
      </w:divBdr>
      <w:divsChild>
        <w:div w:id="610822494">
          <w:marLeft w:val="0"/>
          <w:marRight w:val="0"/>
          <w:marTop w:val="0"/>
          <w:marBottom w:val="0"/>
          <w:divBdr>
            <w:top w:val="none" w:sz="0" w:space="0" w:color="auto"/>
            <w:left w:val="none" w:sz="0" w:space="0" w:color="auto"/>
            <w:bottom w:val="none" w:sz="0" w:space="0" w:color="auto"/>
            <w:right w:val="none" w:sz="0" w:space="0" w:color="auto"/>
          </w:divBdr>
          <w:divsChild>
            <w:div w:id="1890650864">
              <w:marLeft w:val="0"/>
              <w:marRight w:val="0"/>
              <w:marTop w:val="0"/>
              <w:marBottom w:val="0"/>
              <w:divBdr>
                <w:top w:val="none" w:sz="0" w:space="0" w:color="auto"/>
                <w:left w:val="none" w:sz="0" w:space="0" w:color="auto"/>
                <w:bottom w:val="none" w:sz="0" w:space="0" w:color="auto"/>
                <w:right w:val="none" w:sz="0" w:space="0" w:color="auto"/>
              </w:divBdr>
              <w:divsChild>
                <w:div w:id="27803055">
                  <w:marLeft w:val="0"/>
                  <w:marRight w:val="0"/>
                  <w:marTop w:val="0"/>
                  <w:marBottom w:val="0"/>
                  <w:divBdr>
                    <w:top w:val="none" w:sz="0" w:space="0" w:color="auto"/>
                    <w:left w:val="none" w:sz="0" w:space="0" w:color="auto"/>
                    <w:bottom w:val="none" w:sz="0" w:space="0" w:color="auto"/>
                    <w:right w:val="none" w:sz="0" w:space="0" w:color="auto"/>
                  </w:divBdr>
                  <w:divsChild>
                    <w:div w:id="1556626683">
                      <w:marLeft w:val="0"/>
                      <w:marRight w:val="0"/>
                      <w:marTop w:val="0"/>
                      <w:marBottom w:val="0"/>
                      <w:divBdr>
                        <w:top w:val="none" w:sz="0" w:space="0" w:color="auto"/>
                        <w:left w:val="none" w:sz="0" w:space="0" w:color="auto"/>
                        <w:bottom w:val="none" w:sz="0" w:space="0" w:color="auto"/>
                        <w:right w:val="none" w:sz="0" w:space="0" w:color="auto"/>
                      </w:divBdr>
                      <w:divsChild>
                        <w:div w:id="1300839841">
                          <w:marLeft w:val="0"/>
                          <w:marRight w:val="0"/>
                          <w:marTop w:val="0"/>
                          <w:marBottom w:val="0"/>
                          <w:divBdr>
                            <w:top w:val="none" w:sz="0" w:space="0" w:color="auto"/>
                            <w:left w:val="none" w:sz="0" w:space="0" w:color="auto"/>
                            <w:bottom w:val="none" w:sz="0" w:space="0" w:color="auto"/>
                            <w:right w:val="none" w:sz="0" w:space="0" w:color="auto"/>
                          </w:divBdr>
                          <w:divsChild>
                            <w:div w:id="123824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868680">
      <w:bodyDiv w:val="1"/>
      <w:marLeft w:val="0"/>
      <w:marRight w:val="0"/>
      <w:marTop w:val="0"/>
      <w:marBottom w:val="0"/>
      <w:divBdr>
        <w:top w:val="none" w:sz="0" w:space="0" w:color="auto"/>
        <w:left w:val="none" w:sz="0" w:space="0" w:color="auto"/>
        <w:bottom w:val="none" w:sz="0" w:space="0" w:color="auto"/>
        <w:right w:val="none" w:sz="0" w:space="0" w:color="auto"/>
      </w:divBdr>
    </w:div>
    <w:div w:id="1585459634">
      <w:bodyDiv w:val="1"/>
      <w:marLeft w:val="0"/>
      <w:marRight w:val="0"/>
      <w:marTop w:val="0"/>
      <w:marBottom w:val="0"/>
      <w:divBdr>
        <w:top w:val="none" w:sz="0" w:space="0" w:color="auto"/>
        <w:left w:val="none" w:sz="0" w:space="0" w:color="auto"/>
        <w:bottom w:val="none" w:sz="0" w:space="0" w:color="auto"/>
        <w:right w:val="none" w:sz="0" w:space="0" w:color="auto"/>
      </w:divBdr>
    </w:div>
    <w:div w:id="1586644533">
      <w:bodyDiv w:val="1"/>
      <w:marLeft w:val="0"/>
      <w:marRight w:val="0"/>
      <w:marTop w:val="0"/>
      <w:marBottom w:val="0"/>
      <w:divBdr>
        <w:top w:val="none" w:sz="0" w:space="0" w:color="auto"/>
        <w:left w:val="none" w:sz="0" w:space="0" w:color="auto"/>
        <w:bottom w:val="none" w:sz="0" w:space="0" w:color="auto"/>
        <w:right w:val="none" w:sz="0" w:space="0" w:color="auto"/>
      </w:divBdr>
    </w:div>
    <w:div w:id="1595749383">
      <w:bodyDiv w:val="1"/>
      <w:marLeft w:val="0"/>
      <w:marRight w:val="0"/>
      <w:marTop w:val="0"/>
      <w:marBottom w:val="0"/>
      <w:divBdr>
        <w:top w:val="none" w:sz="0" w:space="0" w:color="auto"/>
        <w:left w:val="none" w:sz="0" w:space="0" w:color="auto"/>
        <w:bottom w:val="none" w:sz="0" w:space="0" w:color="auto"/>
        <w:right w:val="none" w:sz="0" w:space="0" w:color="auto"/>
      </w:divBdr>
    </w:div>
    <w:div w:id="1655404500">
      <w:bodyDiv w:val="1"/>
      <w:marLeft w:val="0"/>
      <w:marRight w:val="0"/>
      <w:marTop w:val="0"/>
      <w:marBottom w:val="0"/>
      <w:divBdr>
        <w:top w:val="none" w:sz="0" w:space="0" w:color="auto"/>
        <w:left w:val="none" w:sz="0" w:space="0" w:color="auto"/>
        <w:bottom w:val="none" w:sz="0" w:space="0" w:color="auto"/>
        <w:right w:val="none" w:sz="0" w:space="0" w:color="auto"/>
      </w:divBdr>
    </w:div>
    <w:div w:id="1660888942">
      <w:bodyDiv w:val="1"/>
      <w:marLeft w:val="0"/>
      <w:marRight w:val="0"/>
      <w:marTop w:val="0"/>
      <w:marBottom w:val="0"/>
      <w:divBdr>
        <w:top w:val="none" w:sz="0" w:space="0" w:color="auto"/>
        <w:left w:val="none" w:sz="0" w:space="0" w:color="auto"/>
        <w:bottom w:val="none" w:sz="0" w:space="0" w:color="auto"/>
        <w:right w:val="none" w:sz="0" w:space="0" w:color="auto"/>
      </w:divBdr>
    </w:div>
    <w:div w:id="1713266554">
      <w:bodyDiv w:val="1"/>
      <w:marLeft w:val="0"/>
      <w:marRight w:val="0"/>
      <w:marTop w:val="0"/>
      <w:marBottom w:val="0"/>
      <w:divBdr>
        <w:top w:val="none" w:sz="0" w:space="0" w:color="auto"/>
        <w:left w:val="none" w:sz="0" w:space="0" w:color="auto"/>
        <w:bottom w:val="none" w:sz="0" w:space="0" w:color="auto"/>
        <w:right w:val="none" w:sz="0" w:space="0" w:color="auto"/>
      </w:divBdr>
    </w:div>
    <w:div w:id="1724139521">
      <w:bodyDiv w:val="1"/>
      <w:marLeft w:val="0"/>
      <w:marRight w:val="0"/>
      <w:marTop w:val="0"/>
      <w:marBottom w:val="0"/>
      <w:divBdr>
        <w:top w:val="none" w:sz="0" w:space="0" w:color="auto"/>
        <w:left w:val="none" w:sz="0" w:space="0" w:color="auto"/>
        <w:bottom w:val="none" w:sz="0" w:space="0" w:color="auto"/>
        <w:right w:val="none" w:sz="0" w:space="0" w:color="auto"/>
      </w:divBdr>
    </w:div>
    <w:div w:id="1820225357">
      <w:bodyDiv w:val="1"/>
      <w:marLeft w:val="0"/>
      <w:marRight w:val="0"/>
      <w:marTop w:val="0"/>
      <w:marBottom w:val="0"/>
      <w:divBdr>
        <w:top w:val="none" w:sz="0" w:space="0" w:color="auto"/>
        <w:left w:val="none" w:sz="0" w:space="0" w:color="auto"/>
        <w:bottom w:val="none" w:sz="0" w:space="0" w:color="auto"/>
        <w:right w:val="none" w:sz="0" w:space="0" w:color="auto"/>
      </w:divBdr>
    </w:div>
    <w:div w:id="1827086066">
      <w:bodyDiv w:val="1"/>
      <w:marLeft w:val="0"/>
      <w:marRight w:val="0"/>
      <w:marTop w:val="0"/>
      <w:marBottom w:val="0"/>
      <w:divBdr>
        <w:top w:val="none" w:sz="0" w:space="0" w:color="auto"/>
        <w:left w:val="none" w:sz="0" w:space="0" w:color="auto"/>
        <w:bottom w:val="none" w:sz="0" w:space="0" w:color="auto"/>
        <w:right w:val="none" w:sz="0" w:space="0" w:color="auto"/>
      </w:divBdr>
    </w:div>
    <w:div w:id="1885482978">
      <w:bodyDiv w:val="1"/>
      <w:marLeft w:val="0"/>
      <w:marRight w:val="0"/>
      <w:marTop w:val="0"/>
      <w:marBottom w:val="0"/>
      <w:divBdr>
        <w:top w:val="none" w:sz="0" w:space="0" w:color="auto"/>
        <w:left w:val="none" w:sz="0" w:space="0" w:color="auto"/>
        <w:bottom w:val="none" w:sz="0" w:space="0" w:color="auto"/>
        <w:right w:val="none" w:sz="0" w:space="0" w:color="auto"/>
      </w:divBdr>
    </w:div>
    <w:div w:id="1885752852">
      <w:bodyDiv w:val="1"/>
      <w:marLeft w:val="0"/>
      <w:marRight w:val="0"/>
      <w:marTop w:val="0"/>
      <w:marBottom w:val="0"/>
      <w:divBdr>
        <w:top w:val="none" w:sz="0" w:space="0" w:color="auto"/>
        <w:left w:val="none" w:sz="0" w:space="0" w:color="auto"/>
        <w:bottom w:val="none" w:sz="0" w:space="0" w:color="auto"/>
        <w:right w:val="none" w:sz="0" w:space="0" w:color="auto"/>
      </w:divBdr>
    </w:div>
    <w:div w:id="1895653803">
      <w:bodyDiv w:val="1"/>
      <w:marLeft w:val="0"/>
      <w:marRight w:val="0"/>
      <w:marTop w:val="0"/>
      <w:marBottom w:val="0"/>
      <w:divBdr>
        <w:top w:val="none" w:sz="0" w:space="0" w:color="auto"/>
        <w:left w:val="none" w:sz="0" w:space="0" w:color="auto"/>
        <w:bottom w:val="none" w:sz="0" w:space="0" w:color="auto"/>
        <w:right w:val="none" w:sz="0" w:space="0" w:color="auto"/>
      </w:divBdr>
    </w:div>
    <w:div w:id="1912692513">
      <w:bodyDiv w:val="1"/>
      <w:marLeft w:val="0"/>
      <w:marRight w:val="0"/>
      <w:marTop w:val="0"/>
      <w:marBottom w:val="0"/>
      <w:divBdr>
        <w:top w:val="none" w:sz="0" w:space="0" w:color="auto"/>
        <w:left w:val="none" w:sz="0" w:space="0" w:color="auto"/>
        <w:bottom w:val="none" w:sz="0" w:space="0" w:color="auto"/>
        <w:right w:val="none" w:sz="0" w:space="0" w:color="auto"/>
      </w:divBdr>
    </w:div>
    <w:div w:id="1929924413">
      <w:bodyDiv w:val="1"/>
      <w:marLeft w:val="0"/>
      <w:marRight w:val="0"/>
      <w:marTop w:val="0"/>
      <w:marBottom w:val="0"/>
      <w:divBdr>
        <w:top w:val="none" w:sz="0" w:space="0" w:color="auto"/>
        <w:left w:val="none" w:sz="0" w:space="0" w:color="auto"/>
        <w:bottom w:val="none" w:sz="0" w:space="0" w:color="auto"/>
        <w:right w:val="none" w:sz="0" w:space="0" w:color="auto"/>
      </w:divBdr>
    </w:div>
    <w:div w:id="1974291802">
      <w:bodyDiv w:val="1"/>
      <w:marLeft w:val="0"/>
      <w:marRight w:val="0"/>
      <w:marTop w:val="0"/>
      <w:marBottom w:val="0"/>
      <w:divBdr>
        <w:top w:val="none" w:sz="0" w:space="0" w:color="auto"/>
        <w:left w:val="none" w:sz="0" w:space="0" w:color="auto"/>
        <w:bottom w:val="none" w:sz="0" w:space="0" w:color="auto"/>
        <w:right w:val="none" w:sz="0" w:space="0" w:color="auto"/>
      </w:divBdr>
    </w:div>
    <w:div w:id="1984457866">
      <w:bodyDiv w:val="1"/>
      <w:marLeft w:val="0"/>
      <w:marRight w:val="0"/>
      <w:marTop w:val="0"/>
      <w:marBottom w:val="0"/>
      <w:divBdr>
        <w:top w:val="none" w:sz="0" w:space="0" w:color="auto"/>
        <w:left w:val="none" w:sz="0" w:space="0" w:color="auto"/>
        <w:bottom w:val="none" w:sz="0" w:space="0" w:color="auto"/>
        <w:right w:val="none" w:sz="0" w:space="0" w:color="auto"/>
      </w:divBdr>
    </w:div>
    <w:div w:id="1988243116">
      <w:bodyDiv w:val="1"/>
      <w:marLeft w:val="0"/>
      <w:marRight w:val="0"/>
      <w:marTop w:val="0"/>
      <w:marBottom w:val="0"/>
      <w:divBdr>
        <w:top w:val="none" w:sz="0" w:space="0" w:color="auto"/>
        <w:left w:val="none" w:sz="0" w:space="0" w:color="auto"/>
        <w:bottom w:val="none" w:sz="0" w:space="0" w:color="auto"/>
        <w:right w:val="none" w:sz="0" w:space="0" w:color="auto"/>
      </w:divBdr>
    </w:div>
    <w:div w:id="2000764372">
      <w:bodyDiv w:val="1"/>
      <w:marLeft w:val="0"/>
      <w:marRight w:val="0"/>
      <w:marTop w:val="0"/>
      <w:marBottom w:val="0"/>
      <w:divBdr>
        <w:top w:val="none" w:sz="0" w:space="0" w:color="auto"/>
        <w:left w:val="none" w:sz="0" w:space="0" w:color="auto"/>
        <w:bottom w:val="none" w:sz="0" w:space="0" w:color="auto"/>
        <w:right w:val="none" w:sz="0" w:space="0" w:color="auto"/>
      </w:divBdr>
    </w:div>
    <w:div w:id="2006006626">
      <w:bodyDiv w:val="1"/>
      <w:marLeft w:val="0"/>
      <w:marRight w:val="0"/>
      <w:marTop w:val="0"/>
      <w:marBottom w:val="0"/>
      <w:divBdr>
        <w:top w:val="none" w:sz="0" w:space="0" w:color="auto"/>
        <w:left w:val="none" w:sz="0" w:space="0" w:color="auto"/>
        <w:bottom w:val="none" w:sz="0" w:space="0" w:color="auto"/>
        <w:right w:val="none" w:sz="0" w:space="0" w:color="auto"/>
      </w:divBdr>
    </w:div>
    <w:div w:id="2023627433">
      <w:bodyDiv w:val="1"/>
      <w:marLeft w:val="0"/>
      <w:marRight w:val="0"/>
      <w:marTop w:val="0"/>
      <w:marBottom w:val="0"/>
      <w:divBdr>
        <w:top w:val="none" w:sz="0" w:space="0" w:color="auto"/>
        <w:left w:val="none" w:sz="0" w:space="0" w:color="auto"/>
        <w:bottom w:val="none" w:sz="0" w:space="0" w:color="auto"/>
        <w:right w:val="none" w:sz="0" w:space="0" w:color="auto"/>
      </w:divBdr>
    </w:div>
    <w:div w:id="2027560247">
      <w:bodyDiv w:val="1"/>
      <w:marLeft w:val="0"/>
      <w:marRight w:val="0"/>
      <w:marTop w:val="0"/>
      <w:marBottom w:val="0"/>
      <w:divBdr>
        <w:top w:val="none" w:sz="0" w:space="0" w:color="auto"/>
        <w:left w:val="none" w:sz="0" w:space="0" w:color="auto"/>
        <w:bottom w:val="none" w:sz="0" w:space="0" w:color="auto"/>
        <w:right w:val="none" w:sz="0" w:space="0" w:color="auto"/>
      </w:divBdr>
    </w:div>
    <w:div w:id="2048794787">
      <w:bodyDiv w:val="1"/>
      <w:marLeft w:val="0"/>
      <w:marRight w:val="0"/>
      <w:marTop w:val="0"/>
      <w:marBottom w:val="0"/>
      <w:divBdr>
        <w:top w:val="none" w:sz="0" w:space="0" w:color="auto"/>
        <w:left w:val="none" w:sz="0" w:space="0" w:color="auto"/>
        <w:bottom w:val="none" w:sz="0" w:space="0" w:color="auto"/>
        <w:right w:val="none" w:sz="0" w:space="0" w:color="auto"/>
      </w:divBdr>
    </w:div>
    <w:div w:id="2075816780">
      <w:bodyDiv w:val="1"/>
      <w:marLeft w:val="0"/>
      <w:marRight w:val="0"/>
      <w:marTop w:val="0"/>
      <w:marBottom w:val="0"/>
      <w:divBdr>
        <w:top w:val="none" w:sz="0" w:space="0" w:color="auto"/>
        <w:left w:val="none" w:sz="0" w:space="0" w:color="auto"/>
        <w:bottom w:val="none" w:sz="0" w:space="0" w:color="auto"/>
        <w:right w:val="none" w:sz="0" w:space="0" w:color="auto"/>
      </w:divBdr>
    </w:div>
    <w:div w:id="2084184921">
      <w:bodyDiv w:val="1"/>
      <w:marLeft w:val="0"/>
      <w:marRight w:val="0"/>
      <w:marTop w:val="0"/>
      <w:marBottom w:val="0"/>
      <w:divBdr>
        <w:top w:val="none" w:sz="0" w:space="0" w:color="auto"/>
        <w:left w:val="none" w:sz="0" w:space="0" w:color="auto"/>
        <w:bottom w:val="none" w:sz="0" w:space="0" w:color="auto"/>
        <w:right w:val="none" w:sz="0" w:space="0" w:color="auto"/>
      </w:divBdr>
    </w:div>
    <w:div w:id="2098477360">
      <w:bodyDiv w:val="1"/>
      <w:marLeft w:val="0"/>
      <w:marRight w:val="0"/>
      <w:marTop w:val="0"/>
      <w:marBottom w:val="0"/>
      <w:divBdr>
        <w:top w:val="none" w:sz="0" w:space="0" w:color="auto"/>
        <w:left w:val="none" w:sz="0" w:space="0" w:color="auto"/>
        <w:bottom w:val="none" w:sz="0" w:space="0" w:color="auto"/>
        <w:right w:val="none" w:sz="0" w:space="0" w:color="auto"/>
      </w:divBdr>
    </w:div>
    <w:div w:id="2135058448">
      <w:bodyDiv w:val="1"/>
      <w:marLeft w:val="0"/>
      <w:marRight w:val="0"/>
      <w:marTop w:val="0"/>
      <w:marBottom w:val="0"/>
      <w:divBdr>
        <w:top w:val="none" w:sz="0" w:space="0" w:color="auto"/>
        <w:left w:val="none" w:sz="0" w:space="0" w:color="auto"/>
        <w:bottom w:val="none" w:sz="0" w:space="0" w:color="auto"/>
        <w:right w:val="none" w:sz="0" w:space="0" w:color="auto"/>
      </w:divBdr>
    </w:div>
    <w:div w:id="214724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doi.org/10.1057/s41599-020-00630-8" TargetMode="External"/><Relationship Id="rId26" Type="http://schemas.openxmlformats.org/officeDocument/2006/relationships/hyperlink" Target="https://doi-org.ezproxy.uwtsd.ac.uk/10.1037/a0028244" TargetMode="External"/><Relationship Id="rId39" Type="http://schemas.openxmlformats.org/officeDocument/2006/relationships/hyperlink" Target="https://doi.org/10.4324/9781315306155" TargetMode="External"/><Relationship Id="rId21" Type="http://schemas.openxmlformats.org/officeDocument/2006/relationships/hyperlink" Target="https://doi.org/10.1016/J.JBUSRES.2015.10.108" TargetMode="External"/><Relationship Id="rId34" Type="http://schemas.openxmlformats.org/officeDocument/2006/relationships/hyperlink" Target="https://doi.org/10.23912/978-1-911396-82-6-4067" TargetMode="External"/><Relationship Id="rId42" Type="http://schemas.openxmlformats.org/officeDocument/2006/relationships/hyperlink" Target="https://www.proquest.com/scholarly-journals/supply-design-different-types-venues-business/docview/2499019479/se-2?accountid=130472" TargetMode="External"/><Relationship Id="rId47" Type="http://schemas.openxmlformats.org/officeDocument/2006/relationships/hyperlink" Target="https://e-journal.uum.edu.my/index.php/jeth/article/download/22335/4410" TargetMode="External"/><Relationship Id="rId50" Type="http://schemas.openxmlformats.org/officeDocument/2006/relationships/hyperlink" Target="https://doi.org/10.1177/1534484317693090" TargetMode="External"/><Relationship Id="rId55" Type="http://schemas.openxmlformats.org/officeDocument/2006/relationships/hyperlink" Target="https://doi.org/10.1016/J.JORT.2017.02.00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proquest.com/scholarly-journals/gantt-charts-revisited/docview/1112229712/se-2?accountid=130472" TargetMode="External"/><Relationship Id="rId11" Type="http://schemas.openxmlformats.org/officeDocument/2006/relationships/image" Target="media/image4.png"/><Relationship Id="rId24" Type="http://schemas.openxmlformats.org/officeDocument/2006/relationships/hyperlink" Target="https://doi.org/10.1080/09537287.2014.929190" TargetMode="External"/><Relationship Id="rId32" Type="http://schemas.openxmlformats.org/officeDocument/2006/relationships/hyperlink" Target="https://doi.org/10.46837/journey.v6i1.163" TargetMode="External"/><Relationship Id="rId37" Type="http://schemas.openxmlformats.org/officeDocument/2006/relationships/hyperlink" Target="https://doi.org/10.46837/journey.v6i2.119" TargetMode="External"/><Relationship Id="rId40" Type="http://schemas.openxmlformats.org/officeDocument/2006/relationships/hyperlink" Target="https://doi.org/10.1177/1052562915623822" TargetMode="External"/><Relationship Id="rId45" Type="http://schemas.openxmlformats.org/officeDocument/2006/relationships/hyperlink" Target="https://urn.fi/URN:NBN:fi:amk-201805046564" TargetMode="External"/><Relationship Id="rId53" Type="http://schemas.openxmlformats.org/officeDocument/2006/relationships/hyperlink" Target="https://doi.org/10.2307/621394" TargetMode="External"/><Relationship Id="rId58" Type="http://schemas.openxmlformats.org/officeDocument/2006/relationships/hyperlink" Target="https://doi.org/10.3390/su152014966"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doi.org/10.23912/9781911635734-4791" TargetMode="External"/><Relationship Id="rId14" Type="http://schemas.openxmlformats.org/officeDocument/2006/relationships/image" Target="media/image7.jpeg"/><Relationship Id="rId22" Type="http://schemas.openxmlformats.org/officeDocument/2006/relationships/hyperlink" Target="https://open.library.ubc.ca/media/download/pdf/52966/1.0075687/2" TargetMode="External"/><Relationship Id="rId27" Type="http://schemas.openxmlformats.org/officeDocument/2006/relationships/hyperlink" Target="https://webbut.unitbv.ro/index.php/Series_V/article/download/6270/4812" TargetMode="External"/><Relationship Id="rId30" Type="http://schemas.openxmlformats.org/officeDocument/2006/relationships/hyperlink" Target="https://ebookcentral.proquest.com/lib/trinity/detail.action?docID=29281298" TargetMode="External"/><Relationship Id="rId35" Type="http://schemas.openxmlformats.org/officeDocument/2006/relationships/hyperlink" Target="https://www.academia.edu/download/109303198/00192.pdf" TargetMode="External"/><Relationship Id="rId43" Type="http://schemas.openxmlformats.org/officeDocument/2006/relationships/hyperlink" Target="https://doi.org/10.1080/10429247.2015.1135033" TargetMode="External"/><Relationship Id="rId48" Type="http://schemas.openxmlformats.org/officeDocument/2006/relationships/hyperlink" Target="https://doi.org/10.1016/j.jacr.2014.08.016" TargetMode="External"/><Relationship Id="rId56" Type="http://schemas.openxmlformats.org/officeDocument/2006/relationships/hyperlink" Target="https://doi.org/10.1002/BSE.1744" TargetMode="External"/><Relationship Id="rId8" Type="http://schemas.openxmlformats.org/officeDocument/2006/relationships/image" Target="media/image1.jpeg"/><Relationship Id="rId51" Type="http://schemas.openxmlformats.org/officeDocument/2006/relationships/hyperlink" Target="https://doi.org/10.1029/2020EF001783"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doi.org/10.1177/239700221102500307" TargetMode="External"/><Relationship Id="rId25" Type="http://schemas.openxmlformats.org/officeDocument/2006/relationships/hyperlink" Target="https://doi.org/10.1093/OXFORDHB/9780195369809.013.0227" TargetMode="External"/><Relationship Id="rId33" Type="http://schemas.openxmlformats.org/officeDocument/2006/relationships/hyperlink" Target="https://doi.org/10.1016/S0261-5177(97)00106-4" TargetMode="External"/><Relationship Id="rId38" Type="http://schemas.openxmlformats.org/officeDocument/2006/relationships/hyperlink" Target="https://www.researchgate.net/profile/Marcin-Majka-2/publication/385047019_Mastering_Root_Cause_Analysis_with_the_5_Whys_Method/links/6712e8cc68ac3041499f1ca4/Mastering-Root-Cause-Analysis-with-the-5-Whys-Method.pdf" TargetMode="External"/><Relationship Id="rId46" Type="http://schemas.openxmlformats.org/officeDocument/2006/relationships/hyperlink" Target="https://doi.org/10.1080/0965254X.2019.1569111" TargetMode="External"/><Relationship Id="rId59" Type="http://schemas.openxmlformats.org/officeDocument/2006/relationships/hyperlink" Target="https://doi.org/10.1016/J.JCLEPRO.2017.07.209" TargetMode="External"/><Relationship Id="rId20" Type="http://schemas.openxmlformats.org/officeDocument/2006/relationships/hyperlink" Target="https://doi.org/10.3390/SU13095030" TargetMode="External"/><Relationship Id="rId41" Type="http://schemas.openxmlformats.org/officeDocument/2006/relationships/hyperlink" Target="https://so06.tci-thaijo.org/index.php/wms/article/view/86312" TargetMode="External"/><Relationship Id="rId54" Type="http://schemas.openxmlformats.org/officeDocument/2006/relationships/hyperlink" Target="https://doi.org/10.1016/J.IJHM.2010.09.01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80/15313220.2018.1522290" TargetMode="External"/><Relationship Id="rId28" Type="http://schemas.openxmlformats.org/officeDocument/2006/relationships/hyperlink" Target="https://doi.org/10.34257/gjmbrfvol20is2pg37" TargetMode="External"/><Relationship Id="rId36" Type="http://schemas.openxmlformats.org/officeDocument/2006/relationships/hyperlink" Target="https://doi.org/10.4324/9780429280993-27" TargetMode="External"/><Relationship Id="rId49" Type="http://schemas.openxmlformats.org/officeDocument/2006/relationships/hyperlink" Target="https://librarysearch.uwtsd.ac.uk/permalink/44WHELF_UWTSD/upgrip/alma99100509002002421" TargetMode="External"/><Relationship Id="rId57" Type="http://schemas.openxmlformats.org/officeDocument/2006/relationships/hyperlink" Target="https://doi.org/10.3390/en13040945" TargetMode="External"/><Relationship Id="rId10" Type="http://schemas.openxmlformats.org/officeDocument/2006/relationships/image" Target="media/image3.jpeg"/><Relationship Id="rId31" Type="http://schemas.openxmlformats.org/officeDocument/2006/relationships/hyperlink" Target="https://eudl.eu/pdf/10.4108/ICST.MOBIMEDIA2007.1722" TargetMode="External"/><Relationship Id="rId44" Type="http://schemas.openxmlformats.org/officeDocument/2006/relationships/hyperlink" Target="https://doi.org/10.3727/152599518X15403853721321" TargetMode="External"/><Relationship Id="rId52" Type="http://schemas.openxmlformats.org/officeDocument/2006/relationships/hyperlink" Target="https://embok.org/juliasilvers/embok.html"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61355-08E3-415A-8E9F-17D06E937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30</Pages>
  <Words>7166</Words>
  <Characters>40851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Salanchi (2206421)</dc:creator>
  <cp:keywords/>
  <dc:description/>
  <cp:lastModifiedBy>Anamaria Salanchi (2206421)</cp:lastModifiedBy>
  <cp:revision>3</cp:revision>
  <dcterms:created xsi:type="dcterms:W3CDTF">2024-11-06T07:51:00Z</dcterms:created>
  <dcterms:modified xsi:type="dcterms:W3CDTF">2024-11-08T21:07:00Z</dcterms:modified>
</cp:coreProperties>
</file>