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BCE1D5" w14:textId="063C2E3F" w:rsidR="00C413EC" w:rsidRDefault="000A4A50" w:rsidP="00C413EC">
      <w:r>
        <w:rPr>
          <w:noProof/>
        </w:rPr>
        <w:drawing>
          <wp:inline distT="0" distB="0" distL="0" distR="0" wp14:anchorId="4DC6DF9B" wp14:editId="11281165">
            <wp:extent cx="2381250" cy="1377284"/>
            <wp:effectExtent l="0" t="0" r="0" b="0"/>
            <wp:docPr id="2" name="Picture 1" descr="A close-up of black text&#10;&#10;AI-generated content may be incorrect.">
              <a:extLst xmlns:a="http://schemas.openxmlformats.org/drawingml/2006/main">
                <a:ext uri="{FF2B5EF4-FFF2-40B4-BE49-F238E27FC236}">
                  <a16:creationId xmlns:a16="http://schemas.microsoft.com/office/drawing/2014/main" id="{8FC0207E-9F4D-8B8C-6C32-40C9013A37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lose-up of black text&#10;&#10;AI-generated content may be incorrect.">
                      <a:extLst>
                        <a:ext uri="{FF2B5EF4-FFF2-40B4-BE49-F238E27FC236}">
                          <a16:creationId xmlns:a16="http://schemas.microsoft.com/office/drawing/2014/main" id="{8FC0207E-9F4D-8B8C-6C32-40C9013A37B1}"/>
                        </a:ext>
                      </a:extLst>
                    </pic:cNvPr>
                    <pic:cNvPicPr>
                      <a:picLocks noChangeAspect="1"/>
                    </pic:cNvPicPr>
                  </pic:nvPicPr>
                  <pic:blipFill>
                    <a:blip r:embed="rId6"/>
                    <a:stretch>
                      <a:fillRect/>
                    </a:stretch>
                  </pic:blipFill>
                  <pic:spPr>
                    <a:xfrm>
                      <a:off x="0" y="0"/>
                      <a:ext cx="2465737" cy="1426150"/>
                    </a:xfrm>
                    <a:prstGeom prst="rect">
                      <a:avLst/>
                    </a:prstGeom>
                  </pic:spPr>
                </pic:pic>
              </a:graphicData>
            </a:graphic>
          </wp:inline>
        </w:drawing>
      </w:r>
    </w:p>
    <w:p w14:paraId="7F3057F4" w14:textId="5E9FEAF6" w:rsidR="00C413EC" w:rsidRDefault="00C413EC" w:rsidP="00C413EC">
      <w:pPr>
        <w:jc w:val="center"/>
      </w:pPr>
    </w:p>
    <w:p w14:paraId="53C197FD" w14:textId="44F0A737" w:rsidR="00000E3A" w:rsidRPr="00000E3A" w:rsidRDefault="000A4A50" w:rsidP="00000E3A">
      <w:pPr>
        <w:pStyle w:val="Heading1"/>
        <w:jc w:val="center"/>
        <w:rPr>
          <w:rFonts w:ascii="Arial" w:hAnsi="Arial" w:cs="Arial"/>
          <w:color w:val="1F497D" w:themeColor="text2"/>
          <w:sz w:val="40"/>
          <w:szCs w:val="40"/>
          <w:lang w:val="en-GB"/>
        </w:rPr>
      </w:pPr>
      <w:r w:rsidRPr="00000E3A">
        <w:rPr>
          <w:rFonts w:ascii="Arial" w:hAnsi="Arial" w:cs="Arial"/>
          <w:color w:val="1F497D" w:themeColor="text2"/>
          <w:sz w:val="40"/>
          <w:szCs w:val="40"/>
          <w:lang w:val="en-GB"/>
        </w:rPr>
        <w:t>Catalogue entry</w:t>
      </w:r>
    </w:p>
    <w:p w14:paraId="7A49AF44" w14:textId="77777777" w:rsidR="00000E3A" w:rsidRPr="00000E3A" w:rsidRDefault="00000E3A" w:rsidP="00000E3A">
      <w:pPr>
        <w:rPr>
          <w:color w:val="1F497D" w:themeColor="text2"/>
        </w:rPr>
      </w:pPr>
    </w:p>
    <w:p w14:paraId="2A04AF12" w14:textId="3C9E0F7C" w:rsidR="00000E3A" w:rsidRPr="00000E3A" w:rsidRDefault="00000E3A" w:rsidP="00000E3A">
      <w:pPr>
        <w:jc w:val="center"/>
        <w:rPr>
          <w:rFonts w:ascii="Arial" w:hAnsi="Arial" w:cs="Arial"/>
          <w:b/>
          <w:bCs/>
          <w:color w:val="1F497D" w:themeColor="text2"/>
          <w:sz w:val="40"/>
          <w:szCs w:val="40"/>
        </w:rPr>
      </w:pPr>
      <w:r w:rsidRPr="00000E3A">
        <w:rPr>
          <w:rFonts w:ascii="Arial" w:hAnsi="Arial" w:cs="Arial"/>
          <w:b/>
          <w:bCs/>
          <w:color w:val="1F497D" w:themeColor="text2"/>
          <w:sz w:val="40"/>
          <w:szCs w:val="40"/>
        </w:rPr>
        <w:t>Ancient Egyptian Funerary Beliefs</w:t>
      </w:r>
    </w:p>
    <w:p w14:paraId="1262AB3A" w14:textId="77777777" w:rsidR="00000E3A" w:rsidRPr="00000E3A" w:rsidRDefault="00000E3A" w:rsidP="00000E3A">
      <w:pPr>
        <w:jc w:val="center"/>
        <w:rPr>
          <w:rFonts w:ascii="Arial" w:hAnsi="Arial" w:cs="Arial"/>
          <w:b/>
          <w:bCs/>
          <w:color w:val="1F497D" w:themeColor="text2"/>
          <w:sz w:val="36"/>
          <w:szCs w:val="36"/>
        </w:rPr>
      </w:pPr>
    </w:p>
    <w:p w14:paraId="51291CA3" w14:textId="77777777" w:rsidR="006508EA" w:rsidRDefault="006508EA" w:rsidP="00000E3A">
      <w:pPr>
        <w:jc w:val="center"/>
        <w:rPr>
          <w:rFonts w:ascii="Arial" w:hAnsi="Arial" w:cs="Arial"/>
          <w:b/>
          <w:bCs/>
          <w:color w:val="1F497D" w:themeColor="text2"/>
          <w:sz w:val="32"/>
          <w:szCs w:val="32"/>
        </w:rPr>
      </w:pPr>
    </w:p>
    <w:p w14:paraId="171555EE" w14:textId="6A2CBBAF" w:rsidR="00000E3A" w:rsidRPr="00000E3A" w:rsidRDefault="00000E3A" w:rsidP="00000E3A">
      <w:pPr>
        <w:jc w:val="center"/>
        <w:rPr>
          <w:rFonts w:ascii="Arial" w:hAnsi="Arial" w:cs="Arial"/>
          <w:b/>
          <w:bCs/>
          <w:color w:val="1F497D" w:themeColor="text2"/>
          <w:sz w:val="32"/>
          <w:szCs w:val="32"/>
        </w:rPr>
      </w:pPr>
      <w:r w:rsidRPr="00000E3A">
        <w:rPr>
          <w:rFonts w:ascii="Arial" w:hAnsi="Arial" w:cs="Arial"/>
          <w:b/>
          <w:bCs/>
          <w:color w:val="1F497D" w:themeColor="text2"/>
          <w:sz w:val="32"/>
          <w:szCs w:val="32"/>
        </w:rPr>
        <w:t>University of Wales Trinity Saint David</w:t>
      </w:r>
    </w:p>
    <w:p w14:paraId="7E422353" w14:textId="77777777" w:rsidR="00000E3A" w:rsidRPr="00000E3A" w:rsidRDefault="00000E3A" w:rsidP="00000E3A">
      <w:pPr>
        <w:jc w:val="center"/>
        <w:rPr>
          <w:rFonts w:ascii="Arial" w:hAnsi="Arial" w:cs="Arial"/>
          <w:b/>
          <w:bCs/>
          <w:color w:val="1F497D" w:themeColor="text2"/>
          <w:sz w:val="32"/>
          <w:szCs w:val="32"/>
        </w:rPr>
      </w:pPr>
    </w:p>
    <w:p w14:paraId="05EB679A" w14:textId="77777777" w:rsidR="006508EA" w:rsidRDefault="006508EA" w:rsidP="00000E3A">
      <w:pPr>
        <w:jc w:val="center"/>
        <w:rPr>
          <w:rFonts w:ascii="Arial" w:hAnsi="Arial" w:cs="Arial"/>
          <w:b/>
          <w:bCs/>
          <w:color w:val="1F497D" w:themeColor="text2"/>
          <w:sz w:val="32"/>
          <w:szCs w:val="32"/>
        </w:rPr>
      </w:pPr>
    </w:p>
    <w:p w14:paraId="640D9D97" w14:textId="719F4372" w:rsidR="00000E3A" w:rsidRPr="00000E3A" w:rsidRDefault="00000E3A" w:rsidP="00000E3A">
      <w:pPr>
        <w:jc w:val="center"/>
        <w:rPr>
          <w:rFonts w:ascii="Arial" w:hAnsi="Arial" w:cs="Arial"/>
          <w:b/>
          <w:bCs/>
          <w:color w:val="1F497D" w:themeColor="text2"/>
          <w:sz w:val="32"/>
          <w:szCs w:val="32"/>
        </w:rPr>
      </w:pPr>
      <w:r w:rsidRPr="00000E3A">
        <w:rPr>
          <w:rFonts w:ascii="Arial" w:hAnsi="Arial" w:cs="Arial"/>
          <w:b/>
          <w:bCs/>
          <w:color w:val="1F497D" w:themeColor="text2"/>
          <w:sz w:val="32"/>
          <w:szCs w:val="32"/>
        </w:rPr>
        <w:t>Carmarthen Campus</w:t>
      </w:r>
    </w:p>
    <w:p w14:paraId="7F0FB829" w14:textId="77777777" w:rsidR="00000E3A" w:rsidRDefault="00000E3A" w:rsidP="00000E3A">
      <w:pPr>
        <w:rPr>
          <w:rFonts w:ascii="Arial" w:hAnsi="Arial" w:cs="Arial"/>
          <w:sz w:val="36"/>
          <w:szCs w:val="36"/>
        </w:rPr>
      </w:pPr>
    </w:p>
    <w:p w14:paraId="6A484581" w14:textId="77777777" w:rsidR="006508EA" w:rsidRPr="00000E3A" w:rsidRDefault="006508EA" w:rsidP="00000E3A">
      <w:pPr>
        <w:rPr>
          <w:rFonts w:ascii="Arial" w:hAnsi="Arial" w:cs="Arial"/>
          <w:sz w:val="36"/>
          <w:szCs w:val="36"/>
        </w:rPr>
      </w:pPr>
    </w:p>
    <w:p w14:paraId="6FBAEDEE" w14:textId="77777777" w:rsidR="00000E3A" w:rsidRPr="00000E3A" w:rsidRDefault="00000E3A" w:rsidP="00000E3A">
      <w:pPr>
        <w:rPr>
          <w:rFonts w:ascii="Arial" w:hAnsi="Arial" w:cs="Arial"/>
          <w:sz w:val="36"/>
          <w:szCs w:val="36"/>
        </w:rPr>
      </w:pPr>
    </w:p>
    <w:p w14:paraId="3EB3F1A2" w14:textId="77777777" w:rsidR="00000E3A" w:rsidRPr="00000E3A" w:rsidRDefault="00000E3A" w:rsidP="00000E3A">
      <w:pPr>
        <w:rPr>
          <w:rFonts w:ascii="Arial" w:hAnsi="Arial" w:cs="Arial"/>
          <w:sz w:val="36"/>
          <w:szCs w:val="36"/>
        </w:rPr>
      </w:pPr>
    </w:p>
    <w:p w14:paraId="5EBE63C8" w14:textId="77777777" w:rsidR="00000E3A" w:rsidRPr="00000E3A" w:rsidRDefault="00000E3A" w:rsidP="00000E3A">
      <w:pPr>
        <w:rPr>
          <w:rFonts w:ascii="Arial" w:hAnsi="Arial" w:cs="Arial"/>
          <w:sz w:val="36"/>
          <w:szCs w:val="36"/>
        </w:rPr>
      </w:pPr>
    </w:p>
    <w:p w14:paraId="249ADCBE" w14:textId="77777777" w:rsidR="00000E3A" w:rsidRDefault="00000E3A" w:rsidP="00000E3A">
      <w:pPr>
        <w:rPr>
          <w:rFonts w:ascii="Arial" w:hAnsi="Arial" w:cs="Arial"/>
          <w:sz w:val="36"/>
          <w:szCs w:val="36"/>
        </w:rPr>
      </w:pPr>
    </w:p>
    <w:p w14:paraId="43585F76" w14:textId="77777777" w:rsidR="006508EA" w:rsidRDefault="006508EA" w:rsidP="00000E3A">
      <w:pPr>
        <w:rPr>
          <w:rFonts w:ascii="Arial" w:hAnsi="Arial" w:cs="Arial"/>
          <w:sz w:val="36"/>
          <w:szCs w:val="36"/>
        </w:rPr>
      </w:pPr>
    </w:p>
    <w:p w14:paraId="7ADB689B" w14:textId="77777777" w:rsidR="006508EA" w:rsidRDefault="006508EA" w:rsidP="00000E3A">
      <w:pPr>
        <w:rPr>
          <w:rFonts w:ascii="Arial" w:hAnsi="Arial" w:cs="Arial"/>
          <w:sz w:val="36"/>
          <w:szCs w:val="36"/>
        </w:rPr>
      </w:pPr>
    </w:p>
    <w:p w14:paraId="62624837" w14:textId="77777777" w:rsidR="006508EA" w:rsidRDefault="006508EA" w:rsidP="00000E3A">
      <w:pPr>
        <w:rPr>
          <w:rFonts w:ascii="Arial" w:hAnsi="Arial" w:cs="Arial"/>
          <w:sz w:val="36"/>
          <w:szCs w:val="36"/>
        </w:rPr>
      </w:pPr>
    </w:p>
    <w:p w14:paraId="1E29D812" w14:textId="77777777" w:rsidR="006508EA" w:rsidRDefault="006508EA" w:rsidP="00000E3A">
      <w:pPr>
        <w:rPr>
          <w:rFonts w:ascii="Arial" w:hAnsi="Arial" w:cs="Arial"/>
          <w:sz w:val="36"/>
          <w:szCs w:val="36"/>
        </w:rPr>
      </w:pPr>
    </w:p>
    <w:p w14:paraId="746C8D80" w14:textId="77777777" w:rsidR="006508EA" w:rsidRDefault="006508EA" w:rsidP="00000E3A">
      <w:pPr>
        <w:rPr>
          <w:rFonts w:ascii="Arial" w:hAnsi="Arial" w:cs="Arial"/>
          <w:sz w:val="36"/>
          <w:szCs w:val="36"/>
        </w:rPr>
      </w:pPr>
    </w:p>
    <w:p w14:paraId="52859833" w14:textId="77777777" w:rsidR="006508EA" w:rsidRPr="00000E3A" w:rsidRDefault="006508EA" w:rsidP="00000E3A">
      <w:pPr>
        <w:rPr>
          <w:rFonts w:ascii="Arial" w:hAnsi="Arial" w:cs="Arial"/>
          <w:sz w:val="36"/>
          <w:szCs w:val="36"/>
        </w:rPr>
      </w:pPr>
    </w:p>
    <w:p w14:paraId="4D2C6653" w14:textId="77777777" w:rsidR="00000E3A" w:rsidRPr="00000E3A" w:rsidRDefault="00000E3A" w:rsidP="00000E3A">
      <w:pPr>
        <w:rPr>
          <w:rFonts w:ascii="Arial" w:hAnsi="Arial" w:cs="Arial"/>
          <w:sz w:val="36"/>
          <w:szCs w:val="36"/>
        </w:rPr>
      </w:pPr>
    </w:p>
    <w:p w14:paraId="2E53F215" w14:textId="77777777" w:rsidR="00000E3A" w:rsidRDefault="00000E3A" w:rsidP="00000E3A">
      <w:pPr>
        <w:rPr>
          <w:rFonts w:ascii="Arial" w:hAnsi="Arial" w:cs="Arial"/>
          <w:b/>
          <w:bCs/>
          <w:sz w:val="36"/>
          <w:szCs w:val="36"/>
        </w:rPr>
      </w:pPr>
    </w:p>
    <w:p w14:paraId="5568A9A3" w14:textId="77777777" w:rsidR="00000E3A" w:rsidRDefault="00000E3A" w:rsidP="00000E3A">
      <w:pPr>
        <w:jc w:val="center"/>
        <w:rPr>
          <w:rFonts w:ascii="Arial" w:hAnsi="Arial" w:cs="Arial"/>
          <w:b/>
          <w:bCs/>
          <w:sz w:val="28"/>
          <w:szCs w:val="28"/>
        </w:rPr>
      </w:pPr>
    </w:p>
    <w:p w14:paraId="6D73EB78" w14:textId="77777777" w:rsidR="00000E3A" w:rsidRDefault="00000E3A" w:rsidP="00000E3A">
      <w:pPr>
        <w:jc w:val="center"/>
        <w:rPr>
          <w:rFonts w:ascii="Arial" w:hAnsi="Arial" w:cs="Arial"/>
          <w:b/>
          <w:bCs/>
          <w:sz w:val="28"/>
          <w:szCs w:val="28"/>
        </w:rPr>
      </w:pPr>
    </w:p>
    <w:p w14:paraId="2A83E74C" w14:textId="131D40CD" w:rsidR="00000E3A" w:rsidRPr="00000E3A" w:rsidRDefault="00000E3A" w:rsidP="00000E3A">
      <w:pPr>
        <w:jc w:val="center"/>
        <w:rPr>
          <w:rFonts w:ascii="Arial" w:hAnsi="Arial" w:cs="Arial"/>
          <w:b/>
          <w:bCs/>
          <w:sz w:val="28"/>
          <w:szCs w:val="28"/>
        </w:rPr>
      </w:pPr>
      <w:r w:rsidRPr="00000E3A">
        <w:rPr>
          <w:rFonts w:ascii="Arial" w:hAnsi="Arial" w:cs="Arial"/>
          <w:b/>
          <w:bCs/>
          <w:sz w:val="28"/>
          <w:szCs w:val="28"/>
        </w:rPr>
        <w:t>Narantsatsralt Ganbaatar (2124049)</w:t>
      </w:r>
    </w:p>
    <w:p w14:paraId="0B5EA748" w14:textId="790664E7" w:rsidR="00377067" w:rsidRDefault="00377067" w:rsidP="00377067">
      <w:pPr>
        <w:jc w:val="center"/>
        <w:rPr>
          <w:rFonts w:ascii="Arial" w:hAnsi="Arial" w:cs="Arial"/>
          <w:b/>
          <w:sz w:val="28"/>
          <w:szCs w:val="28"/>
        </w:rPr>
      </w:pPr>
      <w:r>
        <w:rPr>
          <w:rFonts w:ascii="Arial" w:hAnsi="Arial" w:cs="Arial"/>
          <w:b/>
          <w:noProof/>
          <w:sz w:val="28"/>
          <w:szCs w:val="28"/>
        </w:rPr>
        <w:lastRenderedPageBreak/>
        <w:drawing>
          <wp:inline distT="0" distB="0" distL="0" distR="0" wp14:anchorId="026E6811" wp14:editId="08A53478">
            <wp:extent cx="3232914" cy="2424685"/>
            <wp:effectExtent l="0" t="2222" r="3492" b="3493"/>
            <wp:docPr id="94243041" name="Picture 1" descr="A stone with a black and brown col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43041" name="Picture 1" descr="A stone with a black and brown color&#10;&#10;AI-generated content may be incorrect."/>
                    <pic:cNvPicPr/>
                  </pic:nvPicPr>
                  <pic:blipFill>
                    <a:blip r:embed="rId7"/>
                    <a:stretch>
                      <a:fillRect/>
                    </a:stretch>
                  </pic:blipFill>
                  <pic:spPr>
                    <a:xfrm rot="5400000">
                      <a:off x="0" y="0"/>
                      <a:ext cx="3281460" cy="2461095"/>
                    </a:xfrm>
                    <a:prstGeom prst="rect">
                      <a:avLst/>
                    </a:prstGeom>
                  </pic:spPr>
                </pic:pic>
              </a:graphicData>
            </a:graphic>
          </wp:inline>
        </w:drawing>
      </w:r>
      <w:r>
        <w:rPr>
          <w:rFonts w:ascii="Arial" w:hAnsi="Arial" w:cs="Arial"/>
          <w:b/>
          <w:sz w:val="28"/>
          <w:szCs w:val="28"/>
        </w:rPr>
        <w:t xml:space="preserve">  </w:t>
      </w:r>
      <w:r>
        <w:rPr>
          <w:rFonts w:ascii="Arial" w:hAnsi="Arial" w:cs="Arial"/>
          <w:b/>
          <w:noProof/>
          <w:sz w:val="28"/>
          <w:szCs w:val="28"/>
        </w:rPr>
        <w:drawing>
          <wp:inline distT="0" distB="0" distL="0" distR="0" wp14:anchorId="301013DA" wp14:editId="1B2645AA">
            <wp:extent cx="3227335" cy="2420502"/>
            <wp:effectExtent l="0" t="2858" r="0" b="0"/>
            <wp:docPr id="1636772373" name="Picture 2" descr="A hand holding a small black and white checker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772373" name="Picture 2" descr="A hand holding a small black and white checkered object&#10;&#10;AI-generated content may be incorrect."/>
                    <pic:cNvPicPr/>
                  </pic:nvPicPr>
                  <pic:blipFill>
                    <a:blip r:embed="rId8"/>
                    <a:stretch>
                      <a:fillRect/>
                    </a:stretch>
                  </pic:blipFill>
                  <pic:spPr>
                    <a:xfrm rot="16200000">
                      <a:off x="0" y="0"/>
                      <a:ext cx="3257376" cy="2443033"/>
                    </a:xfrm>
                    <a:prstGeom prst="rect">
                      <a:avLst/>
                    </a:prstGeom>
                  </pic:spPr>
                </pic:pic>
              </a:graphicData>
            </a:graphic>
          </wp:inline>
        </w:drawing>
      </w:r>
      <w:r>
        <w:rPr>
          <w:rFonts w:ascii="Arial" w:hAnsi="Arial" w:cs="Arial"/>
          <w:b/>
          <w:noProof/>
          <w:sz w:val="28"/>
          <w:szCs w:val="28"/>
        </w:rPr>
        <w:drawing>
          <wp:inline distT="0" distB="0" distL="0" distR="0" wp14:anchorId="1D1E0AF2" wp14:editId="04EFA7D6">
            <wp:extent cx="3228975" cy="2421731"/>
            <wp:effectExtent l="0" t="0" r="0" b="4445"/>
            <wp:docPr id="1014662318" name="Picture 5" descr="A black and brown st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662318" name="Picture 5" descr="A black and brown stone&#10;&#10;AI-generated content may be incorrect."/>
                    <pic:cNvPicPr/>
                  </pic:nvPicPr>
                  <pic:blipFill>
                    <a:blip r:embed="rId9"/>
                    <a:stretch>
                      <a:fillRect/>
                    </a:stretch>
                  </pic:blipFill>
                  <pic:spPr>
                    <a:xfrm>
                      <a:off x="0" y="0"/>
                      <a:ext cx="3278283" cy="2458712"/>
                    </a:xfrm>
                    <a:prstGeom prst="rect">
                      <a:avLst/>
                    </a:prstGeom>
                  </pic:spPr>
                </pic:pic>
              </a:graphicData>
            </a:graphic>
          </wp:inline>
        </w:drawing>
      </w:r>
    </w:p>
    <w:p w14:paraId="4FB4D882" w14:textId="7224DCE6" w:rsidR="00C413EC" w:rsidRDefault="00377067" w:rsidP="00C413EC">
      <w:pPr>
        <w:rPr>
          <w:rFonts w:ascii="Arial" w:hAnsi="Arial" w:cs="Arial"/>
          <w:b/>
          <w:sz w:val="28"/>
          <w:szCs w:val="28"/>
        </w:rPr>
      </w:pPr>
      <w:r>
        <w:rPr>
          <w:rFonts w:ascii="Arial" w:hAnsi="Arial" w:cs="Arial"/>
          <w:b/>
          <w:sz w:val="28"/>
          <w:szCs w:val="28"/>
        </w:rPr>
        <w:t>Pre-dynastic, black-topped vessel</w:t>
      </w:r>
    </w:p>
    <w:p w14:paraId="67E2D468" w14:textId="4DA5C756" w:rsidR="00C413EC" w:rsidRPr="00377067" w:rsidRDefault="00C413EC" w:rsidP="00C413EC">
      <w:pPr>
        <w:rPr>
          <w:rFonts w:ascii="Arial" w:hAnsi="Arial" w:cs="Arial"/>
          <w:b/>
        </w:rPr>
      </w:pPr>
      <w:r w:rsidRPr="00377067">
        <w:rPr>
          <w:rFonts w:ascii="Arial" w:hAnsi="Arial" w:cs="Arial"/>
          <w:b/>
        </w:rPr>
        <w:t>Cyfarthfa Castle, Merthyr Tydfil CCM</w:t>
      </w:r>
      <w:r w:rsidR="00641587" w:rsidRPr="00377067">
        <w:rPr>
          <w:rFonts w:ascii="Arial" w:hAnsi="Arial" w:cs="Arial"/>
          <w:b/>
        </w:rPr>
        <w:t xml:space="preserve"> 322.004</w:t>
      </w:r>
    </w:p>
    <w:p w14:paraId="03FB8A2D" w14:textId="302F5702" w:rsidR="00C413EC" w:rsidRPr="00377067" w:rsidRDefault="00C413EC" w:rsidP="00C413EC">
      <w:pPr>
        <w:rPr>
          <w:rFonts w:ascii="Arial" w:hAnsi="Arial" w:cs="Arial"/>
        </w:rPr>
      </w:pPr>
      <w:r w:rsidRPr="00377067">
        <w:rPr>
          <w:rFonts w:ascii="Arial" w:hAnsi="Arial" w:cs="Arial"/>
          <w:b/>
          <w:bCs/>
        </w:rPr>
        <w:t xml:space="preserve">Object type: </w:t>
      </w:r>
      <w:r w:rsidR="00D77286" w:rsidRPr="00377067">
        <w:rPr>
          <w:rFonts w:ascii="Arial" w:hAnsi="Arial" w:cs="Arial"/>
          <w:b/>
          <w:bCs/>
        </w:rPr>
        <w:t>vessel</w:t>
      </w:r>
    </w:p>
    <w:p w14:paraId="63F0A581" w14:textId="595C13B9" w:rsidR="00C413EC" w:rsidRPr="00377067" w:rsidRDefault="00C413EC" w:rsidP="00C413EC">
      <w:pPr>
        <w:rPr>
          <w:rFonts w:ascii="Arial" w:hAnsi="Arial" w:cs="Arial"/>
        </w:rPr>
      </w:pPr>
      <w:r w:rsidRPr="00377067">
        <w:rPr>
          <w:rFonts w:ascii="Arial" w:hAnsi="Arial" w:cs="Arial"/>
          <w:b/>
          <w:bCs/>
        </w:rPr>
        <w:t xml:space="preserve">Material: </w:t>
      </w:r>
      <w:r w:rsidR="00641587" w:rsidRPr="00377067">
        <w:rPr>
          <w:rFonts w:ascii="Arial" w:hAnsi="Arial" w:cs="Arial"/>
          <w:b/>
          <w:bCs/>
        </w:rPr>
        <w:t>Nile silt clay</w:t>
      </w:r>
    </w:p>
    <w:p w14:paraId="220A38CE" w14:textId="7455D4D8" w:rsidR="00C413EC" w:rsidRPr="00377067" w:rsidRDefault="00C413EC" w:rsidP="00C413EC">
      <w:pPr>
        <w:rPr>
          <w:rFonts w:ascii="Arial" w:hAnsi="Arial" w:cs="Arial"/>
        </w:rPr>
      </w:pPr>
      <w:r w:rsidRPr="00377067">
        <w:rPr>
          <w:rFonts w:ascii="Arial" w:hAnsi="Arial" w:cs="Arial"/>
          <w:b/>
          <w:bCs/>
        </w:rPr>
        <w:t xml:space="preserve">Period: </w:t>
      </w:r>
      <w:r w:rsidR="00641587" w:rsidRPr="00377067">
        <w:rPr>
          <w:rFonts w:ascii="Arial" w:hAnsi="Arial" w:cs="Arial"/>
          <w:b/>
          <w:bCs/>
        </w:rPr>
        <w:t>Naqada I-II period (</w:t>
      </w:r>
      <w:r w:rsidR="00A65E8C">
        <w:rPr>
          <w:rFonts w:ascii="Arial" w:hAnsi="Arial" w:cs="Arial"/>
          <w:b/>
          <w:bCs/>
        </w:rPr>
        <w:t>c.</w:t>
      </w:r>
      <w:r w:rsidR="00641587" w:rsidRPr="00377067">
        <w:rPr>
          <w:rFonts w:ascii="Arial" w:hAnsi="Arial" w:cs="Arial"/>
          <w:b/>
          <w:bCs/>
        </w:rPr>
        <w:t xml:space="preserve"> 3800-3300</w:t>
      </w:r>
      <w:r w:rsidR="00A65E8C">
        <w:rPr>
          <w:rFonts w:ascii="Arial" w:hAnsi="Arial" w:cs="Arial"/>
          <w:b/>
          <w:bCs/>
        </w:rPr>
        <w:t xml:space="preserve"> BCE</w:t>
      </w:r>
      <w:r w:rsidR="00641587" w:rsidRPr="00377067">
        <w:rPr>
          <w:rFonts w:ascii="Arial" w:hAnsi="Arial" w:cs="Arial"/>
          <w:b/>
          <w:bCs/>
        </w:rPr>
        <w:t>)</w:t>
      </w:r>
    </w:p>
    <w:p w14:paraId="7D3202BC" w14:textId="574D613B" w:rsidR="00C413EC" w:rsidRPr="00377067" w:rsidRDefault="00C413EC" w:rsidP="00C413EC">
      <w:pPr>
        <w:rPr>
          <w:rFonts w:ascii="Arial" w:hAnsi="Arial" w:cs="Arial"/>
        </w:rPr>
      </w:pPr>
      <w:r w:rsidRPr="00377067">
        <w:rPr>
          <w:rFonts w:ascii="Arial" w:hAnsi="Arial" w:cs="Arial"/>
          <w:b/>
          <w:bCs/>
        </w:rPr>
        <w:t xml:space="preserve">Provenance: </w:t>
      </w:r>
      <w:r w:rsidR="00641587" w:rsidRPr="00377067">
        <w:rPr>
          <w:rFonts w:ascii="Arial" w:hAnsi="Arial" w:cs="Arial"/>
          <w:b/>
          <w:bCs/>
        </w:rPr>
        <w:t>Upper Egypt</w:t>
      </w:r>
    </w:p>
    <w:p w14:paraId="029FE694" w14:textId="0887BEE0" w:rsidR="00C413EC" w:rsidRPr="00377067" w:rsidRDefault="00C413EC" w:rsidP="00C413EC">
      <w:pPr>
        <w:rPr>
          <w:rFonts w:ascii="Arial" w:hAnsi="Arial" w:cs="Arial"/>
        </w:rPr>
      </w:pPr>
      <w:r w:rsidRPr="00377067">
        <w:rPr>
          <w:rFonts w:ascii="Arial" w:hAnsi="Arial" w:cs="Arial"/>
          <w:b/>
          <w:bCs/>
        </w:rPr>
        <w:t xml:space="preserve">Dimensions: </w:t>
      </w:r>
      <w:r w:rsidR="00641587" w:rsidRPr="00377067">
        <w:rPr>
          <w:rFonts w:ascii="Arial" w:hAnsi="Arial" w:cs="Arial"/>
          <w:b/>
          <w:bCs/>
        </w:rPr>
        <w:t>H=15cm, W=</w:t>
      </w:r>
      <w:r w:rsidR="00212786" w:rsidRPr="00377067">
        <w:rPr>
          <w:rFonts w:ascii="Arial" w:hAnsi="Arial" w:cs="Arial"/>
          <w:b/>
          <w:bCs/>
        </w:rPr>
        <w:t>8cm</w:t>
      </w:r>
      <w:r w:rsidR="00C443E8">
        <w:rPr>
          <w:rFonts w:ascii="Arial" w:hAnsi="Arial" w:cs="Arial"/>
          <w:b/>
          <w:bCs/>
        </w:rPr>
        <w:t>, wall thickness</w:t>
      </w:r>
      <w:r w:rsidR="00A65E8C">
        <w:rPr>
          <w:rFonts w:ascii="Arial" w:hAnsi="Arial" w:cs="Arial"/>
          <w:b/>
          <w:bCs/>
        </w:rPr>
        <w:t>:</w:t>
      </w:r>
      <w:r w:rsidR="00C443E8">
        <w:rPr>
          <w:rFonts w:ascii="Arial" w:hAnsi="Arial" w:cs="Arial"/>
          <w:b/>
          <w:bCs/>
        </w:rPr>
        <w:t xml:space="preserve"> 4 to 8 mm depending on a side. </w:t>
      </w:r>
    </w:p>
    <w:p w14:paraId="4B5D6E0B" w14:textId="02C8B28D" w:rsidR="00C413EC" w:rsidRPr="00377067" w:rsidRDefault="00C413EC" w:rsidP="00C413EC">
      <w:pPr>
        <w:rPr>
          <w:rFonts w:ascii="Arial" w:hAnsi="Arial" w:cs="Arial"/>
          <w:b/>
          <w:bCs/>
        </w:rPr>
      </w:pPr>
      <w:r w:rsidRPr="00377067">
        <w:rPr>
          <w:rFonts w:ascii="Arial" w:hAnsi="Arial" w:cs="Arial"/>
          <w:b/>
          <w:bCs/>
        </w:rPr>
        <w:t xml:space="preserve">Object analysis by </w:t>
      </w:r>
      <w:r w:rsidR="00641587" w:rsidRPr="00377067">
        <w:rPr>
          <w:rFonts w:ascii="Arial" w:hAnsi="Arial" w:cs="Arial"/>
          <w:b/>
          <w:bCs/>
        </w:rPr>
        <w:t>Narantsatsralt Ganbaatar</w:t>
      </w:r>
    </w:p>
    <w:p w14:paraId="0E6EF580" w14:textId="77777777" w:rsidR="00896321" w:rsidRDefault="00896321" w:rsidP="00C413EC">
      <w:pPr>
        <w:rPr>
          <w:rFonts w:ascii="Arial" w:hAnsi="Arial" w:cs="Arial"/>
          <w:b/>
          <w:u w:val="single"/>
        </w:rPr>
      </w:pPr>
    </w:p>
    <w:p w14:paraId="12A0E2E9" w14:textId="77777777" w:rsidR="00FB2BB3" w:rsidRDefault="00C413EC" w:rsidP="006508EA">
      <w:pPr>
        <w:rPr>
          <w:rFonts w:ascii="Arial" w:hAnsi="Arial" w:cs="Arial"/>
        </w:rPr>
      </w:pPr>
      <w:r>
        <w:rPr>
          <w:rFonts w:ascii="Arial" w:hAnsi="Arial" w:cs="Arial"/>
          <w:b/>
          <w:u w:val="single"/>
        </w:rPr>
        <w:t>Description</w:t>
      </w:r>
    </w:p>
    <w:p w14:paraId="2B93F5AE" w14:textId="77777777" w:rsidR="00FB2BB3" w:rsidRDefault="006508EA" w:rsidP="006508EA">
      <w:pPr>
        <w:rPr>
          <w:rFonts w:ascii="Arial" w:hAnsi="Arial" w:cs="Arial"/>
        </w:rPr>
      </w:pPr>
      <w:r w:rsidRPr="006508EA">
        <w:rPr>
          <w:rFonts w:ascii="Arial" w:hAnsi="Arial" w:cs="Arial"/>
          <w:color w:val="000000"/>
        </w:rPr>
        <w:t>This small, hand-built vessel stands roughly the height of a man’s hand. Its rounded base tapers gently upward into a smooth, subtly curved shoulder, then ends in a slightly everted rim. The rim and upper interior are deep charcoal black, fading gradually into the warm red of the lower body. The vessel’s surface is even with faint horizontal striations from shaping by hand. It feels finely made, thin-walled but sturdy and light to lift. The transition from red to black is soft. Inside, the surface is equally polished, indicating deliberate attention to detail, even in areas unseen once the object was filled or placed in a tomb.</w:t>
      </w:r>
    </w:p>
    <w:p w14:paraId="1C3A644A" w14:textId="77777777" w:rsidR="00FB2BB3" w:rsidRDefault="006508EA" w:rsidP="006508EA">
      <w:pPr>
        <w:rPr>
          <w:rFonts w:ascii="Arial" w:hAnsi="Arial" w:cs="Arial"/>
        </w:rPr>
      </w:pPr>
      <w:r w:rsidRPr="006508EA">
        <w:rPr>
          <w:rFonts w:ascii="Arial" w:hAnsi="Arial" w:cs="Arial"/>
          <w:color w:val="000000"/>
        </w:rPr>
        <w:lastRenderedPageBreak/>
        <w:t xml:space="preserve">This vessel belongs to the class of black-topped red ware characteristic of Upper Egypt during the </w:t>
      </w:r>
      <w:proofErr w:type="spellStart"/>
      <w:r w:rsidRPr="006508EA">
        <w:rPr>
          <w:rFonts w:ascii="Arial" w:hAnsi="Arial" w:cs="Arial"/>
          <w:color w:val="000000"/>
        </w:rPr>
        <w:t>Naqada</w:t>
      </w:r>
      <w:proofErr w:type="spellEnd"/>
      <w:r w:rsidRPr="006508EA">
        <w:rPr>
          <w:rFonts w:ascii="Arial" w:hAnsi="Arial" w:cs="Arial"/>
          <w:color w:val="000000"/>
        </w:rPr>
        <w:t xml:space="preserve"> I-II phase (National Museums Liverpool, n.d</w:t>
      </w:r>
      <w:r>
        <w:rPr>
          <w:rFonts w:ascii="Arial" w:hAnsi="Arial" w:cs="Arial"/>
          <w:color w:val="000000"/>
        </w:rPr>
        <w:t>.</w:t>
      </w:r>
      <w:r w:rsidRPr="006508EA">
        <w:rPr>
          <w:rFonts w:ascii="Arial" w:hAnsi="Arial" w:cs="Arial"/>
          <w:color w:val="000000"/>
        </w:rPr>
        <w:t>). Such vessels are predominantly recovered from burials rather than domestic settings and served as funerary offerings (Cleveland Museum of Art, n.d.). They likely contained water, wine, or food and were placed near the dead as sustenance for the journey to the afterlife (Sowada &amp; N., 1999, pp. 85-102). Their consistent presence in graves suggests that their primary function was symbolic provision for the deceased, rather than utilitarian household use (Sowada &amp; N., 1999, pp. 85-102).</w:t>
      </w:r>
    </w:p>
    <w:p w14:paraId="6C335E0F" w14:textId="7917AC50" w:rsidR="006508EA" w:rsidRPr="00FB2BB3" w:rsidRDefault="006508EA" w:rsidP="006508EA">
      <w:pPr>
        <w:rPr>
          <w:rFonts w:ascii="Arial" w:hAnsi="Arial" w:cs="Arial"/>
        </w:rPr>
      </w:pPr>
      <w:r w:rsidRPr="006508EA">
        <w:rPr>
          <w:rFonts w:ascii="Arial" w:hAnsi="Arial" w:cs="Arial"/>
          <w:color w:val="000000"/>
        </w:rPr>
        <w:t>The conservative shape of the vessel, which is simple, symmetrical and without extraneous features, follows Predynastic conventions for offering jars. In fact, ceramicists likely modelled these pots after prestigious stone jars and gourd bowls, copying the black-lipped aesthetic of natural gourds (Arkell &amp; J., 1960, pp. 1-7). In Egyptian art, this dual-colour scheme has symbolic meaning: red was associated with chaos and death, while black symbolised the fertile, life-giving soil of the Nile and rebirth (</w:t>
      </w:r>
      <w:proofErr w:type="spellStart"/>
      <w:r w:rsidRPr="006508EA">
        <w:rPr>
          <w:rFonts w:ascii="Arial" w:hAnsi="Arial" w:cs="Arial"/>
          <w:color w:val="000000"/>
        </w:rPr>
        <w:t>Ćwiek</w:t>
      </w:r>
      <w:proofErr w:type="spellEnd"/>
      <w:r w:rsidRPr="006508EA">
        <w:rPr>
          <w:rFonts w:ascii="Arial" w:hAnsi="Arial" w:cs="Arial"/>
          <w:color w:val="000000"/>
        </w:rPr>
        <w:t xml:space="preserve"> &amp; Andrzej, 2014, pp. 123-134). Thus, the red body and black rim together may evoke the cycle of death and renewal. The two-tone jar can be “read” as an offering symbol. Its blackened interior could represent the primordial waters or fertile soil, and any liquid poured from it would metaphorically release life-giving water, the Nile’s renewal, to the tomb of the deceased. This colour symbolism reinforces why such vessels were favoured in mortuary rites.</w:t>
      </w:r>
    </w:p>
    <w:p w14:paraId="4F5D3F56" w14:textId="77777777" w:rsidR="006508EA" w:rsidRPr="006508EA" w:rsidRDefault="006508EA" w:rsidP="006508EA">
      <w:pPr>
        <w:rPr>
          <w:rFonts w:ascii="Arial" w:hAnsi="Arial" w:cs="Arial"/>
          <w:color w:val="000000"/>
        </w:rPr>
      </w:pPr>
    </w:p>
    <w:p w14:paraId="5C0005C0" w14:textId="77777777" w:rsidR="00FB2BB3" w:rsidRDefault="00611280" w:rsidP="00772012">
      <w:r>
        <w:fldChar w:fldCharType="begin"/>
      </w:r>
      <w:r>
        <w:instrText xml:space="preserve"> INCLUDEPICTURE "/Users/narantsatsraltganbaatar/Library/Group Containers/UBF8T346G9.ms/WebArchiveCopyPasteTempFiles/com.microsoft.Word/15.2.26_EGDP010445.jpg" \* MERGEFORMATINET </w:instrText>
      </w:r>
      <w:r>
        <w:fldChar w:fldCharType="separate"/>
      </w:r>
      <w:r>
        <w:rPr>
          <w:noProof/>
        </w:rPr>
        <w:drawing>
          <wp:inline distT="0" distB="0" distL="0" distR="0" wp14:anchorId="60BF951C" wp14:editId="3066A013">
            <wp:extent cx="2375391" cy="3027600"/>
            <wp:effectExtent l="0" t="0" r="0" b="0"/>
            <wp:docPr id="518177242" name="Picture 6" descr="A black and red vase on a st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177242" name="Picture 6" descr="A black and red vase on a stan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75391" cy="3027600"/>
                    </a:xfrm>
                    <a:prstGeom prst="rect">
                      <a:avLst/>
                    </a:prstGeom>
                    <a:noFill/>
                    <a:ln>
                      <a:noFill/>
                    </a:ln>
                  </pic:spPr>
                </pic:pic>
              </a:graphicData>
            </a:graphic>
          </wp:inline>
        </w:drawing>
      </w:r>
      <w:r>
        <w:fldChar w:fldCharType="end"/>
      </w:r>
    </w:p>
    <w:p w14:paraId="42C79F30" w14:textId="07261BAA" w:rsidR="00772012" w:rsidRDefault="00772012" w:rsidP="00772012">
      <w:pPr>
        <w:rPr>
          <w:rFonts w:ascii="Arial" w:hAnsi="Arial" w:cs="Arial"/>
          <w:color w:val="4F81BD"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72012">
        <w:rPr>
          <w:rFonts w:ascii="Arial" w:hAnsi="Arial" w:cs="Arial"/>
          <w:color w:val="4F81BD"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Figure 1: Black-topped red ware beaker, Predynastic Egypt, Naqada I, in the Metropolitan Museum of Art. 15.2.16</w:t>
      </w:r>
    </w:p>
    <w:p w14:paraId="6FAC863A" w14:textId="77777777" w:rsidR="006508EA" w:rsidRPr="00772012" w:rsidRDefault="006508EA" w:rsidP="00772012">
      <w:pPr>
        <w:rPr>
          <w:rFonts w:ascii="Arial" w:hAnsi="Arial" w:cs="Arial"/>
        </w:rPr>
      </w:pPr>
    </w:p>
    <w:p w14:paraId="750B6624" w14:textId="77777777" w:rsidR="006508EA" w:rsidRPr="006508EA" w:rsidRDefault="006508EA" w:rsidP="006508EA">
      <w:pPr>
        <w:rPr>
          <w:rFonts w:ascii="Arial" w:hAnsi="Arial" w:cs="Arial"/>
          <w:color w:val="000000"/>
        </w:rPr>
      </w:pPr>
      <w:r w:rsidRPr="006508EA">
        <w:rPr>
          <w:rFonts w:ascii="Arial" w:hAnsi="Arial" w:cs="Arial"/>
          <w:color w:val="000000"/>
        </w:rPr>
        <w:t xml:space="preserve">Numerous parallels exist. For instance, Figure 1 shows a </w:t>
      </w:r>
      <w:proofErr w:type="spellStart"/>
      <w:r w:rsidRPr="006508EA">
        <w:rPr>
          <w:rFonts w:ascii="Arial" w:hAnsi="Arial" w:cs="Arial"/>
          <w:color w:val="000000"/>
        </w:rPr>
        <w:t>Naqada</w:t>
      </w:r>
      <w:proofErr w:type="spellEnd"/>
      <w:r w:rsidRPr="006508EA">
        <w:rPr>
          <w:rFonts w:ascii="Arial" w:hAnsi="Arial" w:cs="Arial"/>
          <w:color w:val="000000"/>
        </w:rPr>
        <w:t xml:space="preserve"> I–II black-topped beaker from the Metropolitan Museum (USA) with the same red body and black-topped rim. This comparative vessel confirms that our jar belongs to a broad class of Predynastic fine ware. In each case, the vessels appear to be offerings (as indicated by their findspots in tombs), reinforcing our conclusion that the object’s purpose was funerary libation.</w:t>
      </w:r>
    </w:p>
    <w:p w14:paraId="515A7800" w14:textId="77777777" w:rsidR="006508EA" w:rsidRPr="006508EA" w:rsidRDefault="006508EA" w:rsidP="006508EA">
      <w:pPr>
        <w:rPr>
          <w:rFonts w:ascii="Arial" w:hAnsi="Arial" w:cs="Arial"/>
          <w:color w:val="000000"/>
        </w:rPr>
      </w:pPr>
      <w:r w:rsidRPr="006508EA">
        <w:rPr>
          <w:rFonts w:ascii="Arial" w:hAnsi="Arial" w:cs="Arial"/>
          <w:color w:val="000000"/>
        </w:rPr>
        <w:t xml:space="preserve">The style of this vessel, characterized by a tall, cylindrical body with a blackened rim, is diagnostic of late Badarian through </w:t>
      </w:r>
      <w:proofErr w:type="spellStart"/>
      <w:r w:rsidRPr="006508EA">
        <w:rPr>
          <w:rFonts w:ascii="Arial" w:hAnsi="Arial" w:cs="Arial"/>
          <w:color w:val="000000"/>
        </w:rPr>
        <w:t>Naqada</w:t>
      </w:r>
      <w:proofErr w:type="spellEnd"/>
      <w:r w:rsidRPr="006508EA">
        <w:rPr>
          <w:rFonts w:ascii="Arial" w:hAnsi="Arial" w:cs="Arial"/>
          <w:color w:val="000000"/>
        </w:rPr>
        <w:t xml:space="preserve"> II pottery (approximately 4000–3400 BCE). Black-topped ware first appears in the late 5th millennium BCE and reaches its peak frequency in </w:t>
      </w:r>
      <w:proofErr w:type="spellStart"/>
      <w:r w:rsidRPr="006508EA">
        <w:rPr>
          <w:rFonts w:ascii="Arial" w:hAnsi="Arial" w:cs="Arial"/>
          <w:color w:val="000000"/>
        </w:rPr>
        <w:t>Naqada</w:t>
      </w:r>
      <w:proofErr w:type="spellEnd"/>
      <w:r w:rsidRPr="006508EA">
        <w:rPr>
          <w:rFonts w:ascii="Arial" w:hAnsi="Arial" w:cs="Arial"/>
          <w:color w:val="000000"/>
        </w:rPr>
        <w:t xml:space="preserve"> I–II contexts. It fades after the unification of Egypt, disappearing by the end of Dynasty I. The vessel’s execution and form suggest </w:t>
      </w:r>
      <w:proofErr w:type="gramStart"/>
      <w:r w:rsidRPr="006508EA">
        <w:rPr>
          <w:rFonts w:ascii="Arial" w:hAnsi="Arial" w:cs="Arial"/>
          <w:color w:val="000000"/>
        </w:rPr>
        <w:t>a fairly advanced</w:t>
      </w:r>
      <w:proofErr w:type="gramEnd"/>
      <w:r w:rsidRPr="006508EA">
        <w:rPr>
          <w:rFonts w:ascii="Arial" w:hAnsi="Arial" w:cs="Arial"/>
          <w:color w:val="000000"/>
        </w:rPr>
        <w:t xml:space="preserve"> stage of the tradition, </w:t>
      </w:r>
      <w:r w:rsidRPr="006508EA">
        <w:rPr>
          <w:rFonts w:ascii="Arial" w:hAnsi="Arial" w:cs="Arial"/>
          <w:color w:val="000000"/>
        </w:rPr>
        <w:lastRenderedPageBreak/>
        <w:t xml:space="preserve">likely </w:t>
      </w:r>
      <w:proofErr w:type="spellStart"/>
      <w:r w:rsidRPr="006508EA">
        <w:rPr>
          <w:rFonts w:ascii="Arial" w:hAnsi="Arial" w:cs="Arial"/>
          <w:color w:val="000000"/>
        </w:rPr>
        <w:t>Naqada</w:t>
      </w:r>
      <w:proofErr w:type="spellEnd"/>
      <w:r w:rsidRPr="006508EA">
        <w:rPr>
          <w:rFonts w:ascii="Arial" w:hAnsi="Arial" w:cs="Arial"/>
          <w:color w:val="000000"/>
        </w:rPr>
        <w:t xml:space="preserve"> II B-C. By contrast, earlier Badarian black-top jars are coarser. The absence of hieroglyphs or specific royal emblems means we rely on style. Its resemblance to dated examples dates it securely to the late Predynastic. For chronology, note that the mouth and shoulder are neither extremely flared as in some early examples, nor overly short as in later Early </w:t>
      </w:r>
      <w:proofErr w:type="gramStart"/>
      <w:r w:rsidRPr="006508EA">
        <w:rPr>
          <w:rFonts w:ascii="Arial" w:hAnsi="Arial" w:cs="Arial"/>
          <w:color w:val="000000"/>
        </w:rPr>
        <w:t>Dynastic black-topped</w:t>
      </w:r>
      <w:proofErr w:type="gramEnd"/>
      <w:r w:rsidRPr="006508EA">
        <w:rPr>
          <w:rFonts w:ascii="Arial" w:hAnsi="Arial" w:cs="Arial"/>
          <w:color w:val="000000"/>
        </w:rPr>
        <w:t xml:space="preserve"> survivors, consistent with mid-4th-millennium ware.</w:t>
      </w:r>
    </w:p>
    <w:p w14:paraId="16BA7AAF" w14:textId="6EEA205B" w:rsidR="006508EA" w:rsidRDefault="006508EA" w:rsidP="006508EA">
      <w:pPr>
        <w:rPr>
          <w:rFonts w:ascii="Arial" w:hAnsi="Arial" w:cs="Arial"/>
          <w:color w:val="000000"/>
        </w:rPr>
      </w:pPr>
      <w:r w:rsidRPr="006508EA">
        <w:rPr>
          <w:rFonts w:ascii="Arial" w:hAnsi="Arial" w:cs="Arial"/>
          <w:color w:val="000000"/>
        </w:rPr>
        <w:t xml:space="preserve">Together, the form, finish, and archaeological parallels definitively demonstrate that this vessel is a typical </w:t>
      </w:r>
      <w:proofErr w:type="gramStart"/>
      <w:r w:rsidRPr="006508EA">
        <w:rPr>
          <w:rFonts w:ascii="Arial" w:hAnsi="Arial" w:cs="Arial"/>
          <w:color w:val="000000"/>
        </w:rPr>
        <w:t>Predynastic black-topped</w:t>
      </w:r>
      <w:proofErr w:type="gramEnd"/>
      <w:r w:rsidRPr="006508EA">
        <w:rPr>
          <w:rFonts w:ascii="Arial" w:hAnsi="Arial" w:cs="Arial"/>
          <w:color w:val="000000"/>
        </w:rPr>
        <w:t xml:space="preserve"> ritual vessel, crafted for funerary offerings. Its deliberate craftsmanship and symbolic </w:t>
      </w:r>
      <w:r w:rsidRPr="006508EA">
        <w:rPr>
          <w:rFonts w:ascii="Arial" w:hAnsi="Arial" w:cs="Arial"/>
          <w:color w:val="000000"/>
        </w:rPr>
        <w:t>colour</w:t>
      </w:r>
      <w:r w:rsidRPr="006508EA">
        <w:rPr>
          <w:rFonts w:ascii="Arial" w:hAnsi="Arial" w:cs="Arial"/>
          <w:color w:val="000000"/>
        </w:rPr>
        <w:t xml:space="preserve"> scheme directly reflect early Egyptian beliefs about life, death, and rebirth. Comparison with published examples confirms its role and underlines its significance in mortuary tradition, which is that this object embodies the intersection of artistic convention and funerary function.</w:t>
      </w:r>
    </w:p>
    <w:sdt>
      <w:sdtPr>
        <w:id w:val="650795558"/>
        <w:docPartObj>
          <w:docPartGallery w:val="Bibliographies"/>
          <w:docPartUnique/>
        </w:docPartObj>
      </w:sdtPr>
      <w:sdtEndPr>
        <w:rPr>
          <w:rFonts w:ascii="Times New Roman" w:hAnsi="Times New Roman"/>
          <w:b w:val="0"/>
          <w:bCs w:val="0"/>
          <w:color w:val="auto"/>
          <w:sz w:val="24"/>
          <w:szCs w:val="24"/>
          <w:lang w:val="en-GB" w:eastAsia="en-GB"/>
        </w:rPr>
      </w:sdtEndPr>
      <w:sdtContent>
        <w:p w14:paraId="6856FCCA" w14:textId="4610F3C9" w:rsidR="006508EA" w:rsidRDefault="006508EA">
          <w:pPr>
            <w:pStyle w:val="Heading1"/>
          </w:pPr>
          <w:r>
            <w:t>Bibliography</w:t>
          </w:r>
        </w:p>
        <w:sdt>
          <w:sdtPr>
            <w:id w:val="539566133"/>
            <w:bibliography/>
          </w:sdtPr>
          <w:sdtContent>
            <w:p w14:paraId="557A4960" w14:textId="77777777" w:rsidR="00FB2BB3" w:rsidRDefault="006508EA" w:rsidP="006508EA">
              <w:pPr>
                <w:pStyle w:val="Bibliography"/>
                <w:ind w:left="720" w:hanging="720"/>
                <w:rPr>
                  <w:rFonts w:ascii="Arial" w:hAnsi="Arial" w:cs="Arial"/>
                  <w:noProof/>
                  <w:lang w:val="en-US"/>
                </w:rPr>
              </w:pPr>
              <w:r w:rsidRPr="006508EA">
                <w:rPr>
                  <w:rFonts w:ascii="Arial" w:hAnsi="Arial" w:cs="Arial"/>
                </w:rPr>
                <w:fldChar w:fldCharType="begin"/>
              </w:r>
              <w:r w:rsidRPr="006508EA">
                <w:rPr>
                  <w:rFonts w:ascii="Arial" w:hAnsi="Arial" w:cs="Arial"/>
                </w:rPr>
                <w:instrText xml:space="preserve"> BIBLIOGRAPHY </w:instrText>
              </w:r>
              <w:r w:rsidRPr="006508EA">
                <w:rPr>
                  <w:rFonts w:ascii="Arial" w:hAnsi="Arial" w:cs="Arial"/>
                </w:rPr>
                <w:fldChar w:fldCharType="separate"/>
              </w:r>
              <w:r w:rsidRPr="006508EA">
                <w:rPr>
                  <w:rFonts w:ascii="Arial" w:hAnsi="Arial" w:cs="Arial"/>
                  <w:noProof/>
                  <w:lang w:val="en-US"/>
                </w:rPr>
                <w:t>Metropolitan Museum of Art. (</w:t>
              </w:r>
              <w:r>
                <w:rPr>
                  <w:rFonts w:ascii="Arial" w:hAnsi="Arial" w:cs="Arial"/>
                  <w:noProof/>
                  <w:lang w:val="en-US"/>
                </w:rPr>
                <w:t>n.d.</w:t>
              </w:r>
              <w:r w:rsidRPr="006508EA">
                <w:rPr>
                  <w:rFonts w:ascii="Arial" w:hAnsi="Arial" w:cs="Arial"/>
                  <w:noProof/>
                  <w:lang w:val="en-US"/>
                </w:rPr>
                <w:t xml:space="preserve">). </w:t>
              </w:r>
              <w:r w:rsidRPr="006508EA">
                <w:rPr>
                  <w:rFonts w:ascii="Arial" w:hAnsi="Arial" w:cs="Arial"/>
                  <w:i/>
                  <w:iCs/>
                  <w:noProof/>
                  <w:lang w:val="en-US"/>
                </w:rPr>
                <w:t>Black-topped red ware jar</w:t>
              </w:r>
              <w:r w:rsidRPr="006508EA">
                <w:rPr>
                  <w:rFonts w:ascii="Arial" w:hAnsi="Arial" w:cs="Arial"/>
                  <w:noProof/>
                  <w:lang w:val="en-US"/>
                </w:rPr>
                <w:t>. Retrieved from The MET :</w:t>
              </w:r>
              <w:r w:rsidR="00FB2BB3">
                <w:rPr>
                  <w:rFonts w:ascii="Arial" w:hAnsi="Arial" w:cs="Arial"/>
                  <w:noProof/>
                  <w:lang w:val="en-US"/>
                </w:rPr>
                <w:t xml:space="preserve"> </w:t>
              </w:r>
            </w:p>
            <w:p w14:paraId="383F8B9B" w14:textId="4F4998DE" w:rsidR="006508EA" w:rsidRDefault="006508EA" w:rsidP="006508EA">
              <w:pPr>
                <w:pStyle w:val="Bibliography"/>
                <w:ind w:left="720" w:hanging="720"/>
                <w:rPr>
                  <w:rFonts w:ascii="Arial" w:hAnsi="Arial" w:cs="Arial"/>
                  <w:noProof/>
                  <w:lang w:val="en-US"/>
                </w:rPr>
              </w:pPr>
              <w:r w:rsidRPr="006508EA">
                <w:rPr>
                  <w:rFonts w:ascii="Arial" w:hAnsi="Arial" w:cs="Arial"/>
                  <w:noProof/>
                  <w:lang w:val="en-US"/>
                </w:rPr>
                <w:t>https://www.metmuseum.org/art/collection/search/558253</w:t>
              </w:r>
            </w:p>
            <w:p w14:paraId="4C4C181C" w14:textId="77777777" w:rsidR="006508EA" w:rsidRPr="006508EA" w:rsidRDefault="006508EA" w:rsidP="006508EA">
              <w:pPr>
                <w:rPr>
                  <w:lang w:val="en-US"/>
                </w:rPr>
              </w:pPr>
            </w:p>
            <w:p w14:paraId="7965142F" w14:textId="1FED35E0" w:rsidR="006508EA" w:rsidRPr="006508EA" w:rsidRDefault="006508EA" w:rsidP="006508EA">
              <w:r w:rsidRPr="006508EA">
                <w:rPr>
                  <w:rFonts w:ascii="Arial" w:hAnsi="Arial" w:cs="Arial"/>
                  <w:b/>
                  <w:bCs/>
                  <w:noProof/>
                </w:rPr>
                <w:fldChar w:fldCharType="end"/>
              </w:r>
              <w:r w:rsidRPr="006508EA">
                <w:rPr>
                  <w:rFonts w:ascii="Arial" w:hAnsi="Arial" w:cs="Arial"/>
                  <w:color w:val="000000"/>
                </w:rPr>
                <w:t xml:space="preserve"> </w:t>
              </w:r>
              <w:r w:rsidRPr="006508EA">
                <w:rPr>
                  <w:rFonts w:ascii="Arial" w:hAnsi="Arial" w:cs="Arial"/>
                  <w:color w:val="000000"/>
                </w:rPr>
                <w:t>National Museums Liverpool</w:t>
              </w:r>
              <w:r>
                <w:rPr>
                  <w:rFonts w:ascii="Arial" w:hAnsi="Arial" w:cs="Arial"/>
                  <w:color w:val="000000"/>
                </w:rPr>
                <w:t xml:space="preserve">. </w:t>
              </w:r>
              <w:r w:rsidRPr="006508EA">
                <w:rPr>
                  <w:rFonts w:ascii="Arial" w:hAnsi="Arial" w:cs="Arial"/>
                  <w:color w:val="000000"/>
                </w:rPr>
                <w:t xml:space="preserve">(n.d.). </w:t>
              </w:r>
              <w:r w:rsidRPr="00FB2BB3">
                <w:rPr>
                  <w:rFonts w:ascii="Arial" w:hAnsi="Arial" w:cs="Arial"/>
                  <w:i/>
                  <w:iCs/>
                  <w:color w:val="000000"/>
                </w:rPr>
                <w:t>Black Topped Jar</w:t>
              </w:r>
              <w:r w:rsidRPr="006508EA">
                <w:rPr>
                  <w:rFonts w:ascii="Arial" w:hAnsi="Arial" w:cs="Arial"/>
                  <w:color w:val="000000"/>
                </w:rPr>
                <w:t>.</w:t>
              </w:r>
              <w:r>
                <w:rPr>
                  <w:rFonts w:ascii="Arial" w:hAnsi="Arial" w:cs="Arial"/>
                  <w:color w:val="000000"/>
                </w:rPr>
                <w:t xml:space="preserve"> Retrieved from National Museums Liverpool:  </w:t>
              </w:r>
              <w:r w:rsidRPr="006508EA">
                <w:rPr>
                  <w:rFonts w:ascii="Arial" w:hAnsi="Arial" w:cs="Arial"/>
                  <w:color w:val="000000"/>
                </w:rPr>
                <w:t>https://www.liverpoolmuseums.org.uk/artifact/black-topped-jar-12</w:t>
              </w:r>
            </w:p>
          </w:sdtContent>
        </w:sdt>
      </w:sdtContent>
    </w:sdt>
    <w:p w14:paraId="35C43667" w14:textId="77777777" w:rsidR="006508EA" w:rsidRPr="006508EA" w:rsidRDefault="006508EA" w:rsidP="006508EA">
      <w:pPr>
        <w:rPr>
          <w:rFonts w:ascii="Arial" w:hAnsi="Arial" w:cs="Arial"/>
          <w:color w:val="000000"/>
        </w:rPr>
      </w:pPr>
    </w:p>
    <w:p w14:paraId="4367D37A" w14:textId="367A6AF3" w:rsidR="006508EA" w:rsidRPr="006508EA" w:rsidRDefault="006508EA" w:rsidP="006508EA">
      <w:pPr>
        <w:rPr>
          <w:rFonts w:ascii="Arial" w:hAnsi="Arial" w:cs="Arial"/>
          <w:color w:val="000000"/>
        </w:rPr>
      </w:pPr>
      <w:r w:rsidRPr="006508EA">
        <w:rPr>
          <w:rFonts w:ascii="Arial" w:hAnsi="Arial" w:cs="Arial"/>
          <w:color w:val="000000"/>
        </w:rPr>
        <w:t xml:space="preserve">Cleveland Museum of Art. (n.d.). </w:t>
      </w:r>
      <w:r w:rsidRPr="00FB2BB3">
        <w:rPr>
          <w:rFonts w:ascii="Arial" w:hAnsi="Arial" w:cs="Arial"/>
          <w:i/>
          <w:iCs/>
          <w:color w:val="000000"/>
        </w:rPr>
        <w:t>Black-Topped Beaker</w:t>
      </w:r>
      <w:r w:rsidRPr="006508EA">
        <w:rPr>
          <w:rFonts w:ascii="Arial" w:hAnsi="Arial" w:cs="Arial"/>
          <w:color w:val="000000"/>
        </w:rPr>
        <w:t xml:space="preserve">. </w:t>
      </w:r>
      <w:r>
        <w:rPr>
          <w:rFonts w:ascii="Arial" w:hAnsi="Arial" w:cs="Arial"/>
          <w:color w:val="000000"/>
        </w:rPr>
        <w:t>Retrieved from</w:t>
      </w:r>
      <w:r w:rsidR="00FB2BB3">
        <w:rPr>
          <w:rFonts w:ascii="Arial" w:hAnsi="Arial" w:cs="Arial"/>
          <w:color w:val="000000"/>
        </w:rPr>
        <w:t xml:space="preserve"> The Cleveland Museum of Art: </w:t>
      </w:r>
      <w:r w:rsidRPr="006508EA">
        <w:rPr>
          <w:rFonts w:ascii="Arial" w:hAnsi="Arial" w:cs="Arial"/>
          <w:color w:val="000000"/>
        </w:rPr>
        <w:t>https://www.clevelandart.org/art/1920.1980</w:t>
      </w:r>
    </w:p>
    <w:p w14:paraId="0128C2CB" w14:textId="77777777" w:rsidR="006508EA" w:rsidRPr="006508EA" w:rsidRDefault="006508EA" w:rsidP="006508EA">
      <w:pPr>
        <w:rPr>
          <w:rFonts w:ascii="Arial" w:hAnsi="Arial" w:cs="Arial"/>
          <w:color w:val="000000"/>
        </w:rPr>
      </w:pPr>
    </w:p>
    <w:p w14:paraId="13C5A690" w14:textId="77777777" w:rsidR="006508EA" w:rsidRPr="006508EA" w:rsidRDefault="006508EA" w:rsidP="006508EA">
      <w:pPr>
        <w:rPr>
          <w:rFonts w:ascii="Arial" w:hAnsi="Arial" w:cs="Arial"/>
          <w:color w:val="000000"/>
        </w:rPr>
      </w:pPr>
      <w:r w:rsidRPr="006508EA">
        <w:rPr>
          <w:rFonts w:ascii="Arial" w:hAnsi="Arial" w:cs="Arial"/>
          <w:color w:val="000000"/>
        </w:rPr>
        <w:t>Sowada &amp; N., K. (1999). Black-topped ware in early dynastic contexts. Journal of Egyptian Archaeology 85, pp. 85-102. https://researchers.mq.edu.au/en/publications/black-topped-ware-in-early-dynastic-contexts/</w:t>
      </w:r>
    </w:p>
    <w:p w14:paraId="20939A5D" w14:textId="77777777" w:rsidR="006508EA" w:rsidRPr="006508EA" w:rsidRDefault="006508EA" w:rsidP="006508EA">
      <w:pPr>
        <w:rPr>
          <w:rFonts w:ascii="Arial" w:hAnsi="Arial" w:cs="Arial"/>
          <w:color w:val="000000"/>
        </w:rPr>
      </w:pPr>
    </w:p>
    <w:p w14:paraId="59959BAB" w14:textId="77777777" w:rsidR="006508EA" w:rsidRPr="006508EA" w:rsidRDefault="006508EA" w:rsidP="006508EA">
      <w:pPr>
        <w:rPr>
          <w:rFonts w:ascii="Arial" w:hAnsi="Arial" w:cs="Arial"/>
          <w:color w:val="000000"/>
        </w:rPr>
      </w:pPr>
      <w:r w:rsidRPr="006508EA">
        <w:rPr>
          <w:rFonts w:ascii="Arial" w:hAnsi="Arial" w:cs="Arial"/>
          <w:color w:val="000000"/>
        </w:rPr>
        <w:t>Arkell &amp; J., A. (1960). The origin of black-topped red pottery. The Journal of Egyptian Archaeology 46, pp. 1-7. https://www.jstor.org/stable/3854770</w:t>
      </w:r>
    </w:p>
    <w:p w14:paraId="5B81C1F4" w14:textId="77777777" w:rsidR="006508EA" w:rsidRPr="006508EA" w:rsidRDefault="006508EA" w:rsidP="006508EA">
      <w:pPr>
        <w:rPr>
          <w:rFonts w:ascii="Arial" w:hAnsi="Arial" w:cs="Arial"/>
          <w:color w:val="000000"/>
        </w:rPr>
      </w:pPr>
    </w:p>
    <w:p w14:paraId="1BFA932C" w14:textId="77777777" w:rsidR="006508EA" w:rsidRPr="006508EA" w:rsidRDefault="006508EA" w:rsidP="006508EA">
      <w:pPr>
        <w:rPr>
          <w:rFonts w:ascii="Arial" w:hAnsi="Arial" w:cs="Arial"/>
          <w:color w:val="000000"/>
        </w:rPr>
      </w:pPr>
      <w:proofErr w:type="spellStart"/>
      <w:r w:rsidRPr="006508EA">
        <w:rPr>
          <w:rFonts w:ascii="Arial" w:hAnsi="Arial" w:cs="Arial"/>
          <w:color w:val="000000"/>
        </w:rPr>
        <w:t>Ćwiek</w:t>
      </w:r>
      <w:proofErr w:type="spellEnd"/>
      <w:r w:rsidRPr="006508EA">
        <w:rPr>
          <w:rFonts w:ascii="Arial" w:hAnsi="Arial" w:cs="Arial"/>
          <w:color w:val="000000"/>
        </w:rPr>
        <w:t xml:space="preserve"> &amp; Andrzej. (2014). Red and Black World. Studies in Ancient Art and Civilisation 18, pp. 123-134. https://journals.akademicka.pl/saac/article/view/3084</w:t>
      </w:r>
    </w:p>
    <w:p w14:paraId="76ECB72D" w14:textId="77777777" w:rsidR="006508EA" w:rsidRPr="006508EA" w:rsidRDefault="006508EA" w:rsidP="006508EA">
      <w:pPr>
        <w:rPr>
          <w:rFonts w:ascii="Arial" w:hAnsi="Arial" w:cs="Arial"/>
          <w:color w:val="000000"/>
        </w:rPr>
      </w:pPr>
    </w:p>
    <w:p w14:paraId="694110EE" w14:textId="5615A3A4" w:rsidR="00772012" w:rsidRPr="006508EA" w:rsidRDefault="006508EA">
      <w:pPr>
        <w:rPr>
          <w:rFonts w:ascii="Arial" w:hAnsi="Arial" w:cs="Arial"/>
          <w:color w:val="000000"/>
        </w:rPr>
      </w:pPr>
      <w:r w:rsidRPr="006508EA">
        <w:rPr>
          <w:rFonts w:ascii="Arial" w:hAnsi="Arial" w:cs="Arial"/>
          <w:color w:val="000000"/>
        </w:rPr>
        <w:t>Sowada &amp; N., K. (1999). Black-topped ware in early dynastic contexts. Journal of Egyptian Archaeology 85, pp. 85-102. https://researchers.mq.edu.au/en/publications/black-topped-ware-in-early-dynastic-contexts/</w:t>
      </w:r>
    </w:p>
    <w:sectPr w:rsidR="00772012" w:rsidRPr="006508EA" w:rsidSect="00C413EC">
      <w:pgSz w:w="12240" w:h="15840"/>
      <w:pgMar w:top="964" w:right="1134" w:bottom="964"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8135E"/>
    <w:multiLevelType w:val="hybridMultilevel"/>
    <w:tmpl w:val="020E1934"/>
    <w:lvl w:ilvl="0" w:tplc="04090001">
      <w:start w:val="1"/>
      <w:numFmt w:val="bullet"/>
      <w:lvlText w:val=""/>
      <w:lvlJc w:val="left"/>
      <w:pPr>
        <w:ind w:left="405" w:hanging="360"/>
      </w:pPr>
      <w:rPr>
        <w:rFonts w:ascii="Symbol" w:hAnsi="Symbol" w:hint="default"/>
      </w:rPr>
    </w:lvl>
    <w:lvl w:ilvl="1" w:tplc="04090003" w:tentative="1">
      <w:start w:val="1"/>
      <w:numFmt w:val="bullet"/>
      <w:lvlText w:val="o"/>
      <w:lvlJc w:val="left"/>
      <w:pPr>
        <w:ind w:left="1125" w:hanging="360"/>
      </w:pPr>
      <w:rPr>
        <w:rFonts w:ascii="Courier New" w:hAnsi="Courier New" w:cs="Courier New" w:hint="default"/>
      </w:rPr>
    </w:lvl>
    <w:lvl w:ilvl="2" w:tplc="04090005" w:tentative="1">
      <w:start w:val="1"/>
      <w:numFmt w:val="bullet"/>
      <w:lvlText w:val=""/>
      <w:lvlJc w:val="left"/>
      <w:pPr>
        <w:ind w:left="1845" w:hanging="360"/>
      </w:pPr>
      <w:rPr>
        <w:rFonts w:ascii="Wingdings" w:hAnsi="Wingdings" w:hint="default"/>
      </w:rPr>
    </w:lvl>
    <w:lvl w:ilvl="3" w:tplc="04090001" w:tentative="1">
      <w:start w:val="1"/>
      <w:numFmt w:val="bullet"/>
      <w:lvlText w:val=""/>
      <w:lvlJc w:val="left"/>
      <w:pPr>
        <w:ind w:left="2565" w:hanging="360"/>
      </w:pPr>
      <w:rPr>
        <w:rFonts w:ascii="Symbol" w:hAnsi="Symbol" w:hint="default"/>
      </w:rPr>
    </w:lvl>
    <w:lvl w:ilvl="4" w:tplc="04090003" w:tentative="1">
      <w:start w:val="1"/>
      <w:numFmt w:val="bullet"/>
      <w:lvlText w:val="o"/>
      <w:lvlJc w:val="left"/>
      <w:pPr>
        <w:ind w:left="3285" w:hanging="360"/>
      </w:pPr>
      <w:rPr>
        <w:rFonts w:ascii="Courier New" w:hAnsi="Courier New" w:cs="Courier New" w:hint="default"/>
      </w:rPr>
    </w:lvl>
    <w:lvl w:ilvl="5" w:tplc="04090005" w:tentative="1">
      <w:start w:val="1"/>
      <w:numFmt w:val="bullet"/>
      <w:lvlText w:val=""/>
      <w:lvlJc w:val="left"/>
      <w:pPr>
        <w:ind w:left="4005" w:hanging="360"/>
      </w:pPr>
      <w:rPr>
        <w:rFonts w:ascii="Wingdings" w:hAnsi="Wingdings" w:hint="default"/>
      </w:rPr>
    </w:lvl>
    <w:lvl w:ilvl="6" w:tplc="04090001" w:tentative="1">
      <w:start w:val="1"/>
      <w:numFmt w:val="bullet"/>
      <w:lvlText w:val=""/>
      <w:lvlJc w:val="left"/>
      <w:pPr>
        <w:ind w:left="4725" w:hanging="360"/>
      </w:pPr>
      <w:rPr>
        <w:rFonts w:ascii="Symbol" w:hAnsi="Symbol" w:hint="default"/>
      </w:rPr>
    </w:lvl>
    <w:lvl w:ilvl="7" w:tplc="04090003" w:tentative="1">
      <w:start w:val="1"/>
      <w:numFmt w:val="bullet"/>
      <w:lvlText w:val="o"/>
      <w:lvlJc w:val="left"/>
      <w:pPr>
        <w:ind w:left="5445" w:hanging="360"/>
      </w:pPr>
      <w:rPr>
        <w:rFonts w:ascii="Courier New" w:hAnsi="Courier New" w:cs="Courier New" w:hint="default"/>
      </w:rPr>
    </w:lvl>
    <w:lvl w:ilvl="8" w:tplc="04090005" w:tentative="1">
      <w:start w:val="1"/>
      <w:numFmt w:val="bullet"/>
      <w:lvlText w:val=""/>
      <w:lvlJc w:val="left"/>
      <w:pPr>
        <w:ind w:left="6165" w:hanging="360"/>
      </w:pPr>
      <w:rPr>
        <w:rFonts w:ascii="Wingdings" w:hAnsi="Wingdings" w:hint="default"/>
      </w:rPr>
    </w:lvl>
  </w:abstractNum>
  <w:abstractNum w:abstractNumId="1" w15:restartNumberingAfterBreak="0">
    <w:nsid w:val="148272FF"/>
    <w:multiLevelType w:val="hybridMultilevel"/>
    <w:tmpl w:val="DC7ADD0C"/>
    <w:lvl w:ilvl="0" w:tplc="13BEBAC6">
      <w:numFmt w:val="bullet"/>
      <w:lvlText w:val=""/>
      <w:lvlJc w:val="left"/>
      <w:pPr>
        <w:ind w:left="720" w:hanging="360"/>
      </w:pPr>
      <w:rPr>
        <w:rFonts w:ascii="Wingdings" w:eastAsia="Times New Roman" w:hAnsi="Wingdings" w:hint="default"/>
      </w:rPr>
    </w:lvl>
    <w:lvl w:ilvl="1" w:tplc="08090003">
      <w:start w:val="1"/>
      <w:numFmt w:val="decimal"/>
      <w:lvlText w:val="%2."/>
      <w:lvlJc w:val="left"/>
      <w:pPr>
        <w:tabs>
          <w:tab w:val="num" w:pos="1440"/>
        </w:tabs>
        <w:ind w:left="1440" w:hanging="360"/>
      </w:pPr>
      <w:rPr>
        <w:rFonts w:cs="Times New Roman"/>
      </w:rPr>
    </w:lvl>
    <w:lvl w:ilvl="2" w:tplc="08090005">
      <w:start w:val="1"/>
      <w:numFmt w:val="decimal"/>
      <w:lvlText w:val="%3."/>
      <w:lvlJc w:val="left"/>
      <w:pPr>
        <w:tabs>
          <w:tab w:val="num" w:pos="2160"/>
        </w:tabs>
        <w:ind w:left="2160" w:hanging="360"/>
      </w:pPr>
      <w:rPr>
        <w:rFonts w:cs="Times New Roman"/>
      </w:rPr>
    </w:lvl>
    <w:lvl w:ilvl="3" w:tplc="08090001">
      <w:start w:val="1"/>
      <w:numFmt w:val="decimal"/>
      <w:lvlText w:val="%4."/>
      <w:lvlJc w:val="left"/>
      <w:pPr>
        <w:tabs>
          <w:tab w:val="num" w:pos="2880"/>
        </w:tabs>
        <w:ind w:left="2880" w:hanging="360"/>
      </w:pPr>
      <w:rPr>
        <w:rFonts w:cs="Times New Roman"/>
      </w:rPr>
    </w:lvl>
    <w:lvl w:ilvl="4" w:tplc="08090003">
      <w:start w:val="1"/>
      <w:numFmt w:val="decimal"/>
      <w:lvlText w:val="%5."/>
      <w:lvlJc w:val="left"/>
      <w:pPr>
        <w:tabs>
          <w:tab w:val="num" w:pos="3600"/>
        </w:tabs>
        <w:ind w:left="3600" w:hanging="360"/>
      </w:pPr>
      <w:rPr>
        <w:rFonts w:cs="Times New Roman"/>
      </w:rPr>
    </w:lvl>
    <w:lvl w:ilvl="5" w:tplc="08090005">
      <w:start w:val="1"/>
      <w:numFmt w:val="decimal"/>
      <w:lvlText w:val="%6."/>
      <w:lvlJc w:val="left"/>
      <w:pPr>
        <w:tabs>
          <w:tab w:val="num" w:pos="4320"/>
        </w:tabs>
        <w:ind w:left="4320" w:hanging="360"/>
      </w:pPr>
      <w:rPr>
        <w:rFonts w:cs="Times New Roman"/>
      </w:rPr>
    </w:lvl>
    <w:lvl w:ilvl="6" w:tplc="08090001">
      <w:start w:val="1"/>
      <w:numFmt w:val="decimal"/>
      <w:lvlText w:val="%7."/>
      <w:lvlJc w:val="left"/>
      <w:pPr>
        <w:tabs>
          <w:tab w:val="num" w:pos="5040"/>
        </w:tabs>
        <w:ind w:left="5040" w:hanging="360"/>
      </w:pPr>
      <w:rPr>
        <w:rFonts w:cs="Times New Roman"/>
      </w:rPr>
    </w:lvl>
    <w:lvl w:ilvl="7" w:tplc="08090003">
      <w:start w:val="1"/>
      <w:numFmt w:val="decimal"/>
      <w:lvlText w:val="%8."/>
      <w:lvlJc w:val="left"/>
      <w:pPr>
        <w:tabs>
          <w:tab w:val="num" w:pos="5760"/>
        </w:tabs>
        <w:ind w:left="5760" w:hanging="360"/>
      </w:pPr>
      <w:rPr>
        <w:rFonts w:cs="Times New Roman"/>
      </w:rPr>
    </w:lvl>
    <w:lvl w:ilvl="8" w:tplc="08090005">
      <w:start w:val="1"/>
      <w:numFmt w:val="decimal"/>
      <w:lvlText w:val="%9."/>
      <w:lvlJc w:val="left"/>
      <w:pPr>
        <w:tabs>
          <w:tab w:val="num" w:pos="6480"/>
        </w:tabs>
        <w:ind w:left="6480" w:hanging="360"/>
      </w:pPr>
      <w:rPr>
        <w:rFonts w:cs="Times New Roman"/>
      </w:rPr>
    </w:lvl>
  </w:abstractNum>
  <w:abstractNum w:abstractNumId="2" w15:restartNumberingAfterBreak="0">
    <w:nsid w:val="18594975"/>
    <w:multiLevelType w:val="hybridMultilevel"/>
    <w:tmpl w:val="9F80601A"/>
    <w:lvl w:ilvl="0" w:tplc="03E0E512">
      <w:numFmt w:val="bullet"/>
      <w:lvlText w:val=""/>
      <w:lvlJc w:val="left"/>
      <w:pPr>
        <w:ind w:left="720" w:hanging="360"/>
      </w:pPr>
      <w:rPr>
        <w:rFonts w:ascii="Wingdings" w:eastAsia="Times New Roman"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ED1D5F"/>
    <w:multiLevelType w:val="hybridMultilevel"/>
    <w:tmpl w:val="35F459F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A500D3"/>
    <w:multiLevelType w:val="hybridMultilevel"/>
    <w:tmpl w:val="9B383A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D87BA5"/>
    <w:multiLevelType w:val="multilevel"/>
    <w:tmpl w:val="E8F6D696"/>
    <w:lvl w:ilvl="0">
      <w:start w:val="2"/>
      <w:numFmt w:val="decimal"/>
      <w:lvlText w:val="%1."/>
      <w:lvlJc w:val="left"/>
      <w:pPr>
        <w:tabs>
          <w:tab w:val="num" w:pos="1494"/>
        </w:tabs>
        <w:ind w:left="1494" w:hanging="360"/>
      </w:pPr>
      <w:rPr>
        <w:rFonts w:hint="default"/>
      </w:rPr>
    </w:lvl>
    <w:lvl w:ilvl="1">
      <w:start w:val="1"/>
      <w:numFmt w:val="decimal"/>
      <w:lvlText w:val="%2."/>
      <w:lvlJc w:val="left"/>
      <w:pPr>
        <w:tabs>
          <w:tab w:val="num" w:pos="2214"/>
        </w:tabs>
        <w:ind w:left="2214" w:hanging="360"/>
      </w:pPr>
      <w:rPr>
        <w:rFonts w:hint="default"/>
      </w:rPr>
    </w:lvl>
    <w:lvl w:ilvl="2">
      <w:start w:val="1"/>
      <w:numFmt w:val="decimal"/>
      <w:lvlText w:val="%3."/>
      <w:lvlJc w:val="left"/>
      <w:pPr>
        <w:tabs>
          <w:tab w:val="num" w:pos="2934"/>
        </w:tabs>
        <w:ind w:left="2934" w:hanging="360"/>
      </w:pPr>
      <w:rPr>
        <w:rFonts w:hint="default"/>
      </w:rPr>
    </w:lvl>
    <w:lvl w:ilvl="3">
      <w:start w:val="1"/>
      <w:numFmt w:val="decimal"/>
      <w:lvlText w:val="%4."/>
      <w:lvlJc w:val="left"/>
      <w:pPr>
        <w:tabs>
          <w:tab w:val="num" w:pos="3654"/>
        </w:tabs>
        <w:ind w:left="3654" w:hanging="360"/>
      </w:pPr>
      <w:rPr>
        <w:rFonts w:hint="default"/>
      </w:rPr>
    </w:lvl>
    <w:lvl w:ilvl="4">
      <w:start w:val="1"/>
      <w:numFmt w:val="decimal"/>
      <w:lvlText w:val="%5."/>
      <w:lvlJc w:val="left"/>
      <w:pPr>
        <w:tabs>
          <w:tab w:val="num" w:pos="4374"/>
        </w:tabs>
        <w:ind w:left="4374" w:hanging="360"/>
      </w:pPr>
      <w:rPr>
        <w:rFonts w:hint="default"/>
      </w:rPr>
    </w:lvl>
    <w:lvl w:ilvl="5">
      <w:start w:val="1"/>
      <w:numFmt w:val="decimal"/>
      <w:lvlText w:val="%6."/>
      <w:lvlJc w:val="left"/>
      <w:pPr>
        <w:tabs>
          <w:tab w:val="num" w:pos="5094"/>
        </w:tabs>
        <w:ind w:left="5094" w:hanging="360"/>
      </w:pPr>
      <w:rPr>
        <w:rFonts w:hint="default"/>
      </w:rPr>
    </w:lvl>
    <w:lvl w:ilvl="6">
      <w:start w:val="1"/>
      <w:numFmt w:val="decimal"/>
      <w:lvlText w:val="%7."/>
      <w:lvlJc w:val="left"/>
      <w:pPr>
        <w:tabs>
          <w:tab w:val="num" w:pos="5814"/>
        </w:tabs>
        <w:ind w:left="5814" w:hanging="360"/>
      </w:pPr>
      <w:rPr>
        <w:rFonts w:hint="default"/>
      </w:rPr>
    </w:lvl>
    <w:lvl w:ilvl="7">
      <w:start w:val="1"/>
      <w:numFmt w:val="decimal"/>
      <w:lvlText w:val="%8."/>
      <w:lvlJc w:val="left"/>
      <w:pPr>
        <w:tabs>
          <w:tab w:val="num" w:pos="6534"/>
        </w:tabs>
        <w:ind w:left="6534" w:hanging="360"/>
      </w:pPr>
      <w:rPr>
        <w:rFonts w:hint="default"/>
      </w:rPr>
    </w:lvl>
    <w:lvl w:ilvl="8">
      <w:start w:val="1"/>
      <w:numFmt w:val="decimal"/>
      <w:lvlText w:val="%9."/>
      <w:lvlJc w:val="left"/>
      <w:pPr>
        <w:tabs>
          <w:tab w:val="num" w:pos="7254"/>
        </w:tabs>
        <w:ind w:left="7254" w:hanging="360"/>
      </w:pPr>
      <w:rPr>
        <w:rFonts w:hint="default"/>
      </w:rPr>
    </w:lvl>
  </w:abstractNum>
  <w:abstractNum w:abstractNumId="6" w15:restartNumberingAfterBreak="0">
    <w:nsid w:val="29D2253C"/>
    <w:multiLevelType w:val="hybridMultilevel"/>
    <w:tmpl w:val="6D6C531E"/>
    <w:lvl w:ilvl="0" w:tplc="0409000F">
      <w:start w:val="1"/>
      <w:numFmt w:val="decimal"/>
      <w:lvlText w:val="%1."/>
      <w:lvlJc w:val="left"/>
      <w:pPr>
        <w:ind w:left="720" w:hanging="360"/>
      </w:pPr>
      <w:rPr>
        <w:rFonts w:cs="Times New Roman"/>
      </w:rPr>
    </w:lvl>
    <w:lvl w:ilvl="1" w:tplc="04090019">
      <w:start w:val="1"/>
      <w:numFmt w:val="decimal"/>
      <w:lvlText w:val="%2."/>
      <w:lvlJc w:val="left"/>
      <w:pPr>
        <w:tabs>
          <w:tab w:val="num" w:pos="1440"/>
        </w:tabs>
        <w:ind w:left="1440" w:hanging="360"/>
      </w:pPr>
      <w:rPr>
        <w:rFonts w:cs="Times New Roman"/>
      </w:rPr>
    </w:lvl>
    <w:lvl w:ilvl="2" w:tplc="0409001B">
      <w:start w:val="1"/>
      <w:numFmt w:val="decimal"/>
      <w:lvlText w:val="%3."/>
      <w:lvlJc w:val="left"/>
      <w:pPr>
        <w:tabs>
          <w:tab w:val="num" w:pos="2160"/>
        </w:tabs>
        <w:ind w:left="2160" w:hanging="36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decimal"/>
      <w:lvlText w:val="%5."/>
      <w:lvlJc w:val="left"/>
      <w:pPr>
        <w:tabs>
          <w:tab w:val="num" w:pos="3600"/>
        </w:tabs>
        <w:ind w:left="3600" w:hanging="360"/>
      </w:pPr>
      <w:rPr>
        <w:rFonts w:cs="Times New Roman"/>
      </w:rPr>
    </w:lvl>
    <w:lvl w:ilvl="5" w:tplc="0409001B">
      <w:start w:val="1"/>
      <w:numFmt w:val="decimal"/>
      <w:lvlText w:val="%6."/>
      <w:lvlJc w:val="left"/>
      <w:pPr>
        <w:tabs>
          <w:tab w:val="num" w:pos="4320"/>
        </w:tabs>
        <w:ind w:left="4320" w:hanging="36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decimal"/>
      <w:lvlText w:val="%8."/>
      <w:lvlJc w:val="left"/>
      <w:pPr>
        <w:tabs>
          <w:tab w:val="num" w:pos="5760"/>
        </w:tabs>
        <w:ind w:left="5760" w:hanging="360"/>
      </w:pPr>
      <w:rPr>
        <w:rFonts w:cs="Times New Roman"/>
      </w:rPr>
    </w:lvl>
    <w:lvl w:ilvl="8" w:tplc="0409001B">
      <w:start w:val="1"/>
      <w:numFmt w:val="decimal"/>
      <w:lvlText w:val="%9."/>
      <w:lvlJc w:val="left"/>
      <w:pPr>
        <w:tabs>
          <w:tab w:val="num" w:pos="6480"/>
        </w:tabs>
        <w:ind w:left="6480" w:hanging="360"/>
      </w:pPr>
      <w:rPr>
        <w:rFonts w:cs="Times New Roman"/>
      </w:rPr>
    </w:lvl>
  </w:abstractNum>
  <w:abstractNum w:abstractNumId="7" w15:restartNumberingAfterBreak="0">
    <w:nsid w:val="338707D1"/>
    <w:multiLevelType w:val="hybridMultilevel"/>
    <w:tmpl w:val="172E7CE2"/>
    <w:lvl w:ilvl="0" w:tplc="0409000F">
      <w:start w:val="1"/>
      <w:numFmt w:val="decimal"/>
      <w:lvlText w:val="%1."/>
      <w:lvlJc w:val="left"/>
      <w:pPr>
        <w:ind w:left="993" w:hanging="360"/>
      </w:pPr>
      <w:rPr>
        <w:rFonts w:cs="Times New Roman"/>
      </w:rPr>
    </w:lvl>
    <w:lvl w:ilvl="1" w:tplc="04090019">
      <w:start w:val="1"/>
      <w:numFmt w:val="lowerLetter"/>
      <w:lvlText w:val="%2."/>
      <w:lvlJc w:val="left"/>
      <w:pPr>
        <w:ind w:left="1713" w:hanging="360"/>
      </w:pPr>
      <w:rPr>
        <w:rFonts w:cs="Times New Roman"/>
      </w:rPr>
    </w:lvl>
    <w:lvl w:ilvl="2" w:tplc="0409001B" w:tentative="1">
      <w:start w:val="1"/>
      <w:numFmt w:val="lowerRoman"/>
      <w:lvlText w:val="%3."/>
      <w:lvlJc w:val="right"/>
      <w:pPr>
        <w:ind w:left="2433" w:hanging="180"/>
      </w:pPr>
      <w:rPr>
        <w:rFonts w:cs="Times New Roman"/>
      </w:rPr>
    </w:lvl>
    <w:lvl w:ilvl="3" w:tplc="0409000F" w:tentative="1">
      <w:start w:val="1"/>
      <w:numFmt w:val="decimal"/>
      <w:lvlText w:val="%4."/>
      <w:lvlJc w:val="left"/>
      <w:pPr>
        <w:ind w:left="3153" w:hanging="360"/>
      </w:pPr>
      <w:rPr>
        <w:rFonts w:cs="Times New Roman"/>
      </w:rPr>
    </w:lvl>
    <w:lvl w:ilvl="4" w:tplc="04090019" w:tentative="1">
      <w:start w:val="1"/>
      <w:numFmt w:val="lowerLetter"/>
      <w:lvlText w:val="%5."/>
      <w:lvlJc w:val="left"/>
      <w:pPr>
        <w:ind w:left="3873" w:hanging="360"/>
      </w:pPr>
      <w:rPr>
        <w:rFonts w:cs="Times New Roman"/>
      </w:rPr>
    </w:lvl>
    <w:lvl w:ilvl="5" w:tplc="0409001B" w:tentative="1">
      <w:start w:val="1"/>
      <w:numFmt w:val="lowerRoman"/>
      <w:lvlText w:val="%6."/>
      <w:lvlJc w:val="right"/>
      <w:pPr>
        <w:ind w:left="4593" w:hanging="180"/>
      </w:pPr>
      <w:rPr>
        <w:rFonts w:cs="Times New Roman"/>
      </w:rPr>
    </w:lvl>
    <w:lvl w:ilvl="6" w:tplc="0409000F" w:tentative="1">
      <w:start w:val="1"/>
      <w:numFmt w:val="decimal"/>
      <w:lvlText w:val="%7."/>
      <w:lvlJc w:val="left"/>
      <w:pPr>
        <w:ind w:left="5313" w:hanging="360"/>
      </w:pPr>
      <w:rPr>
        <w:rFonts w:cs="Times New Roman"/>
      </w:rPr>
    </w:lvl>
    <w:lvl w:ilvl="7" w:tplc="04090019" w:tentative="1">
      <w:start w:val="1"/>
      <w:numFmt w:val="lowerLetter"/>
      <w:lvlText w:val="%8."/>
      <w:lvlJc w:val="left"/>
      <w:pPr>
        <w:ind w:left="6033" w:hanging="360"/>
      </w:pPr>
      <w:rPr>
        <w:rFonts w:cs="Times New Roman"/>
      </w:rPr>
    </w:lvl>
    <w:lvl w:ilvl="8" w:tplc="0409001B" w:tentative="1">
      <w:start w:val="1"/>
      <w:numFmt w:val="lowerRoman"/>
      <w:lvlText w:val="%9."/>
      <w:lvlJc w:val="right"/>
      <w:pPr>
        <w:ind w:left="6753" w:hanging="180"/>
      </w:pPr>
      <w:rPr>
        <w:rFonts w:cs="Times New Roman"/>
      </w:rPr>
    </w:lvl>
  </w:abstractNum>
  <w:abstractNum w:abstractNumId="8" w15:restartNumberingAfterBreak="0">
    <w:nsid w:val="343102C7"/>
    <w:multiLevelType w:val="hybridMultilevel"/>
    <w:tmpl w:val="CEE84992"/>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15:restartNumberingAfterBreak="0">
    <w:nsid w:val="45B57AD4"/>
    <w:multiLevelType w:val="hybridMultilevel"/>
    <w:tmpl w:val="D2DA88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80933CF"/>
    <w:multiLevelType w:val="hybridMultilevel"/>
    <w:tmpl w:val="CEE84992"/>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1" w15:restartNumberingAfterBreak="0">
    <w:nsid w:val="54BD2444"/>
    <w:multiLevelType w:val="hybridMultilevel"/>
    <w:tmpl w:val="3242723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2" w15:restartNumberingAfterBreak="0">
    <w:nsid w:val="70344216"/>
    <w:multiLevelType w:val="multilevel"/>
    <w:tmpl w:val="0FA0F18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2C3012B"/>
    <w:multiLevelType w:val="hybridMultilevel"/>
    <w:tmpl w:val="F9AA92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B734ECB"/>
    <w:multiLevelType w:val="hybridMultilevel"/>
    <w:tmpl w:val="4B7C2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970208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098011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82265003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988508392">
    <w:abstractNumId w:val="2"/>
  </w:num>
  <w:num w:numId="5" w16cid:durableId="1937323920">
    <w:abstractNumId w:val="1"/>
  </w:num>
  <w:num w:numId="6" w16cid:durableId="57093594">
    <w:abstractNumId w:val="11"/>
  </w:num>
  <w:num w:numId="7" w16cid:durableId="224069805">
    <w:abstractNumId w:val="4"/>
  </w:num>
  <w:num w:numId="8" w16cid:durableId="1387410439">
    <w:abstractNumId w:val="9"/>
  </w:num>
  <w:num w:numId="9" w16cid:durableId="1881624750">
    <w:abstractNumId w:val="13"/>
  </w:num>
  <w:num w:numId="10" w16cid:durableId="1897158855">
    <w:abstractNumId w:val="8"/>
  </w:num>
  <w:num w:numId="11" w16cid:durableId="1377004348">
    <w:abstractNumId w:val="10"/>
  </w:num>
  <w:num w:numId="12" w16cid:durableId="1403716754">
    <w:abstractNumId w:val="0"/>
  </w:num>
  <w:num w:numId="13" w16cid:durableId="1272393550">
    <w:abstractNumId w:val="14"/>
  </w:num>
  <w:num w:numId="14" w16cid:durableId="1448812601">
    <w:abstractNumId w:val="3"/>
  </w:num>
  <w:num w:numId="15" w16cid:durableId="635600694">
    <w:abstractNumId w:val="12"/>
  </w:num>
  <w:num w:numId="16" w16cid:durableId="16820509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349E"/>
    <w:rsid w:val="00000E3A"/>
    <w:rsid w:val="00037EE3"/>
    <w:rsid w:val="00054480"/>
    <w:rsid w:val="000662E9"/>
    <w:rsid w:val="000A4A50"/>
    <w:rsid w:val="000B6F4A"/>
    <w:rsid w:val="000D19FB"/>
    <w:rsid w:val="001A3CA5"/>
    <w:rsid w:val="001F3941"/>
    <w:rsid w:val="00203D40"/>
    <w:rsid w:val="00212786"/>
    <w:rsid w:val="0024155A"/>
    <w:rsid w:val="00244AC1"/>
    <w:rsid w:val="00245058"/>
    <w:rsid w:val="002B4CA1"/>
    <w:rsid w:val="002C4ECA"/>
    <w:rsid w:val="002E7CF0"/>
    <w:rsid w:val="002F20A1"/>
    <w:rsid w:val="00346781"/>
    <w:rsid w:val="0035045F"/>
    <w:rsid w:val="0035219A"/>
    <w:rsid w:val="00377067"/>
    <w:rsid w:val="00387DA3"/>
    <w:rsid w:val="003B61DC"/>
    <w:rsid w:val="0042349E"/>
    <w:rsid w:val="004615C7"/>
    <w:rsid w:val="0046562C"/>
    <w:rsid w:val="00474268"/>
    <w:rsid w:val="00480A92"/>
    <w:rsid w:val="004B39CF"/>
    <w:rsid w:val="004D537B"/>
    <w:rsid w:val="00501625"/>
    <w:rsid w:val="0053520B"/>
    <w:rsid w:val="005512B9"/>
    <w:rsid w:val="005B15D7"/>
    <w:rsid w:val="005D7E2B"/>
    <w:rsid w:val="005E798E"/>
    <w:rsid w:val="005F0008"/>
    <w:rsid w:val="005F2EDB"/>
    <w:rsid w:val="00611280"/>
    <w:rsid w:val="006303CB"/>
    <w:rsid w:val="00641587"/>
    <w:rsid w:val="0065066D"/>
    <w:rsid w:val="006508EA"/>
    <w:rsid w:val="006C2959"/>
    <w:rsid w:val="006E48FB"/>
    <w:rsid w:val="006F78A3"/>
    <w:rsid w:val="00707A4E"/>
    <w:rsid w:val="00772012"/>
    <w:rsid w:val="00786047"/>
    <w:rsid w:val="007B6A17"/>
    <w:rsid w:val="007C1CB0"/>
    <w:rsid w:val="007F6253"/>
    <w:rsid w:val="008475E4"/>
    <w:rsid w:val="0085500C"/>
    <w:rsid w:val="008626D8"/>
    <w:rsid w:val="00867CC4"/>
    <w:rsid w:val="00896321"/>
    <w:rsid w:val="008B176D"/>
    <w:rsid w:val="008F1809"/>
    <w:rsid w:val="00947B27"/>
    <w:rsid w:val="009939F7"/>
    <w:rsid w:val="00A621B6"/>
    <w:rsid w:val="00A6580F"/>
    <w:rsid w:val="00A65E8C"/>
    <w:rsid w:val="00B62943"/>
    <w:rsid w:val="00B901C4"/>
    <w:rsid w:val="00BC4C90"/>
    <w:rsid w:val="00BE2B63"/>
    <w:rsid w:val="00BE482A"/>
    <w:rsid w:val="00BE7908"/>
    <w:rsid w:val="00C05101"/>
    <w:rsid w:val="00C352B5"/>
    <w:rsid w:val="00C413EC"/>
    <w:rsid w:val="00C443E8"/>
    <w:rsid w:val="00C623FF"/>
    <w:rsid w:val="00C83303"/>
    <w:rsid w:val="00CA0AAA"/>
    <w:rsid w:val="00CC0797"/>
    <w:rsid w:val="00CD155C"/>
    <w:rsid w:val="00D4545F"/>
    <w:rsid w:val="00D72D8B"/>
    <w:rsid w:val="00D77286"/>
    <w:rsid w:val="00D77701"/>
    <w:rsid w:val="00D81B3A"/>
    <w:rsid w:val="00D9706E"/>
    <w:rsid w:val="00DA5865"/>
    <w:rsid w:val="00DC167B"/>
    <w:rsid w:val="00DD744F"/>
    <w:rsid w:val="00DF6473"/>
    <w:rsid w:val="00E811AC"/>
    <w:rsid w:val="00EA3C7A"/>
    <w:rsid w:val="00EE0DB0"/>
    <w:rsid w:val="00F03596"/>
    <w:rsid w:val="00F24890"/>
    <w:rsid w:val="00F40DA4"/>
    <w:rsid w:val="00F4709F"/>
    <w:rsid w:val="00FB2BB3"/>
    <w:rsid w:val="00FE7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F78628"/>
  <w15:docId w15:val="{D9A51D26-A67B-4B3F-AE70-CE6F9F6EE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08EA"/>
    <w:rPr>
      <w:rFonts w:ascii="Times New Roman" w:hAnsi="Times New Roman"/>
      <w:sz w:val="24"/>
      <w:szCs w:val="24"/>
    </w:rPr>
  </w:style>
  <w:style w:type="paragraph" w:styleId="Heading1">
    <w:name w:val="heading 1"/>
    <w:basedOn w:val="Normal"/>
    <w:next w:val="Normal"/>
    <w:link w:val="Heading1Char"/>
    <w:uiPriority w:val="9"/>
    <w:qFormat/>
    <w:rsid w:val="0042349E"/>
    <w:pPr>
      <w:keepNext/>
      <w:keepLines/>
      <w:spacing w:before="480" w:line="276" w:lineRule="auto"/>
      <w:outlineLvl w:val="0"/>
    </w:pPr>
    <w:rPr>
      <w:rFonts w:ascii="Cambria" w:hAnsi="Cambria"/>
      <w:b/>
      <w:bCs/>
      <w:color w:val="365F91"/>
      <w:sz w:val="28"/>
      <w:szCs w:val="28"/>
      <w:lang w:val="en-US" w:eastAsia="en-US"/>
    </w:rPr>
  </w:style>
  <w:style w:type="paragraph" w:styleId="Heading2">
    <w:name w:val="heading 2"/>
    <w:basedOn w:val="Normal"/>
    <w:next w:val="Normal"/>
    <w:link w:val="Heading2Char"/>
    <w:uiPriority w:val="9"/>
    <w:unhideWhenUsed/>
    <w:qFormat/>
    <w:rsid w:val="00C413EC"/>
    <w:pPr>
      <w:keepNext/>
      <w:keepLines/>
      <w:spacing w:before="40" w:line="276" w:lineRule="auto"/>
      <w:outlineLvl w:val="1"/>
    </w:pPr>
    <w:rPr>
      <w:rFonts w:asciiTheme="majorHAnsi" w:eastAsiaTheme="majorEastAsia" w:hAnsiTheme="majorHAnsi" w:cstheme="majorBidi"/>
      <w:color w:val="365F91" w:themeColor="accent1" w:themeShade="BF"/>
      <w:sz w:val="26"/>
      <w:szCs w:val="26"/>
      <w:lang w:val="en-US" w:eastAsia="en-US"/>
    </w:rPr>
  </w:style>
  <w:style w:type="paragraph" w:styleId="Heading4">
    <w:name w:val="heading 4"/>
    <w:basedOn w:val="Normal"/>
    <w:next w:val="Normal"/>
    <w:link w:val="Heading4Char"/>
    <w:uiPriority w:val="9"/>
    <w:semiHidden/>
    <w:unhideWhenUsed/>
    <w:qFormat/>
    <w:rsid w:val="000662E9"/>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42349E"/>
    <w:rPr>
      <w:rFonts w:ascii="Cambria" w:hAnsi="Cambria" w:cs="Times New Roman"/>
      <w:b/>
      <w:bCs/>
      <w:color w:val="365F91"/>
      <w:sz w:val="28"/>
      <w:szCs w:val="28"/>
    </w:rPr>
  </w:style>
  <w:style w:type="paragraph" w:styleId="ListParagraph">
    <w:name w:val="List Paragraph"/>
    <w:basedOn w:val="Normal"/>
    <w:uiPriority w:val="34"/>
    <w:qFormat/>
    <w:rsid w:val="0042349E"/>
    <w:pPr>
      <w:spacing w:after="200" w:line="276" w:lineRule="auto"/>
      <w:ind w:left="720"/>
      <w:contextualSpacing/>
    </w:pPr>
    <w:rPr>
      <w:rFonts w:ascii="Calibri" w:hAnsi="Calibri"/>
      <w:sz w:val="22"/>
      <w:szCs w:val="22"/>
      <w:lang w:val="en-US" w:eastAsia="en-US"/>
    </w:rPr>
  </w:style>
  <w:style w:type="paragraph" w:customStyle="1" w:styleId="heading">
    <w:name w:val="heading"/>
    <w:basedOn w:val="Normal"/>
    <w:rsid w:val="0042349E"/>
    <w:pPr>
      <w:tabs>
        <w:tab w:val="left" w:pos="720"/>
        <w:tab w:val="left" w:pos="1440"/>
        <w:tab w:val="left" w:pos="2160"/>
        <w:tab w:val="left" w:pos="2880"/>
      </w:tabs>
      <w:spacing w:before="240" w:after="120"/>
      <w:ind w:left="3600" w:hanging="3600"/>
    </w:pPr>
    <w:rPr>
      <w:b/>
      <w:szCs w:val="20"/>
    </w:rPr>
  </w:style>
  <w:style w:type="character" w:styleId="Hyperlink">
    <w:name w:val="Hyperlink"/>
    <w:basedOn w:val="DefaultParagraphFont"/>
    <w:uiPriority w:val="99"/>
    <w:rsid w:val="00480A92"/>
    <w:rPr>
      <w:rFonts w:cs="Times New Roman"/>
      <w:color w:val="0000FF"/>
      <w:u w:val="single"/>
    </w:rPr>
  </w:style>
  <w:style w:type="paragraph" w:styleId="BalloonText">
    <w:name w:val="Balloon Text"/>
    <w:basedOn w:val="Normal"/>
    <w:link w:val="BalloonTextChar"/>
    <w:uiPriority w:val="99"/>
    <w:semiHidden/>
    <w:unhideWhenUsed/>
    <w:rsid w:val="00C352B5"/>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C352B5"/>
    <w:rPr>
      <w:rFonts w:ascii="Tahoma" w:hAnsi="Tahoma" w:cs="Tahoma"/>
      <w:sz w:val="16"/>
      <w:szCs w:val="16"/>
    </w:rPr>
  </w:style>
  <w:style w:type="character" w:styleId="CommentReference">
    <w:name w:val="annotation reference"/>
    <w:basedOn w:val="DefaultParagraphFont"/>
    <w:uiPriority w:val="99"/>
    <w:semiHidden/>
    <w:unhideWhenUsed/>
    <w:rsid w:val="00B62943"/>
    <w:rPr>
      <w:sz w:val="16"/>
      <w:szCs w:val="16"/>
    </w:rPr>
  </w:style>
  <w:style w:type="paragraph" w:styleId="CommentText">
    <w:name w:val="annotation text"/>
    <w:basedOn w:val="Normal"/>
    <w:link w:val="CommentTextChar"/>
    <w:uiPriority w:val="99"/>
    <w:semiHidden/>
    <w:unhideWhenUsed/>
    <w:rsid w:val="00B62943"/>
    <w:pPr>
      <w:spacing w:after="200" w:line="276" w:lineRule="auto"/>
    </w:pPr>
    <w:rPr>
      <w:rFonts w:ascii="Calibri" w:hAnsi="Calibri"/>
      <w:sz w:val="20"/>
      <w:szCs w:val="20"/>
      <w:lang w:val="en-US" w:eastAsia="en-US"/>
    </w:rPr>
  </w:style>
  <w:style w:type="character" w:customStyle="1" w:styleId="CommentTextChar">
    <w:name w:val="Comment Text Char"/>
    <w:basedOn w:val="DefaultParagraphFont"/>
    <w:link w:val="CommentText"/>
    <w:uiPriority w:val="99"/>
    <w:semiHidden/>
    <w:rsid w:val="00B62943"/>
    <w:rPr>
      <w:lang w:val="en-US" w:eastAsia="en-US"/>
    </w:rPr>
  </w:style>
  <w:style w:type="paragraph" w:styleId="CommentSubject">
    <w:name w:val="annotation subject"/>
    <w:basedOn w:val="CommentText"/>
    <w:next w:val="CommentText"/>
    <w:link w:val="CommentSubjectChar"/>
    <w:uiPriority w:val="99"/>
    <w:semiHidden/>
    <w:unhideWhenUsed/>
    <w:rsid w:val="00B62943"/>
    <w:rPr>
      <w:b/>
      <w:bCs/>
    </w:rPr>
  </w:style>
  <w:style w:type="character" w:customStyle="1" w:styleId="CommentSubjectChar">
    <w:name w:val="Comment Subject Char"/>
    <w:basedOn w:val="CommentTextChar"/>
    <w:link w:val="CommentSubject"/>
    <w:uiPriority w:val="99"/>
    <w:semiHidden/>
    <w:rsid w:val="00B62943"/>
    <w:rPr>
      <w:b/>
      <w:bCs/>
      <w:lang w:val="en-US" w:eastAsia="en-US"/>
    </w:rPr>
  </w:style>
  <w:style w:type="character" w:customStyle="1" w:styleId="Heading4Char">
    <w:name w:val="Heading 4 Char"/>
    <w:basedOn w:val="DefaultParagraphFont"/>
    <w:link w:val="Heading4"/>
    <w:uiPriority w:val="9"/>
    <w:semiHidden/>
    <w:rsid w:val="000662E9"/>
    <w:rPr>
      <w:rFonts w:asciiTheme="majorHAnsi" w:eastAsiaTheme="majorEastAsia" w:hAnsiTheme="majorHAnsi" w:cstheme="majorBidi"/>
      <w:i/>
      <w:iCs/>
      <w:color w:val="365F91" w:themeColor="accent1" w:themeShade="BF"/>
      <w:sz w:val="22"/>
      <w:szCs w:val="22"/>
      <w:lang w:val="en-US" w:eastAsia="en-US"/>
    </w:rPr>
  </w:style>
  <w:style w:type="character" w:customStyle="1" w:styleId="Heading2Char">
    <w:name w:val="Heading 2 Char"/>
    <w:basedOn w:val="DefaultParagraphFont"/>
    <w:link w:val="Heading2"/>
    <w:uiPriority w:val="9"/>
    <w:rsid w:val="00C413EC"/>
    <w:rPr>
      <w:rFonts w:asciiTheme="majorHAnsi" w:eastAsiaTheme="majorEastAsia" w:hAnsiTheme="majorHAnsi" w:cstheme="majorBidi"/>
      <w:color w:val="365F91" w:themeColor="accent1" w:themeShade="BF"/>
      <w:sz w:val="26"/>
      <w:szCs w:val="26"/>
      <w:lang w:val="en-US" w:eastAsia="en-US"/>
    </w:rPr>
  </w:style>
  <w:style w:type="character" w:styleId="FollowedHyperlink">
    <w:name w:val="FollowedHyperlink"/>
    <w:basedOn w:val="DefaultParagraphFont"/>
    <w:uiPriority w:val="99"/>
    <w:semiHidden/>
    <w:unhideWhenUsed/>
    <w:rsid w:val="00896321"/>
    <w:rPr>
      <w:color w:val="800080" w:themeColor="followedHyperlink"/>
      <w:u w:val="single"/>
    </w:rPr>
  </w:style>
  <w:style w:type="paragraph" w:styleId="NormalWeb">
    <w:name w:val="Normal (Web)"/>
    <w:basedOn w:val="Normal"/>
    <w:uiPriority w:val="99"/>
    <w:semiHidden/>
    <w:unhideWhenUsed/>
    <w:rsid w:val="00772012"/>
    <w:pPr>
      <w:spacing w:before="100" w:beforeAutospacing="1" w:after="100" w:afterAutospacing="1"/>
    </w:pPr>
  </w:style>
  <w:style w:type="character" w:styleId="Strong">
    <w:name w:val="Strong"/>
    <w:basedOn w:val="DefaultParagraphFont"/>
    <w:uiPriority w:val="22"/>
    <w:qFormat/>
    <w:rsid w:val="00772012"/>
    <w:rPr>
      <w:b/>
      <w:bCs/>
    </w:rPr>
  </w:style>
  <w:style w:type="character" w:customStyle="1" w:styleId="apple-converted-space">
    <w:name w:val="apple-converted-space"/>
    <w:basedOn w:val="DefaultParagraphFont"/>
    <w:rsid w:val="00772012"/>
  </w:style>
  <w:style w:type="character" w:customStyle="1" w:styleId="ms-1">
    <w:name w:val="ms-1"/>
    <w:basedOn w:val="DefaultParagraphFont"/>
    <w:rsid w:val="00772012"/>
  </w:style>
  <w:style w:type="character" w:customStyle="1" w:styleId="max-w-15ch">
    <w:name w:val="max-w-[15ch]"/>
    <w:basedOn w:val="DefaultParagraphFont"/>
    <w:rsid w:val="00772012"/>
  </w:style>
  <w:style w:type="character" w:styleId="Emphasis">
    <w:name w:val="Emphasis"/>
    <w:basedOn w:val="DefaultParagraphFont"/>
    <w:uiPriority w:val="20"/>
    <w:qFormat/>
    <w:rsid w:val="00772012"/>
    <w:rPr>
      <w:i/>
      <w:iCs/>
    </w:rPr>
  </w:style>
  <w:style w:type="paragraph" w:styleId="NoSpacing">
    <w:name w:val="No Spacing"/>
    <w:uiPriority w:val="1"/>
    <w:qFormat/>
    <w:rsid w:val="00EA3C7A"/>
    <w:rPr>
      <w:sz w:val="22"/>
      <w:szCs w:val="22"/>
      <w:lang w:val="en-US" w:eastAsia="en-US"/>
    </w:rPr>
  </w:style>
  <w:style w:type="character" w:styleId="UnresolvedMention">
    <w:name w:val="Unresolved Mention"/>
    <w:basedOn w:val="DefaultParagraphFont"/>
    <w:uiPriority w:val="99"/>
    <w:semiHidden/>
    <w:unhideWhenUsed/>
    <w:rsid w:val="000A4A50"/>
    <w:rPr>
      <w:color w:val="605E5C"/>
      <w:shd w:val="clear" w:color="auto" w:fill="E1DFDD"/>
    </w:rPr>
  </w:style>
  <w:style w:type="paragraph" w:styleId="Bibliography">
    <w:name w:val="Bibliography"/>
    <w:basedOn w:val="Normal"/>
    <w:next w:val="Normal"/>
    <w:uiPriority w:val="37"/>
    <w:unhideWhenUsed/>
    <w:rsid w:val="006508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064912">
      <w:bodyDiv w:val="1"/>
      <w:marLeft w:val="0"/>
      <w:marRight w:val="0"/>
      <w:marTop w:val="0"/>
      <w:marBottom w:val="0"/>
      <w:divBdr>
        <w:top w:val="none" w:sz="0" w:space="0" w:color="auto"/>
        <w:left w:val="none" w:sz="0" w:space="0" w:color="auto"/>
        <w:bottom w:val="none" w:sz="0" w:space="0" w:color="auto"/>
        <w:right w:val="none" w:sz="0" w:space="0" w:color="auto"/>
      </w:divBdr>
    </w:div>
    <w:div w:id="71465029">
      <w:bodyDiv w:val="1"/>
      <w:marLeft w:val="0"/>
      <w:marRight w:val="0"/>
      <w:marTop w:val="0"/>
      <w:marBottom w:val="0"/>
      <w:divBdr>
        <w:top w:val="none" w:sz="0" w:space="0" w:color="auto"/>
        <w:left w:val="none" w:sz="0" w:space="0" w:color="auto"/>
        <w:bottom w:val="none" w:sz="0" w:space="0" w:color="auto"/>
        <w:right w:val="none" w:sz="0" w:space="0" w:color="auto"/>
      </w:divBdr>
    </w:div>
    <w:div w:id="220025910">
      <w:bodyDiv w:val="1"/>
      <w:marLeft w:val="0"/>
      <w:marRight w:val="0"/>
      <w:marTop w:val="0"/>
      <w:marBottom w:val="0"/>
      <w:divBdr>
        <w:top w:val="none" w:sz="0" w:space="0" w:color="auto"/>
        <w:left w:val="none" w:sz="0" w:space="0" w:color="auto"/>
        <w:bottom w:val="none" w:sz="0" w:space="0" w:color="auto"/>
        <w:right w:val="none" w:sz="0" w:space="0" w:color="auto"/>
      </w:divBdr>
    </w:div>
    <w:div w:id="221716645">
      <w:bodyDiv w:val="1"/>
      <w:marLeft w:val="0"/>
      <w:marRight w:val="0"/>
      <w:marTop w:val="0"/>
      <w:marBottom w:val="0"/>
      <w:divBdr>
        <w:top w:val="none" w:sz="0" w:space="0" w:color="auto"/>
        <w:left w:val="none" w:sz="0" w:space="0" w:color="auto"/>
        <w:bottom w:val="none" w:sz="0" w:space="0" w:color="auto"/>
        <w:right w:val="none" w:sz="0" w:space="0" w:color="auto"/>
      </w:divBdr>
    </w:div>
    <w:div w:id="405305930">
      <w:bodyDiv w:val="1"/>
      <w:marLeft w:val="0"/>
      <w:marRight w:val="0"/>
      <w:marTop w:val="0"/>
      <w:marBottom w:val="0"/>
      <w:divBdr>
        <w:top w:val="none" w:sz="0" w:space="0" w:color="auto"/>
        <w:left w:val="none" w:sz="0" w:space="0" w:color="auto"/>
        <w:bottom w:val="none" w:sz="0" w:space="0" w:color="auto"/>
        <w:right w:val="none" w:sz="0" w:space="0" w:color="auto"/>
      </w:divBdr>
      <w:divsChild>
        <w:div w:id="53630133">
          <w:marLeft w:val="0"/>
          <w:marRight w:val="0"/>
          <w:marTop w:val="120"/>
          <w:marBottom w:val="120"/>
          <w:divBdr>
            <w:top w:val="none" w:sz="0" w:space="0" w:color="auto"/>
            <w:left w:val="none" w:sz="0" w:space="0" w:color="auto"/>
            <w:bottom w:val="none" w:sz="0" w:space="0" w:color="auto"/>
            <w:right w:val="none" w:sz="0" w:space="0" w:color="auto"/>
          </w:divBdr>
        </w:div>
        <w:div w:id="1392801423">
          <w:marLeft w:val="0"/>
          <w:marRight w:val="0"/>
          <w:marTop w:val="120"/>
          <w:marBottom w:val="120"/>
          <w:divBdr>
            <w:top w:val="none" w:sz="0" w:space="0" w:color="auto"/>
            <w:left w:val="none" w:sz="0" w:space="0" w:color="auto"/>
            <w:bottom w:val="none" w:sz="0" w:space="0" w:color="auto"/>
            <w:right w:val="none" w:sz="0" w:space="0" w:color="auto"/>
          </w:divBdr>
        </w:div>
        <w:div w:id="1767143600">
          <w:marLeft w:val="0"/>
          <w:marRight w:val="0"/>
          <w:marTop w:val="120"/>
          <w:marBottom w:val="120"/>
          <w:divBdr>
            <w:top w:val="none" w:sz="0" w:space="0" w:color="auto"/>
            <w:left w:val="none" w:sz="0" w:space="0" w:color="auto"/>
            <w:bottom w:val="none" w:sz="0" w:space="0" w:color="auto"/>
            <w:right w:val="none" w:sz="0" w:space="0" w:color="auto"/>
          </w:divBdr>
        </w:div>
      </w:divsChild>
    </w:div>
    <w:div w:id="1558124835">
      <w:bodyDiv w:val="1"/>
      <w:marLeft w:val="0"/>
      <w:marRight w:val="0"/>
      <w:marTop w:val="0"/>
      <w:marBottom w:val="0"/>
      <w:divBdr>
        <w:top w:val="none" w:sz="0" w:space="0" w:color="auto"/>
        <w:left w:val="none" w:sz="0" w:space="0" w:color="auto"/>
        <w:bottom w:val="none" w:sz="0" w:space="0" w:color="auto"/>
        <w:right w:val="none" w:sz="0" w:space="0" w:color="auto"/>
      </w:divBdr>
    </w:div>
    <w:div w:id="1710497732">
      <w:bodyDiv w:val="1"/>
      <w:marLeft w:val="0"/>
      <w:marRight w:val="0"/>
      <w:marTop w:val="0"/>
      <w:marBottom w:val="0"/>
      <w:divBdr>
        <w:top w:val="none" w:sz="0" w:space="0" w:color="auto"/>
        <w:left w:val="none" w:sz="0" w:space="0" w:color="auto"/>
        <w:bottom w:val="none" w:sz="0" w:space="0" w:color="auto"/>
        <w:right w:val="none" w:sz="0" w:space="0" w:color="auto"/>
      </w:divBdr>
      <w:divsChild>
        <w:div w:id="49035816">
          <w:marLeft w:val="0"/>
          <w:marRight w:val="0"/>
          <w:marTop w:val="120"/>
          <w:marBottom w:val="120"/>
          <w:divBdr>
            <w:top w:val="none" w:sz="0" w:space="0" w:color="auto"/>
            <w:left w:val="none" w:sz="0" w:space="0" w:color="auto"/>
            <w:bottom w:val="none" w:sz="0" w:space="0" w:color="auto"/>
            <w:right w:val="none" w:sz="0" w:space="0" w:color="auto"/>
          </w:divBdr>
        </w:div>
        <w:div w:id="523327016">
          <w:marLeft w:val="0"/>
          <w:marRight w:val="0"/>
          <w:marTop w:val="120"/>
          <w:marBottom w:val="120"/>
          <w:divBdr>
            <w:top w:val="none" w:sz="0" w:space="0" w:color="auto"/>
            <w:left w:val="none" w:sz="0" w:space="0" w:color="auto"/>
            <w:bottom w:val="none" w:sz="0" w:space="0" w:color="auto"/>
            <w:right w:val="none" w:sz="0" w:space="0" w:color="auto"/>
          </w:divBdr>
        </w:div>
        <w:div w:id="1377001391">
          <w:marLeft w:val="0"/>
          <w:marRight w:val="0"/>
          <w:marTop w:val="120"/>
          <w:marBottom w:val="120"/>
          <w:divBdr>
            <w:top w:val="none" w:sz="0" w:space="0" w:color="auto"/>
            <w:left w:val="none" w:sz="0" w:space="0" w:color="auto"/>
            <w:bottom w:val="none" w:sz="0" w:space="0" w:color="auto"/>
            <w:right w:val="none" w:sz="0" w:space="0" w:color="auto"/>
          </w:divBdr>
        </w:div>
      </w:divsChild>
    </w:div>
    <w:div w:id="1760710307">
      <w:bodyDiv w:val="1"/>
      <w:marLeft w:val="0"/>
      <w:marRight w:val="0"/>
      <w:marTop w:val="0"/>
      <w:marBottom w:val="0"/>
      <w:divBdr>
        <w:top w:val="none" w:sz="0" w:space="0" w:color="auto"/>
        <w:left w:val="none" w:sz="0" w:space="0" w:color="auto"/>
        <w:bottom w:val="none" w:sz="0" w:space="0" w:color="auto"/>
        <w:right w:val="none" w:sz="0" w:space="0" w:color="auto"/>
      </w:divBdr>
      <w:divsChild>
        <w:div w:id="1897084318">
          <w:marLeft w:val="0"/>
          <w:marRight w:val="0"/>
          <w:marTop w:val="120"/>
          <w:marBottom w:val="120"/>
          <w:divBdr>
            <w:top w:val="none" w:sz="0" w:space="0" w:color="auto"/>
            <w:left w:val="none" w:sz="0" w:space="0" w:color="auto"/>
            <w:bottom w:val="none" w:sz="0" w:space="0" w:color="auto"/>
            <w:right w:val="none" w:sz="0" w:space="0" w:color="auto"/>
          </w:divBdr>
        </w:div>
        <w:div w:id="1979065452">
          <w:marLeft w:val="0"/>
          <w:marRight w:val="0"/>
          <w:marTop w:val="120"/>
          <w:marBottom w:val="120"/>
          <w:divBdr>
            <w:top w:val="none" w:sz="0" w:space="0" w:color="auto"/>
            <w:left w:val="none" w:sz="0" w:space="0" w:color="auto"/>
            <w:bottom w:val="none" w:sz="0" w:space="0" w:color="auto"/>
            <w:right w:val="none" w:sz="0" w:space="0" w:color="auto"/>
          </w:divBdr>
        </w:div>
        <w:div w:id="1368605277">
          <w:marLeft w:val="0"/>
          <w:marRight w:val="0"/>
          <w:marTop w:val="120"/>
          <w:marBottom w:val="120"/>
          <w:divBdr>
            <w:top w:val="none" w:sz="0" w:space="0" w:color="auto"/>
            <w:left w:val="none" w:sz="0" w:space="0" w:color="auto"/>
            <w:bottom w:val="none" w:sz="0" w:space="0" w:color="auto"/>
            <w:right w:val="none" w:sz="0" w:space="0" w:color="auto"/>
          </w:divBdr>
        </w:div>
        <w:div w:id="377895181">
          <w:marLeft w:val="0"/>
          <w:marRight w:val="0"/>
          <w:marTop w:val="120"/>
          <w:marBottom w:val="120"/>
          <w:divBdr>
            <w:top w:val="none" w:sz="0" w:space="0" w:color="auto"/>
            <w:left w:val="none" w:sz="0" w:space="0" w:color="auto"/>
            <w:bottom w:val="none" w:sz="0" w:space="0" w:color="auto"/>
            <w:right w:val="none" w:sz="0" w:space="0" w:color="auto"/>
          </w:divBdr>
        </w:div>
        <w:div w:id="1311210177">
          <w:marLeft w:val="0"/>
          <w:marRight w:val="0"/>
          <w:marTop w:val="120"/>
          <w:marBottom w:val="120"/>
          <w:divBdr>
            <w:top w:val="none" w:sz="0" w:space="0" w:color="auto"/>
            <w:left w:val="none" w:sz="0" w:space="0" w:color="auto"/>
            <w:bottom w:val="none" w:sz="0" w:space="0" w:color="auto"/>
            <w:right w:val="none" w:sz="0" w:space="0" w:color="auto"/>
          </w:divBdr>
        </w:div>
        <w:div w:id="2017001639">
          <w:marLeft w:val="0"/>
          <w:marRight w:val="0"/>
          <w:marTop w:val="120"/>
          <w:marBottom w:val="120"/>
          <w:divBdr>
            <w:top w:val="none" w:sz="0" w:space="0" w:color="auto"/>
            <w:left w:val="none" w:sz="0" w:space="0" w:color="auto"/>
            <w:bottom w:val="none" w:sz="0" w:space="0" w:color="auto"/>
            <w:right w:val="none" w:sz="0" w:space="0" w:color="auto"/>
          </w:divBdr>
        </w:div>
        <w:div w:id="60374595">
          <w:marLeft w:val="0"/>
          <w:marRight w:val="0"/>
          <w:marTop w:val="120"/>
          <w:marBottom w:val="120"/>
          <w:divBdr>
            <w:top w:val="none" w:sz="0" w:space="0" w:color="auto"/>
            <w:left w:val="none" w:sz="0" w:space="0" w:color="auto"/>
            <w:bottom w:val="none" w:sz="0" w:space="0" w:color="auto"/>
            <w:right w:val="none" w:sz="0" w:space="0" w:color="auto"/>
          </w:divBdr>
        </w:div>
        <w:div w:id="975528522">
          <w:marLeft w:val="0"/>
          <w:marRight w:val="0"/>
          <w:marTop w:val="120"/>
          <w:marBottom w:val="120"/>
          <w:divBdr>
            <w:top w:val="none" w:sz="0" w:space="0" w:color="auto"/>
            <w:left w:val="none" w:sz="0" w:space="0" w:color="auto"/>
            <w:bottom w:val="none" w:sz="0" w:space="0" w:color="auto"/>
            <w:right w:val="none" w:sz="0" w:space="0" w:color="auto"/>
          </w:divBdr>
        </w:div>
        <w:div w:id="1731266686">
          <w:marLeft w:val="0"/>
          <w:marRight w:val="0"/>
          <w:marTop w:val="120"/>
          <w:marBottom w:val="120"/>
          <w:divBdr>
            <w:top w:val="none" w:sz="0" w:space="0" w:color="auto"/>
            <w:left w:val="none" w:sz="0" w:space="0" w:color="auto"/>
            <w:bottom w:val="none" w:sz="0" w:space="0" w:color="auto"/>
            <w:right w:val="none" w:sz="0" w:space="0" w:color="auto"/>
          </w:divBdr>
        </w:div>
        <w:div w:id="1497913497">
          <w:marLeft w:val="0"/>
          <w:marRight w:val="0"/>
          <w:marTop w:val="120"/>
          <w:marBottom w:val="120"/>
          <w:divBdr>
            <w:top w:val="none" w:sz="0" w:space="0" w:color="auto"/>
            <w:left w:val="none" w:sz="0" w:space="0" w:color="auto"/>
            <w:bottom w:val="none" w:sz="0" w:space="0" w:color="auto"/>
            <w:right w:val="none" w:sz="0" w:space="0" w:color="auto"/>
          </w:divBdr>
        </w:div>
        <w:div w:id="211230675">
          <w:marLeft w:val="0"/>
          <w:marRight w:val="0"/>
          <w:marTop w:val="120"/>
          <w:marBottom w:val="120"/>
          <w:divBdr>
            <w:top w:val="none" w:sz="0" w:space="0" w:color="auto"/>
            <w:left w:val="none" w:sz="0" w:space="0" w:color="auto"/>
            <w:bottom w:val="none" w:sz="0" w:space="0" w:color="auto"/>
            <w:right w:val="none" w:sz="0" w:space="0" w:color="auto"/>
          </w:divBdr>
        </w:div>
      </w:divsChild>
    </w:div>
    <w:div w:id="1930578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Met25</b:Tag>
    <b:SourceType>InternetSite</b:SourceType>
    <b:Guid>{B0547331-22D9-F04B-86D1-B521FD17D2F2}</b:Guid>
    <b:Title>Black-topped red ware jar</b:Title>
    <b:Year>2025</b:Year>
    <b:Author>
      <b:Author>
        <b:Corporate>Metropolitan Museum of Art</b:Corporate>
      </b:Author>
    </b:Author>
    <b:InternetSiteTitle>The MET </b:InternetSiteTitle>
    <b:URL>https://www.metmuseum.org/art/collection/search/558253</b:URL>
    <b:Month>October</b:Month>
    <b:Day>26</b:Day>
    <b:RefOrder>1</b:RefOrder>
  </b:Source>
</b:Sources>
</file>

<file path=customXml/itemProps1.xml><?xml version="1.0" encoding="utf-8"?>
<ds:datastoreItem xmlns:ds="http://schemas.openxmlformats.org/officeDocument/2006/customXml" ds:itemID="{ACE8B198-FDA6-2D44-9A4A-53C21CB3F4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4</Pages>
  <Words>913</Words>
  <Characters>5208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Katharina</dc:creator>
  <cp:lastModifiedBy>Narantsatsralt Ganbaatar (2124049)</cp:lastModifiedBy>
  <cp:revision>4</cp:revision>
  <dcterms:created xsi:type="dcterms:W3CDTF">2025-10-26T05:22:00Z</dcterms:created>
  <dcterms:modified xsi:type="dcterms:W3CDTF">2025-10-26T23:31:00Z</dcterms:modified>
</cp:coreProperties>
</file>