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DCFD5A" w14:textId="1DFBD357" w:rsidR="00903E51" w:rsidRPr="00903E51" w:rsidRDefault="00903E51">
      <w:r>
        <w:t>Shannon Fry</w:t>
      </w:r>
    </w:p>
    <w:p w14:paraId="48EAC94F" w14:textId="77BC7BAD" w:rsidR="00903E51" w:rsidRPr="00903E51" w:rsidRDefault="00190F4D">
      <w:r w:rsidRPr="00190F4D">
        <w:t>ECEY5010: Research for Learning</w:t>
      </w:r>
    </w:p>
    <w:p w14:paraId="297DB1C0" w14:textId="77777777" w:rsidR="00903E51" w:rsidRPr="00903E51" w:rsidRDefault="00903E51"/>
    <w:p w14:paraId="0FD56C9B" w14:textId="77777777" w:rsidR="00903E51" w:rsidRPr="00903E51" w:rsidRDefault="00903E51"/>
    <w:p w14:paraId="62DE7138" w14:textId="77777777" w:rsidR="00903E51" w:rsidRPr="00903E51" w:rsidRDefault="00903E51"/>
    <w:p w14:paraId="46126DB5" w14:textId="77777777" w:rsidR="00903E51" w:rsidRPr="00903E51" w:rsidRDefault="00903E51"/>
    <w:p w14:paraId="5819F3B4" w14:textId="77777777" w:rsidR="00903E51" w:rsidRPr="00903E51" w:rsidRDefault="00903E51"/>
    <w:p w14:paraId="03611E37" w14:textId="77777777" w:rsidR="00903E51" w:rsidRPr="00903E51" w:rsidRDefault="00903E51"/>
    <w:p w14:paraId="476851E3" w14:textId="77777777" w:rsidR="00903E51" w:rsidRPr="00903E51" w:rsidRDefault="00903E51"/>
    <w:p w14:paraId="72D64BDE" w14:textId="77777777" w:rsidR="00903E51" w:rsidRPr="00903E51" w:rsidRDefault="00903E51"/>
    <w:p w14:paraId="2DC5532B" w14:textId="77777777" w:rsidR="00903E51" w:rsidRPr="00903E51" w:rsidRDefault="00903E51"/>
    <w:p w14:paraId="56BD69F7" w14:textId="77777777" w:rsidR="00903E51" w:rsidRPr="00903E51" w:rsidRDefault="00903E51"/>
    <w:p w14:paraId="2BD186A2" w14:textId="77777777" w:rsidR="00903E51" w:rsidRPr="00903E51" w:rsidRDefault="00903E51"/>
    <w:p w14:paraId="0B7B11FC" w14:textId="77777777" w:rsidR="00903E51" w:rsidRPr="00903E51" w:rsidRDefault="00903E51"/>
    <w:p w14:paraId="0A0ED6C6" w14:textId="77777777" w:rsidR="00903E51" w:rsidRPr="00903E51" w:rsidRDefault="00903E51"/>
    <w:p w14:paraId="49FF30C5" w14:textId="77777777" w:rsidR="00903E51" w:rsidRPr="00903E51" w:rsidRDefault="00903E51"/>
    <w:p w14:paraId="127F9D9C"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Introduction</w:t>
      </w:r>
    </w:p>
    <w:p w14:paraId="44CE2BAF" w14:textId="77777777" w:rsidR="00903E51" w:rsidRPr="00903E51" w:rsidRDefault="00903E51" w:rsidP="00903E51">
      <w:pPr>
        <w:spacing w:after="0" w:line="240" w:lineRule="auto"/>
        <w:rPr>
          <w:rFonts w:eastAsia="Times New Roman" w:cs="Times New Roman"/>
          <w:color w:val="454545"/>
          <w:kern w:val="0"/>
          <w14:ligatures w14:val="none"/>
        </w:rPr>
      </w:pPr>
    </w:p>
    <w:p w14:paraId="346EB363"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Outdoor play is widely recognised as a central element of early childhood education, contributing to children’s physical, emotional, and social development. Within both the Early Years Foundation Stage (EYFS) and the Curriculum for Wales, outdoor learning is viewed as an essential part of children’s daily experiences, offering opportunities for exploration, independence, and interaction with peers. Social development is particularly important in the early years, as children begin to develop skills such as cooperation, communication, empathy, turn</w:t>
      </w:r>
      <w:r w:rsidRPr="00903E51">
        <w:rPr>
          <w:rFonts w:eastAsia="Times New Roman" w:cs="Times New Roman"/>
          <w:color w:val="454545"/>
          <w:kern w:val="0"/>
          <w14:ligatures w14:val="none"/>
        </w:rPr>
        <w:noBreakHyphen/>
        <w:t>taking, and conflict resolution. These skills are shaped not only by children’s individual characteristics but also by the environments in which they play and learn.</w:t>
      </w:r>
    </w:p>
    <w:p w14:paraId="15E4BC80" w14:textId="77777777" w:rsidR="00903E51" w:rsidRPr="00903E51" w:rsidRDefault="00903E51" w:rsidP="00903E51">
      <w:pPr>
        <w:spacing w:after="0" w:line="240" w:lineRule="auto"/>
        <w:rPr>
          <w:rFonts w:eastAsia="Times New Roman" w:cs="Times New Roman"/>
          <w:color w:val="454545"/>
          <w:kern w:val="0"/>
          <w14:ligatures w14:val="none"/>
        </w:rPr>
      </w:pPr>
    </w:p>
    <w:p w14:paraId="032044AF"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A growing body of research suggests that outdoor environments provide unique opportunities for social interaction and collaborative play. Studies have shown that children often engage more freely and cooperatively outdoors, where space, natural materials, and fewer restrictions support shared activities and problem</w:t>
      </w:r>
      <w:r w:rsidRPr="00903E51">
        <w:rPr>
          <w:rFonts w:eastAsia="Times New Roman" w:cs="Times New Roman"/>
          <w:color w:val="454545"/>
          <w:kern w:val="0"/>
          <w14:ligatures w14:val="none"/>
        </w:rPr>
        <w:noBreakHyphen/>
        <w:t>solving. Theoretical perspectives, including sociocultural theory, play theory, and the concept of affordances, offer useful frameworks for understanding how outdoor environments influence children’s social development.</w:t>
      </w:r>
    </w:p>
    <w:p w14:paraId="07F79A4F" w14:textId="77777777" w:rsidR="00903E51" w:rsidRPr="00903E51" w:rsidRDefault="00903E51" w:rsidP="00903E51">
      <w:pPr>
        <w:spacing w:after="0" w:line="240" w:lineRule="auto"/>
        <w:rPr>
          <w:rFonts w:eastAsia="Times New Roman" w:cs="Times New Roman"/>
          <w:color w:val="454545"/>
          <w:kern w:val="0"/>
          <w14:ligatures w14:val="none"/>
        </w:rPr>
      </w:pPr>
    </w:p>
    <w:p w14:paraId="40E78D09"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lastRenderedPageBreak/>
        <w:t>This assignment explores the impact of outdoor play on children’s social development within an early years context. It begins with a review of relevant literature, followed by a methodology section outlining the research design, sampling, and data collection methods. The final section discusses the ethical considerations involved in conducting research with young children. Together, these sections form the basis of a small</w:t>
      </w:r>
      <w:r w:rsidRPr="00903E51">
        <w:rPr>
          <w:rFonts w:eastAsia="Times New Roman" w:cs="Times New Roman"/>
          <w:color w:val="454545"/>
          <w:kern w:val="0"/>
          <w14:ligatures w14:val="none"/>
        </w:rPr>
        <w:noBreakHyphen/>
        <w:t>scale study that aims to contribute to understanding how outdoor play supports social development in early childhood settings.</w:t>
      </w:r>
    </w:p>
    <w:p w14:paraId="0E1A75EB" w14:textId="77777777" w:rsidR="00903E51" w:rsidRPr="00903E51" w:rsidRDefault="00903E51" w:rsidP="00903E51">
      <w:pPr>
        <w:spacing w:after="0" w:line="240" w:lineRule="auto"/>
        <w:rPr>
          <w:rFonts w:eastAsia="Times New Roman" w:cs="Times New Roman"/>
          <w:color w:val="454545"/>
          <w:kern w:val="0"/>
          <w14:ligatures w14:val="none"/>
        </w:rPr>
      </w:pPr>
    </w:p>
    <w:p w14:paraId="282A72E4"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Literature Review</w:t>
      </w:r>
    </w:p>
    <w:p w14:paraId="7F866958" w14:textId="77777777" w:rsidR="00903E51" w:rsidRPr="00903E51" w:rsidRDefault="00903E51" w:rsidP="00903E51">
      <w:pPr>
        <w:spacing w:after="0" w:line="240" w:lineRule="auto"/>
        <w:rPr>
          <w:rFonts w:eastAsia="Times New Roman" w:cs="Times New Roman"/>
          <w:color w:val="454545"/>
          <w:kern w:val="0"/>
          <w14:ligatures w14:val="none"/>
        </w:rPr>
      </w:pPr>
    </w:p>
    <w:p w14:paraId="628450F9"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Outdoor play is known to be a vital aspect of early childhood education. According to Waller et al. (2017), outdoor play is considered to be extremely significant for children’s well-being and learning processes. Bilton (2010) states that outdoor play is statutory in early years curricula. Outdoor play is viewed as an important means of learning both in the EYFS and the Curriculum for Wales. Peer interactions have already been identified to be crucial for children’s social development including cooperation, communication, empathy, taking turns, and conflict resolution.</w:t>
      </w:r>
    </w:p>
    <w:p w14:paraId="092351FA" w14:textId="77777777" w:rsidR="00903E51" w:rsidRPr="00903E51" w:rsidRDefault="00903E51" w:rsidP="00903E51">
      <w:pPr>
        <w:spacing w:after="0" w:line="240" w:lineRule="auto"/>
        <w:rPr>
          <w:rFonts w:eastAsia="Times New Roman" w:cs="Times New Roman"/>
          <w:color w:val="454545"/>
          <w:kern w:val="0"/>
          <w14:ligatures w14:val="none"/>
        </w:rPr>
      </w:pPr>
    </w:p>
    <w:p w14:paraId="2B0C9E6A"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Research suggests that outdoor play involves collaborative activities and problem-solving practices. Waite et al. (2016) highlight that outdoor play encourages collaboration and collective decision making. Additionally, Maynard and Waters (2007) note that cooperation is more likely to occur in outdoor environments than in indoor settings.</w:t>
      </w:r>
    </w:p>
    <w:p w14:paraId="1E2623FF" w14:textId="77777777" w:rsidR="00903E51" w:rsidRPr="00903E51" w:rsidRDefault="00903E51" w:rsidP="00903E51">
      <w:pPr>
        <w:spacing w:after="0" w:line="240" w:lineRule="auto"/>
        <w:rPr>
          <w:rFonts w:eastAsia="Times New Roman" w:cs="Times New Roman"/>
          <w:color w:val="454545"/>
          <w:kern w:val="0"/>
          <w14:ligatures w14:val="none"/>
        </w:rPr>
      </w:pPr>
    </w:p>
    <w:p w14:paraId="383FBF29"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Indoor environments may restrict children’s opportunities to socialise due to limited space and structured routines. Outdoor environments, by contrast, offer more freedom of movement and fewer constraints, which support peer negotiation and cooperative play (Waite et al., 2016). This comparison demonstrates how the physical environment shapes children’s social interactions.</w:t>
      </w:r>
    </w:p>
    <w:p w14:paraId="0095535A" w14:textId="77777777" w:rsidR="00903E51" w:rsidRPr="00903E51" w:rsidRDefault="00903E51" w:rsidP="00903E51">
      <w:pPr>
        <w:spacing w:after="0" w:line="240" w:lineRule="auto"/>
        <w:rPr>
          <w:rFonts w:eastAsia="Times New Roman" w:cs="Times New Roman"/>
          <w:color w:val="454545"/>
          <w:kern w:val="0"/>
          <w14:ligatures w14:val="none"/>
        </w:rPr>
      </w:pPr>
    </w:p>
    <w:p w14:paraId="7BAB53CC"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From a theoretical perspective, the social advantages of outdoor play can be explained using Vygotsky’s sociocultural theory. Vygotsky (1978) argues that learning occurs through social interaction within the Zone of Proximal Development (ZPD). Siraj</w:t>
      </w:r>
      <w:r w:rsidRPr="00903E51">
        <w:rPr>
          <w:rFonts w:eastAsia="Times New Roman" w:cs="Times New Roman"/>
          <w:color w:val="454545"/>
          <w:kern w:val="0"/>
          <w14:ligatures w14:val="none"/>
        </w:rPr>
        <w:noBreakHyphen/>
        <w:t>Blatchford (2009) notes that sociocultural theory underpins effective early years practice. Children engage in co</w:t>
      </w:r>
      <w:r w:rsidRPr="00903E51">
        <w:rPr>
          <w:rFonts w:eastAsia="Times New Roman" w:cs="Times New Roman"/>
          <w:color w:val="454545"/>
          <w:kern w:val="0"/>
          <w14:ligatures w14:val="none"/>
        </w:rPr>
        <w:noBreakHyphen/>
        <w:t>construction of knowledge, peer scaffolding, and collaborative problem</w:t>
      </w:r>
      <w:r w:rsidRPr="00903E51">
        <w:rPr>
          <w:rFonts w:eastAsia="Times New Roman" w:cs="Times New Roman"/>
          <w:color w:val="454545"/>
          <w:kern w:val="0"/>
          <w14:ligatures w14:val="none"/>
        </w:rPr>
        <w:noBreakHyphen/>
        <w:t>solving during outdoor play.</w:t>
      </w:r>
    </w:p>
    <w:p w14:paraId="76BAAA79" w14:textId="77777777" w:rsidR="00903E51" w:rsidRPr="00903E51" w:rsidRDefault="00903E51" w:rsidP="00903E51">
      <w:pPr>
        <w:spacing w:after="0" w:line="240" w:lineRule="auto"/>
        <w:rPr>
          <w:rFonts w:eastAsia="Times New Roman" w:cs="Times New Roman"/>
          <w:color w:val="454545"/>
          <w:kern w:val="0"/>
          <w14:ligatures w14:val="none"/>
        </w:rPr>
      </w:pPr>
    </w:p>
    <w:p w14:paraId="722AE8CD"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Piaget’s theory of play also helps explain the social benefits of outdoor environments. Piaget (1962) describes a progression from parallel to associative to cooperative play in early childhood. Broadhead (2004) argues that outdoor play accelerates cooperative play because children must negotiate roles, rules, and shared goals. Cooperative play includes activities such as building dens, role</w:t>
      </w:r>
      <w:r w:rsidRPr="00903E51">
        <w:rPr>
          <w:rFonts w:eastAsia="Times New Roman" w:cs="Times New Roman"/>
          <w:color w:val="454545"/>
          <w:kern w:val="0"/>
          <w14:ligatures w14:val="none"/>
        </w:rPr>
        <w:noBreakHyphen/>
        <w:t>play, and group games.</w:t>
      </w:r>
    </w:p>
    <w:p w14:paraId="7332029F" w14:textId="77777777" w:rsidR="00903E51" w:rsidRPr="00903E51" w:rsidRDefault="00903E51" w:rsidP="00903E51">
      <w:pPr>
        <w:spacing w:after="0" w:line="240" w:lineRule="auto"/>
        <w:rPr>
          <w:rFonts w:eastAsia="Times New Roman" w:cs="Times New Roman"/>
          <w:color w:val="454545"/>
          <w:kern w:val="0"/>
          <w14:ligatures w14:val="none"/>
        </w:rPr>
      </w:pPr>
    </w:p>
    <w:p w14:paraId="609B7B3B"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 xml:space="preserve">Gibson’s (1979) concept of affordances is also relevant. Affordances refer to the action possibilities offered by an environment. Heft (1988) suggests that natural outdoor environments provide affordances that promote shared exploration and teamwork. </w:t>
      </w:r>
      <w:r w:rsidRPr="00903E51">
        <w:rPr>
          <w:rFonts w:eastAsia="Times New Roman" w:cs="Times New Roman"/>
          <w:color w:val="454545"/>
          <w:kern w:val="0"/>
          <w14:ligatures w14:val="none"/>
        </w:rPr>
        <w:lastRenderedPageBreak/>
        <w:t>Rough terrain, natural materials, and open spaces encourage joint activities, supporting children’s social development.</w:t>
      </w:r>
    </w:p>
    <w:p w14:paraId="47D36ECF" w14:textId="77777777" w:rsidR="00903E51" w:rsidRPr="00903E51" w:rsidRDefault="00903E51" w:rsidP="00903E51">
      <w:pPr>
        <w:spacing w:after="0" w:line="240" w:lineRule="auto"/>
        <w:rPr>
          <w:rFonts w:eastAsia="Times New Roman" w:cs="Times New Roman"/>
          <w:color w:val="454545"/>
          <w:kern w:val="0"/>
          <w14:ligatures w14:val="none"/>
        </w:rPr>
      </w:pPr>
    </w:p>
    <w:p w14:paraId="154ED604"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Empirical evidence supports the importance of outdoor play for social skills. Bento and Dias (2017) found that outdoor play enhances cooperation, empathy, and leadership. Dyment and O’Connell (2013) observed increased prosocial behaviours, such as helping others, during outdoor play. Outdoor play also supports communication. McInnes et al. (2013) found that children use more complex language outdoors, while Tovey (2007) noted that outdoor play encourages negotiation and problem</w:t>
      </w:r>
      <w:r w:rsidRPr="00903E51">
        <w:rPr>
          <w:rFonts w:eastAsia="Times New Roman" w:cs="Times New Roman"/>
          <w:color w:val="454545"/>
          <w:kern w:val="0"/>
          <w14:ligatures w14:val="none"/>
        </w:rPr>
        <w:noBreakHyphen/>
        <w:t>solving talk.</w:t>
      </w:r>
    </w:p>
    <w:p w14:paraId="0C7510A0" w14:textId="77777777" w:rsidR="00903E51" w:rsidRPr="00903E51" w:rsidRDefault="00903E51" w:rsidP="00903E51">
      <w:pPr>
        <w:spacing w:after="0" w:line="240" w:lineRule="auto"/>
        <w:rPr>
          <w:rFonts w:eastAsia="Times New Roman" w:cs="Times New Roman"/>
          <w:color w:val="454545"/>
          <w:kern w:val="0"/>
          <w14:ligatures w14:val="none"/>
        </w:rPr>
      </w:pPr>
    </w:p>
    <w:p w14:paraId="020B944F"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Outdoor play also supports conflict resolution. Smith and Pellegrini (2013) found that children often resolve conflicts independently outdoors. Hedges and Cooper (2018) observed that children use negotiation strategies more frequently in outdoor settings.</w:t>
      </w:r>
    </w:p>
    <w:p w14:paraId="1145476F" w14:textId="77777777" w:rsidR="00903E51" w:rsidRPr="00903E51" w:rsidRDefault="00903E51" w:rsidP="00903E51">
      <w:pPr>
        <w:spacing w:after="0" w:line="240" w:lineRule="auto"/>
        <w:rPr>
          <w:rFonts w:eastAsia="Times New Roman" w:cs="Times New Roman"/>
          <w:color w:val="454545"/>
          <w:kern w:val="0"/>
          <w14:ligatures w14:val="none"/>
        </w:rPr>
      </w:pPr>
    </w:p>
    <w:p w14:paraId="29D231AA"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Practitioner attitudes influence children’s outdoor play experiences. Dyment and Coleman (2012) note that some practitioners lack confidence in managing outdoor learning, which can limit children’s opportunities for social development.</w:t>
      </w:r>
    </w:p>
    <w:p w14:paraId="7FC8040C" w14:textId="77777777" w:rsidR="00903E51" w:rsidRPr="00903E51" w:rsidRDefault="00903E51" w:rsidP="00903E51">
      <w:pPr>
        <w:spacing w:after="0" w:line="240" w:lineRule="auto"/>
        <w:rPr>
          <w:rFonts w:eastAsia="Times New Roman" w:cs="Times New Roman"/>
          <w:color w:val="454545"/>
          <w:kern w:val="0"/>
          <w14:ligatures w14:val="none"/>
        </w:rPr>
      </w:pPr>
    </w:p>
    <w:p w14:paraId="37503087"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Barriers to outdoor play include weather, staffing, and risk assessments. Knight (2013) highlights that these challenges can reduce practitioners’ willingness to use outdoor environments. Dyment and Coleman (2012) also note that limited training in outdoor pedagogy can restrict outdoor learning opportunities.</w:t>
      </w:r>
    </w:p>
    <w:p w14:paraId="1A6281BD" w14:textId="77777777" w:rsidR="00903E51" w:rsidRPr="00903E51" w:rsidRDefault="00903E51" w:rsidP="00903E51">
      <w:pPr>
        <w:spacing w:after="0" w:line="240" w:lineRule="auto"/>
        <w:rPr>
          <w:rFonts w:eastAsia="Times New Roman" w:cs="Times New Roman"/>
          <w:color w:val="454545"/>
          <w:kern w:val="0"/>
          <w14:ligatures w14:val="none"/>
        </w:rPr>
      </w:pPr>
    </w:p>
    <w:p w14:paraId="5017E934"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There is a lack of research focusing specifically on Welsh early years settings. Maynard and Waters (2007) highlight the need for context</w:t>
      </w:r>
      <w:r w:rsidRPr="00903E51">
        <w:rPr>
          <w:rFonts w:eastAsia="Times New Roman" w:cs="Times New Roman"/>
          <w:color w:val="454545"/>
          <w:kern w:val="0"/>
          <w14:ligatures w14:val="none"/>
        </w:rPr>
        <w:noBreakHyphen/>
        <w:t>specific studies. Waller et al. (2017) argue that more empirical research is needed to understand how outdoor play supports development in real</w:t>
      </w:r>
      <w:r w:rsidRPr="00903E51">
        <w:rPr>
          <w:rFonts w:eastAsia="Times New Roman" w:cs="Times New Roman"/>
          <w:color w:val="454545"/>
          <w:kern w:val="0"/>
          <w14:ligatures w14:val="none"/>
        </w:rPr>
        <w:noBreakHyphen/>
        <w:t>world settings. This study aims to address that gap.</w:t>
      </w:r>
    </w:p>
    <w:p w14:paraId="405A5CE9" w14:textId="77777777" w:rsidR="00903E51" w:rsidRPr="00903E51" w:rsidRDefault="00903E51" w:rsidP="00903E51">
      <w:pPr>
        <w:spacing w:after="0" w:line="240" w:lineRule="auto"/>
        <w:rPr>
          <w:rFonts w:eastAsia="Times New Roman" w:cs="Times New Roman"/>
          <w:color w:val="454545"/>
          <w:kern w:val="0"/>
          <w14:ligatures w14:val="none"/>
        </w:rPr>
      </w:pPr>
    </w:p>
    <w:p w14:paraId="65AB3B7F"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Methodology</w:t>
      </w:r>
    </w:p>
    <w:p w14:paraId="751663B4" w14:textId="77777777" w:rsidR="00903E51" w:rsidRPr="00903E51" w:rsidRDefault="00903E51" w:rsidP="00903E51">
      <w:pPr>
        <w:spacing w:after="0" w:line="240" w:lineRule="auto"/>
        <w:rPr>
          <w:rFonts w:eastAsia="Times New Roman" w:cs="Times New Roman"/>
          <w:color w:val="454545"/>
          <w:kern w:val="0"/>
          <w14:ligatures w14:val="none"/>
        </w:rPr>
      </w:pPr>
    </w:p>
    <w:p w14:paraId="76FBF828"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A qualitative methodology is appropriate for this study because the research aims to explore children’s social behaviours in depth. Creswell (2014) states that qualitative research is suitable for studying behaviours and experiences, while Mukherji and Albon (2018) argue that qualitative approaches are particularly appropriate for early years research due to the complexity of children’s interactions.</w:t>
      </w:r>
    </w:p>
    <w:p w14:paraId="3B6C1BD4" w14:textId="77777777" w:rsidR="00903E51" w:rsidRPr="00903E51" w:rsidRDefault="00903E51" w:rsidP="00903E51">
      <w:pPr>
        <w:spacing w:after="0" w:line="240" w:lineRule="auto"/>
        <w:rPr>
          <w:rFonts w:eastAsia="Times New Roman" w:cs="Times New Roman"/>
          <w:color w:val="454545"/>
          <w:kern w:val="0"/>
          <w14:ligatures w14:val="none"/>
        </w:rPr>
      </w:pPr>
    </w:p>
    <w:p w14:paraId="3D747340"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A small</w:t>
      </w:r>
      <w:r w:rsidRPr="00903E51">
        <w:rPr>
          <w:rFonts w:eastAsia="Times New Roman" w:cs="Times New Roman"/>
          <w:color w:val="454545"/>
          <w:kern w:val="0"/>
          <w14:ligatures w14:val="none"/>
        </w:rPr>
        <w:noBreakHyphen/>
        <w:t>scale exploratory design is appropriate because it allows for detailed examination of children’s social interactions in a natural setting. Roberts</w:t>
      </w:r>
      <w:r w:rsidRPr="00903E51">
        <w:rPr>
          <w:rFonts w:eastAsia="Times New Roman" w:cs="Times New Roman"/>
          <w:color w:val="454545"/>
          <w:kern w:val="0"/>
          <w14:ligatures w14:val="none"/>
        </w:rPr>
        <w:noBreakHyphen/>
        <w:t>Holmes (2018) notes that small</w:t>
      </w:r>
      <w:r w:rsidRPr="00903E51">
        <w:rPr>
          <w:rFonts w:eastAsia="Times New Roman" w:cs="Times New Roman"/>
          <w:color w:val="454545"/>
          <w:kern w:val="0"/>
          <w14:ligatures w14:val="none"/>
        </w:rPr>
        <w:noBreakHyphen/>
        <w:t>scale studies are common in early years research because they allow for rich, context</w:t>
      </w:r>
      <w:r w:rsidRPr="00903E51">
        <w:rPr>
          <w:rFonts w:eastAsia="Times New Roman" w:cs="Times New Roman"/>
          <w:color w:val="454545"/>
          <w:kern w:val="0"/>
          <w14:ligatures w14:val="none"/>
        </w:rPr>
        <w:noBreakHyphen/>
        <w:t>specific insights. This design also aligns with the practical constraints of working with young children, such as time limitations, safeguarding requirements, and the need to minimise disruption to daily routines.</w:t>
      </w:r>
    </w:p>
    <w:p w14:paraId="377632EB" w14:textId="77777777" w:rsidR="00903E51" w:rsidRPr="00903E51" w:rsidRDefault="00903E51" w:rsidP="00903E51">
      <w:pPr>
        <w:spacing w:after="0" w:line="240" w:lineRule="auto"/>
        <w:rPr>
          <w:rFonts w:eastAsia="Times New Roman" w:cs="Times New Roman"/>
          <w:color w:val="454545"/>
          <w:kern w:val="0"/>
          <w14:ligatures w14:val="none"/>
        </w:rPr>
      </w:pPr>
    </w:p>
    <w:p w14:paraId="4C8C44F3"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 xml:space="preserve">Purposive sampling will be used to select 4–6 children aged 3–5 from one early years setting in Cardiff. Cohen, Manion and Morrison (2018) describe purposive sampling as appropriate when selecting participants with specific characteristics relevant to the research question. The chosen age range is suitable because children aged 3–5 are </w:t>
      </w:r>
      <w:r w:rsidRPr="00903E51">
        <w:rPr>
          <w:rFonts w:eastAsia="Times New Roman" w:cs="Times New Roman"/>
          <w:color w:val="454545"/>
          <w:kern w:val="0"/>
          <w14:ligatures w14:val="none"/>
        </w:rPr>
        <w:lastRenderedPageBreak/>
        <w:t>typically developing key social skills such as cooperation, communication, and conflict resolution.</w:t>
      </w:r>
    </w:p>
    <w:p w14:paraId="3C3E077A" w14:textId="77777777" w:rsidR="00903E51" w:rsidRPr="00903E51" w:rsidRDefault="00903E51" w:rsidP="00903E51">
      <w:pPr>
        <w:spacing w:after="0" w:line="240" w:lineRule="auto"/>
        <w:rPr>
          <w:rFonts w:eastAsia="Times New Roman" w:cs="Times New Roman"/>
          <w:color w:val="454545"/>
          <w:kern w:val="0"/>
          <w14:ligatures w14:val="none"/>
        </w:rPr>
      </w:pPr>
    </w:p>
    <w:p w14:paraId="32B1AE0F"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The outdoor area includes natural materials, climbing structures, and open spaces. Tovey (2007) highlights the importance of natural outdoor environments for social interaction. These features provide opportunities for observing cooperative play, communication, and conflict resolution. The setting’s outdoor environment is therefore well</w:t>
      </w:r>
      <w:r w:rsidRPr="00903E51">
        <w:rPr>
          <w:rFonts w:eastAsia="Times New Roman" w:cs="Times New Roman"/>
          <w:color w:val="454545"/>
          <w:kern w:val="0"/>
          <w14:ligatures w14:val="none"/>
        </w:rPr>
        <w:noBreakHyphen/>
        <w:t>suited to exploring the research question.</w:t>
      </w:r>
    </w:p>
    <w:p w14:paraId="656F4E03" w14:textId="77777777" w:rsidR="00903E51" w:rsidRPr="00903E51" w:rsidRDefault="00903E51" w:rsidP="00903E51">
      <w:pPr>
        <w:spacing w:after="0" w:line="240" w:lineRule="auto"/>
        <w:rPr>
          <w:rFonts w:eastAsia="Times New Roman" w:cs="Times New Roman"/>
          <w:color w:val="454545"/>
          <w:kern w:val="0"/>
          <w14:ligatures w14:val="none"/>
        </w:rPr>
      </w:pPr>
    </w:p>
    <w:p w14:paraId="7A10BDC0"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Naturalistic, non</w:t>
      </w:r>
      <w:r w:rsidRPr="00903E51">
        <w:rPr>
          <w:rFonts w:eastAsia="Times New Roman" w:cs="Times New Roman"/>
          <w:color w:val="454545"/>
          <w:kern w:val="0"/>
          <w14:ligatures w14:val="none"/>
        </w:rPr>
        <w:noBreakHyphen/>
        <w:t>participant observations will be used to collect data. Flewitt (2005) supports naturalistic observations for capturing authentic behaviour. MacNaughton, Rolfe and Siraj</w:t>
      </w:r>
      <w:r w:rsidRPr="00903E51">
        <w:rPr>
          <w:rFonts w:eastAsia="Times New Roman" w:cs="Times New Roman"/>
          <w:color w:val="454545"/>
          <w:kern w:val="0"/>
          <w14:ligatures w14:val="none"/>
        </w:rPr>
        <w:noBreakHyphen/>
        <w:t>Blatchford (2010) note that observations are ideal for young children who may struggle with interviews. Strengths of observation include ecological validity and suitability for young children. Limitations include potential researcher bias and challenges in interpreting behaviour.</w:t>
      </w:r>
    </w:p>
    <w:p w14:paraId="6F4C67D5" w14:textId="77777777" w:rsidR="00903E51" w:rsidRPr="00903E51" w:rsidRDefault="00903E51" w:rsidP="00903E51">
      <w:pPr>
        <w:spacing w:after="0" w:line="240" w:lineRule="auto"/>
        <w:rPr>
          <w:rFonts w:eastAsia="Times New Roman" w:cs="Times New Roman"/>
          <w:color w:val="454545"/>
          <w:kern w:val="0"/>
          <w14:ligatures w14:val="none"/>
        </w:rPr>
      </w:pPr>
    </w:p>
    <w:p w14:paraId="61384499"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Interviews with children were not chosen because young children may struggle with verbal recall, abstract questions, or structured interviews. Punch (2002) argues that young children may find interviews difficult due to developmental limitations. Christensen and James (2017) highlight similar concerns. For these reasons, interviews with children were excluded.</w:t>
      </w:r>
    </w:p>
    <w:p w14:paraId="46AC82EA" w14:textId="77777777" w:rsidR="00903E51" w:rsidRPr="00903E51" w:rsidRDefault="00903E51" w:rsidP="00903E51">
      <w:pPr>
        <w:spacing w:after="0" w:line="240" w:lineRule="auto"/>
        <w:rPr>
          <w:rFonts w:eastAsia="Times New Roman" w:cs="Times New Roman"/>
          <w:color w:val="454545"/>
          <w:kern w:val="0"/>
          <w14:ligatures w14:val="none"/>
        </w:rPr>
      </w:pPr>
    </w:p>
    <w:p w14:paraId="632722F9"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Semi</w:t>
      </w:r>
      <w:r w:rsidRPr="00903E51">
        <w:rPr>
          <w:rFonts w:eastAsia="Times New Roman" w:cs="Times New Roman"/>
          <w:color w:val="454545"/>
          <w:kern w:val="0"/>
          <w14:ligatures w14:val="none"/>
        </w:rPr>
        <w:noBreakHyphen/>
        <w:t>structured interviews with practitioners may be used to provide insight into their perceptions of outdoor play and social development. Kvale and Brinkmann (2015) support semi</w:t>
      </w:r>
      <w:r w:rsidRPr="00903E51">
        <w:rPr>
          <w:rFonts w:eastAsia="Times New Roman" w:cs="Times New Roman"/>
          <w:color w:val="454545"/>
          <w:kern w:val="0"/>
          <w14:ligatures w14:val="none"/>
        </w:rPr>
        <w:noBreakHyphen/>
        <w:t>structured interviews for gaining professional insight. Braun and Clarke (2013) note that interviews allow depth and flexibility. Practitioners can offer valuable perspectives on how outdoor play supports social development and what challenges they face in implementing outdoor learning.</w:t>
      </w:r>
    </w:p>
    <w:p w14:paraId="6F758DBC" w14:textId="77777777" w:rsidR="00903E51" w:rsidRPr="00903E51" w:rsidRDefault="00903E51" w:rsidP="00903E51">
      <w:pPr>
        <w:spacing w:after="0" w:line="240" w:lineRule="auto"/>
        <w:rPr>
          <w:rFonts w:eastAsia="Times New Roman" w:cs="Times New Roman"/>
          <w:color w:val="454545"/>
          <w:kern w:val="0"/>
          <w14:ligatures w14:val="none"/>
        </w:rPr>
      </w:pPr>
    </w:p>
    <w:p w14:paraId="0BCB58FD"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Questionnaires were not chosen because they lack depth and are unsuitable for young children (Bell, 2014). Questionnaires may also limit the richness of data because they rely on fixed responses rather than open</w:t>
      </w:r>
      <w:r w:rsidRPr="00903E51">
        <w:rPr>
          <w:rFonts w:eastAsia="Times New Roman" w:cs="Times New Roman"/>
          <w:color w:val="454545"/>
          <w:kern w:val="0"/>
          <w14:ligatures w14:val="none"/>
        </w:rPr>
        <w:noBreakHyphen/>
        <w:t>ended discussion.</w:t>
      </w:r>
    </w:p>
    <w:p w14:paraId="1321A6C6" w14:textId="77777777" w:rsidR="00903E51" w:rsidRPr="00903E51" w:rsidRDefault="00903E51" w:rsidP="00903E51">
      <w:pPr>
        <w:spacing w:after="0" w:line="240" w:lineRule="auto"/>
        <w:rPr>
          <w:rFonts w:eastAsia="Times New Roman" w:cs="Times New Roman"/>
          <w:color w:val="454545"/>
          <w:kern w:val="0"/>
          <w14:ligatures w14:val="none"/>
        </w:rPr>
      </w:pPr>
    </w:p>
    <w:p w14:paraId="0D07AAA3"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Triangulation may be used to strengthen validity by combining observations with practitioner interviews. Denzin (1978) defines triangulation as using multiple methods to strengthen validity. Cohen, Manion and Morrison (2018) support triangulation in small</w:t>
      </w:r>
      <w:r w:rsidRPr="00903E51">
        <w:rPr>
          <w:rFonts w:eastAsia="Times New Roman" w:cs="Times New Roman"/>
          <w:color w:val="454545"/>
          <w:kern w:val="0"/>
          <w14:ligatures w14:val="none"/>
        </w:rPr>
        <w:noBreakHyphen/>
        <w:t>scale educational research. Using more than one method helps ensure that findings are credible and well</w:t>
      </w:r>
      <w:r w:rsidRPr="00903E51">
        <w:rPr>
          <w:rFonts w:eastAsia="Times New Roman" w:cs="Times New Roman"/>
          <w:color w:val="454545"/>
          <w:kern w:val="0"/>
          <w14:ligatures w14:val="none"/>
        </w:rPr>
        <w:noBreakHyphen/>
        <w:t>supported.</w:t>
      </w:r>
    </w:p>
    <w:p w14:paraId="7A29E53C" w14:textId="77777777" w:rsidR="00903E51" w:rsidRPr="00903E51" w:rsidRDefault="00903E51" w:rsidP="00903E51">
      <w:pPr>
        <w:spacing w:after="0" w:line="240" w:lineRule="auto"/>
        <w:rPr>
          <w:rFonts w:eastAsia="Times New Roman" w:cs="Times New Roman"/>
          <w:color w:val="454545"/>
          <w:kern w:val="0"/>
          <w14:ligatures w14:val="none"/>
        </w:rPr>
      </w:pPr>
    </w:p>
    <w:p w14:paraId="344C2D94"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Thematic analysis will be used to analyse the data. Braun and Clarke (2006) outline a six</w:t>
      </w:r>
      <w:r w:rsidRPr="00903E51">
        <w:rPr>
          <w:rFonts w:eastAsia="Times New Roman" w:cs="Times New Roman"/>
          <w:color w:val="454545"/>
          <w:kern w:val="0"/>
          <w14:ligatures w14:val="none"/>
        </w:rPr>
        <w:noBreakHyphen/>
        <w:t>step process for thematic analysis, which is widely used in early years research. The steps include familiarisation with the data, generating initial codes, searching for themes, reviewing themes, defining and naming themes, and producing the final report.</w:t>
      </w:r>
    </w:p>
    <w:p w14:paraId="697D4720" w14:textId="77777777" w:rsidR="00903E51" w:rsidRPr="00903E51" w:rsidRDefault="00903E51" w:rsidP="00903E51">
      <w:pPr>
        <w:spacing w:after="0" w:line="240" w:lineRule="auto"/>
        <w:rPr>
          <w:rFonts w:eastAsia="Times New Roman" w:cs="Times New Roman"/>
          <w:color w:val="454545"/>
          <w:kern w:val="0"/>
          <w14:ligatures w14:val="none"/>
        </w:rPr>
      </w:pPr>
    </w:p>
    <w:p w14:paraId="061E97F5"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 xml:space="preserve">Observations will be recorded using structured field notes, focusing on behaviours such as cooperation, communication, and conflict resolution. This systematic approach helps ensure consistency and keeps the data aligned with the research </w:t>
      </w:r>
      <w:r w:rsidRPr="00903E51">
        <w:rPr>
          <w:rFonts w:eastAsia="Times New Roman" w:cs="Times New Roman"/>
          <w:color w:val="454545"/>
          <w:kern w:val="0"/>
          <w14:ligatures w14:val="none"/>
        </w:rPr>
        <w:lastRenderedPageBreak/>
        <w:t>question. The analysis will begin with open coding, where initial labels are applied to segments of data. These codes will then be grouped into broader categories, eventually forming the main themes, following Braun and Clarke’s (2006) guidance.</w:t>
      </w:r>
    </w:p>
    <w:p w14:paraId="5EB832BF" w14:textId="77777777" w:rsidR="00903E51" w:rsidRPr="00903E51" w:rsidRDefault="00903E51" w:rsidP="00903E51">
      <w:pPr>
        <w:spacing w:after="0" w:line="240" w:lineRule="auto"/>
        <w:rPr>
          <w:rFonts w:eastAsia="Times New Roman" w:cs="Times New Roman"/>
          <w:color w:val="454545"/>
          <w:kern w:val="0"/>
          <w14:ligatures w14:val="none"/>
        </w:rPr>
      </w:pPr>
    </w:p>
    <w:p w14:paraId="5B7FB1B0"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As the researcher, my role will be primarily observational, aiming to minimise influence on children’s behaviour. Keeping a reflective journal will help identify and reduce personal bias, which is important for ensuring credibility in qualitative research (Lincoln and Guba, 1985). This reflective element strengthens the dependability and confirmability of the study.</w:t>
      </w:r>
    </w:p>
    <w:p w14:paraId="4CD080C8" w14:textId="77777777" w:rsidR="00903E51" w:rsidRPr="00903E51" w:rsidRDefault="00903E51" w:rsidP="00903E51">
      <w:pPr>
        <w:spacing w:after="0" w:line="240" w:lineRule="auto"/>
        <w:rPr>
          <w:rFonts w:eastAsia="Times New Roman" w:cs="Times New Roman"/>
          <w:color w:val="454545"/>
          <w:kern w:val="0"/>
          <w14:ligatures w14:val="none"/>
        </w:rPr>
      </w:pPr>
    </w:p>
    <w:p w14:paraId="75E95C4F"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Validity and reliability will be supported through detailed field notes, reflective journaling, and clear coding procedures. Lincoln and Guba’s (1985) trustworthiness criteria—credibility, dependability, confirmability—will guide the research. Shenton (2004) applies these principles to qualitative educational research.</w:t>
      </w:r>
    </w:p>
    <w:p w14:paraId="148732DF" w14:textId="77777777" w:rsidR="00903E51" w:rsidRPr="00903E51" w:rsidRDefault="00903E51" w:rsidP="00903E51">
      <w:pPr>
        <w:spacing w:after="0" w:line="240" w:lineRule="auto"/>
        <w:rPr>
          <w:rFonts w:eastAsia="Times New Roman" w:cs="Times New Roman"/>
          <w:color w:val="454545"/>
          <w:kern w:val="0"/>
          <w14:ligatures w14:val="none"/>
        </w:rPr>
      </w:pPr>
    </w:p>
    <w:p w14:paraId="21B74558"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Limitations include small sample size, single setting, potential observer effect, and time constraints (Robson, 2011; Cohen, Manion and Morrison, 2018). These limitations will be acknowledged when interpreting the findings.</w:t>
      </w:r>
    </w:p>
    <w:p w14:paraId="0EEBFA84" w14:textId="77777777" w:rsidR="00903E51" w:rsidRPr="00903E51" w:rsidRDefault="00903E51" w:rsidP="00903E51">
      <w:pPr>
        <w:spacing w:after="0" w:line="240" w:lineRule="auto"/>
        <w:rPr>
          <w:rFonts w:eastAsia="Times New Roman" w:cs="Times New Roman"/>
          <w:color w:val="454545"/>
          <w:kern w:val="0"/>
          <w14:ligatures w14:val="none"/>
        </w:rPr>
      </w:pPr>
    </w:p>
    <w:p w14:paraId="0DF6609D"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Ethical Considerations</w:t>
      </w:r>
    </w:p>
    <w:p w14:paraId="3FE52587" w14:textId="77777777" w:rsidR="00903E51" w:rsidRPr="00903E51" w:rsidRDefault="00903E51" w:rsidP="00903E51">
      <w:pPr>
        <w:spacing w:after="0" w:line="240" w:lineRule="auto"/>
        <w:rPr>
          <w:rFonts w:eastAsia="Times New Roman" w:cs="Times New Roman"/>
          <w:color w:val="454545"/>
          <w:kern w:val="0"/>
          <w14:ligatures w14:val="none"/>
        </w:rPr>
      </w:pPr>
    </w:p>
    <w:p w14:paraId="54DD7240"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The study will follow BERA (2018) ethical guidelines, which emphasise safeguarding, respect, and children’s rights. Informed consent will be obtained from parents/carers, and assent will be sought from children. Alderson and Morrow (2011) stress the importance of parental consent and child assent. The UNCRC (1989) states that children have the right to express their views.</w:t>
      </w:r>
    </w:p>
    <w:p w14:paraId="4E74E2A8" w14:textId="77777777" w:rsidR="00903E51" w:rsidRPr="00903E51" w:rsidRDefault="00903E51" w:rsidP="00903E51">
      <w:pPr>
        <w:spacing w:after="0" w:line="240" w:lineRule="auto"/>
        <w:rPr>
          <w:rFonts w:eastAsia="Times New Roman" w:cs="Times New Roman"/>
          <w:color w:val="454545"/>
          <w:kern w:val="0"/>
          <w14:ligatures w14:val="none"/>
        </w:rPr>
      </w:pPr>
    </w:p>
    <w:p w14:paraId="752825F6"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Children may express dissent non</w:t>
      </w:r>
      <w:r w:rsidRPr="00903E51">
        <w:rPr>
          <w:rFonts w:eastAsia="Times New Roman" w:cs="Times New Roman"/>
          <w:color w:val="454545"/>
          <w:kern w:val="0"/>
          <w14:ligatures w14:val="none"/>
        </w:rPr>
        <w:noBreakHyphen/>
        <w:t>verbally. Einarsdottir (2007) notes that children often show refusal through body language or withdrawal. The researcher must stop observing immediately if a child shows discomfort.</w:t>
      </w:r>
    </w:p>
    <w:p w14:paraId="204553E4" w14:textId="77777777" w:rsidR="00903E51" w:rsidRPr="00903E51" w:rsidRDefault="00903E51" w:rsidP="00903E51">
      <w:pPr>
        <w:spacing w:after="0" w:line="240" w:lineRule="auto"/>
        <w:rPr>
          <w:rFonts w:eastAsia="Times New Roman" w:cs="Times New Roman"/>
          <w:color w:val="454545"/>
          <w:kern w:val="0"/>
          <w14:ligatures w14:val="none"/>
        </w:rPr>
      </w:pPr>
    </w:p>
    <w:p w14:paraId="1EB01F88"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Confidentiality will be maintained through pseudonyms and removal of identifying details (BERA, 2018). Cohen, Manion and Morrison (2018) emphasise the importance of anonymity for settings and individuals.</w:t>
      </w:r>
    </w:p>
    <w:p w14:paraId="65B665BE" w14:textId="77777777" w:rsidR="00903E51" w:rsidRPr="00903E51" w:rsidRDefault="00903E51" w:rsidP="00903E51">
      <w:pPr>
        <w:spacing w:after="0" w:line="240" w:lineRule="auto"/>
        <w:rPr>
          <w:rFonts w:eastAsia="Times New Roman" w:cs="Times New Roman"/>
          <w:color w:val="454545"/>
          <w:kern w:val="0"/>
          <w14:ligatures w14:val="none"/>
        </w:rPr>
      </w:pPr>
    </w:p>
    <w:p w14:paraId="216A12DA"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Risks to participants will be minimised by ensuring observations do not interfere with play and by following safeguarding procedures (NSPCC, 2020).</w:t>
      </w:r>
    </w:p>
    <w:p w14:paraId="7D61ED17" w14:textId="77777777" w:rsidR="00903E51" w:rsidRPr="00903E51" w:rsidRDefault="00903E51" w:rsidP="00903E51">
      <w:pPr>
        <w:spacing w:after="0" w:line="240" w:lineRule="auto"/>
        <w:rPr>
          <w:rFonts w:eastAsia="Times New Roman" w:cs="Times New Roman"/>
          <w:color w:val="454545"/>
          <w:kern w:val="0"/>
          <w14:ligatures w14:val="none"/>
        </w:rPr>
      </w:pPr>
    </w:p>
    <w:p w14:paraId="30D17887"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Safeguarding procedures will be followed in line with the setting’s policies. If any concerns arise during observations, these will be reported immediately to the designated safeguarding lead, following NSPCC (2020) guidance.</w:t>
      </w:r>
    </w:p>
    <w:p w14:paraId="6F099F8B" w14:textId="77777777" w:rsidR="00903E51" w:rsidRPr="00903E51" w:rsidRDefault="00903E51" w:rsidP="00903E51">
      <w:pPr>
        <w:spacing w:after="0" w:line="240" w:lineRule="auto"/>
        <w:rPr>
          <w:rFonts w:eastAsia="Times New Roman" w:cs="Times New Roman"/>
          <w:color w:val="454545"/>
          <w:kern w:val="0"/>
          <w14:ligatures w14:val="none"/>
        </w:rPr>
      </w:pPr>
    </w:p>
    <w:p w14:paraId="5F3A82CB"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Risks to the researcher will be minimised by following setting policies, working in open spaces, and maintaining professional boundaries. GDPR requirements will be followed to minimise institutional risk (ICO, 2018).</w:t>
      </w:r>
    </w:p>
    <w:p w14:paraId="62B883C8" w14:textId="77777777" w:rsidR="00903E51" w:rsidRPr="00903E51" w:rsidRDefault="00903E51" w:rsidP="00903E51">
      <w:pPr>
        <w:spacing w:after="0" w:line="240" w:lineRule="auto"/>
        <w:rPr>
          <w:rFonts w:eastAsia="Times New Roman" w:cs="Times New Roman"/>
          <w:color w:val="454545"/>
          <w:kern w:val="0"/>
          <w14:ligatures w14:val="none"/>
        </w:rPr>
      </w:pPr>
    </w:p>
    <w:p w14:paraId="5BA467EC"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lastRenderedPageBreak/>
        <w:t>Data will be stored securely using password</w:t>
      </w:r>
      <w:r w:rsidRPr="00903E51">
        <w:rPr>
          <w:rFonts w:eastAsia="Times New Roman" w:cs="Times New Roman"/>
          <w:color w:val="454545"/>
          <w:kern w:val="0"/>
          <w14:ligatures w14:val="none"/>
        </w:rPr>
        <w:noBreakHyphen/>
        <w:t>protected files and locked storage, in line with GDPR (ICO, 2018). Data will be retained securely for the period required by the university’s research policy before being permanently deleted.</w:t>
      </w:r>
    </w:p>
    <w:p w14:paraId="4D33A186" w14:textId="77777777" w:rsidR="00903E51" w:rsidRPr="00903E51" w:rsidRDefault="00903E51" w:rsidP="00903E51">
      <w:pPr>
        <w:spacing w:after="0" w:line="240" w:lineRule="auto"/>
        <w:rPr>
          <w:rFonts w:eastAsia="Times New Roman" w:cs="Times New Roman"/>
          <w:color w:val="454545"/>
          <w:kern w:val="0"/>
          <w14:ligatures w14:val="none"/>
        </w:rPr>
      </w:pPr>
    </w:p>
    <w:p w14:paraId="50C874E2"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Ethical approval will be obtained from the university before data collection begins. This ensures that the study meets institutional standards for safety, transparency, and participant protection.</w:t>
      </w:r>
    </w:p>
    <w:p w14:paraId="3538EED3" w14:textId="77777777" w:rsidR="00903E51" w:rsidRPr="00903E51" w:rsidRDefault="00903E51" w:rsidP="00903E51">
      <w:pPr>
        <w:spacing w:after="0" w:line="240" w:lineRule="auto"/>
        <w:rPr>
          <w:rFonts w:eastAsia="Times New Roman" w:cs="Times New Roman"/>
          <w:color w:val="454545"/>
          <w:kern w:val="0"/>
          <w14:ligatures w14:val="none"/>
        </w:rPr>
      </w:pPr>
    </w:p>
    <w:p w14:paraId="642EDDA1"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Power dynamics will be acknowledged. Christensen and Prout (2002) highlight adult–child power imbalances in research. Transparency will be maintained by informing practitioners of the study’s purpose and methods (BERA, 2018).</w:t>
      </w:r>
    </w:p>
    <w:p w14:paraId="74F9668A" w14:textId="77777777" w:rsidR="00903E51" w:rsidRPr="00903E51" w:rsidRDefault="00903E51" w:rsidP="00903E51">
      <w:pPr>
        <w:spacing w:after="0" w:line="240" w:lineRule="auto"/>
        <w:rPr>
          <w:rFonts w:eastAsia="Times New Roman" w:cs="Times New Roman"/>
          <w:color w:val="454545"/>
          <w:kern w:val="0"/>
          <w14:ligatures w14:val="none"/>
        </w:rPr>
      </w:pPr>
    </w:p>
    <w:p w14:paraId="1EDFC268"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Children’s right to privacy will be respected throughout the study. Although observations occur in a group setting, care will be taken not to record sensitive information or private conversations that fall outside the scope of the research question.</w:t>
      </w:r>
    </w:p>
    <w:p w14:paraId="0931D671" w14:textId="77777777" w:rsidR="00903E51" w:rsidRPr="00903E51" w:rsidRDefault="00903E51" w:rsidP="00903E51">
      <w:pPr>
        <w:spacing w:after="0" w:line="240" w:lineRule="auto"/>
        <w:rPr>
          <w:rFonts w:eastAsia="Times New Roman" w:cs="Times New Roman"/>
          <w:color w:val="454545"/>
          <w:kern w:val="0"/>
          <w14:ligatures w14:val="none"/>
        </w:rPr>
      </w:pPr>
    </w:p>
    <w:p w14:paraId="57FC6B8A"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Ethical limitations include the possibility that children may not fully understand consent (Alderson, 2005) and the risk of misinterpreting children’s behaviour (Punch, 2002).</w:t>
      </w:r>
    </w:p>
    <w:p w14:paraId="09B679B5" w14:textId="77777777" w:rsidR="00903E51" w:rsidRPr="00903E51" w:rsidRDefault="00903E51" w:rsidP="00903E51">
      <w:pPr>
        <w:spacing w:after="0" w:line="240" w:lineRule="auto"/>
        <w:rPr>
          <w:rFonts w:eastAsia="Times New Roman" w:cs="Times New Roman"/>
          <w:color w:val="454545"/>
          <w:kern w:val="0"/>
          <w14:ligatures w14:val="none"/>
        </w:rPr>
      </w:pPr>
    </w:p>
    <w:p w14:paraId="3867CFCC"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Conclusion</w:t>
      </w:r>
    </w:p>
    <w:p w14:paraId="019BA40C" w14:textId="77777777" w:rsidR="00903E51" w:rsidRPr="00903E51" w:rsidRDefault="00903E51" w:rsidP="00903E51">
      <w:pPr>
        <w:spacing w:after="0" w:line="240" w:lineRule="auto"/>
        <w:rPr>
          <w:rFonts w:eastAsia="Times New Roman" w:cs="Times New Roman"/>
          <w:color w:val="454545"/>
          <w:kern w:val="0"/>
          <w14:ligatures w14:val="none"/>
        </w:rPr>
      </w:pPr>
    </w:p>
    <w:p w14:paraId="4AF11928"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Outdoor play has been shown throughout this assignment to play a significant role in supporting children’s social development within early years settings. The literature demonstrates that outdoor environments provide opportunities for cooperation, communication, empathy, turn</w:t>
      </w:r>
      <w:r w:rsidRPr="00903E51">
        <w:rPr>
          <w:rFonts w:eastAsia="Times New Roman" w:cs="Times New Roman"/>
          <w:color w:val="454545"/>
          <w:kern w:val="0"/>
          <w14:ligatures w14:val="none"/>
        </w:rPr>
        <w:noBreakHyphen/>
        <w:t>taking, and conflict resolution. Theoretical perspectives such as Vygotsky’s sociocultural theory, Piaget’s stages of play, and Gibson’s concept of affordances help explain why outdoor spaces naturally encourage shared activities and peer interaction. Empirical studies further support the idea that children often engage more confidently and collaboratively outdoors.</w:t>
      </w:r>
    </w:p>
    <w:p w14:paraId="1E5EE13C" w14:textId="77777777" w:rsidR="00903E51" w:rsidRPr="00903E51" w:rsidRDefault="00903E51" w:rsidP="00903E51">
      <w:pPr>
        <w:spacing w:after="0" w:line="240" w:lineRule="auto"/>
        <w:rPr>
          <w:rFonts w:eastAsia="Times New Roman" w:cs="Times New Roman"/>
          <w:color w:val="454545"/>
          <w:kern w:val="0"/>
          <w14:ligatures w14:val="none"/>
        </w:rPr>
      </w:pPr>
    </w:p>
    <w:p w14:paraId="38F38799"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The methodology outlined a small</w:t>
      </w:r>
      <w:r w:rsidRPr="00903E51">
        <w:rPr>
          <w:rFonts w:eastAsia="Times New Roman" w:cs="Times New Roman"/>
          <w:color w:val="454545"/>
          <w:kern w:val="0"/>
          <w14:ligatures w14:val="none"/>
        </w:rPr>
        <w:noBreakHyphen/>
        <w:t>scale qualitative approach designed to capture authentic examples of children’s social behaviour during outdoor play. Purposive sampling, naturalistic observations, and practitioner interviews were selected to gather rich and detailed data. The use of thematic analysis and reflective journaling aimed to strengthen the credibility and trustworthiness of the findings. Ethical considerations were central throughout, with attention given to consent, assent, safeguarding, confidentiality, GDPR, and the rights of young children.</w:t>
      </w:r>
    </w:p>
    <w:p w14:paraId="71A5D963" w14:textId="77777777" w:rsidR="00903E51" w:rsidRPr="00903E51" w:rsidRDefault="00903E51" w:rsidP="00903E51">
      <w:pPr>
        <w:spacing w:after="0" w:line="240" w:lineRule="auto"/>
        <w:rPr>
          <w:rFonts w:eastAsia="Times New Roman" w:cs="Times New Roman"/>
          <w:color w:val="454545"/>
          <w:kern w:val="0"/>
          <w14:ligatures w14:val="none"/>
        </w:rPr>
      </w:pPr>
    </w:p>
    <w:p w14:paraId="02919EE2"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Overall, this study highlights the importance of outdoor play as a meaningful context for social development in early childhood. By examining how children interact, negotiate, and collaborate outdoors, the research contributes to a deeper understanding of how early years practitioners can support social learning. The findings may also help inform future practice and encourage further research, particularly within the Welsh context where evidence remains limited.</w:t>
      </w:r>
    </w:p>
    <w:p w14:paraId="2788F794" w14:textId="77777777" w:rsidR="00903E51" w:rsidRPr="00903E51" w:rsidRDefault="00903E51" w:rsidP="00903E51">
      <w:pPr>
        <w:spacing w:after="0" w:line="240" w:lineRule="auto"/>
        <w:rPr>
          <w:rFonts w:eastAsia="Times New Roman" w:cs="Times New Roman"/>
          <w:color w:val="454545"/>
          <w:kern w:val="0"/>
          <w14:ligatures w14:val="none"/>
        </w:rPr>
      </w:pPr>
    </w:p>
    <w:p w14:paraId="4C8EBA70"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lastRenderedPageBreak/>
        <w:t>Reference list </w:t>
      </w:r>
    </w:p>
    <w:p w14:paraId="1A934B15" w14:textId="77777777" w:rsidR="00903E51" w:rsidRPr="00903E51" w:rsidRDefault="00903E51" w:rsidP="00903E51">
      <w:pPr>
        <w:spacing w:after="0" w:line="240" w:lineRule="auto"/>
        <w:rPr>
          <w:rFonts w:eastAsia="Times New Roman" w:cs="Times New Roman"/>
          <w:color w:val="454545"/>
          <w:kern w:val="0"/>
          <w14:ligatures w14:val="none"/>
        </w:rPr>
      </w:pPr>
    </w:p>
    <w:p w14:paraId="1FB429CA"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Alderson, P. (2005) Designing Ethical Research with Children. London: Institute of Education Press.</w:t>
      </w:r>
    </w:p>
    <w:p w14:paraId="5DB3F6F5" w14:textId="77777777" w:rsidR="00903E51" w:rsidRPr="00903E51" w:rsidRDefault="00903E51" w:rsidP="00903E51">
      <w:pPr>
        <w:spacing w:after="0" w:line="240" w:lineRule="auto"/>
        <w:rPr>
          <w:rFonts w:eastAsia="Times New Roman" w:cs="Times New Roman"/>
          <w:color w:val="454545"/>
          <w:kern w:val="0"/>
          <w14:ligatures w14:val="none"/>
        </w:rPr>
      </w:pPr>
    </w:p>
    <w:p w14:paraId="5C160745"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Alderson, P. and Morrow, V. (2011) The Ethics of Research with Children and Young People. 2nd ed. London: Sage.</w:t>
      </w:r>
    </w:p>
    <w:p w14:paraId="5421BBFB" w14:textId="77777777" w:rsidR="00903E51" w:rsidRPr="00903E51" w:rsidRDefault="00903E51" w:rsidP="00903E51">
      <w:pPr>
        <w:spacing w:after="0" w:line="240" w:lineRule="auto"/>
        <w:rPr>
          <w:rFonts w:eastAsia="Times New Roman" w:cs="Times New Roman"/>
          <w:color w:val="454545"/>
          <w:kern w:val="0"/>
          <w14:ligatures w14:val="none"/>
        </w:rPr>
      </w:pPr>
    </w:p>
    <w:p w14:paraId="2D3564D3"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Bell, J. (2014) Doing Your Research Project. 6th ed. Maidenhead: Open University Press.</w:t>
      </w:r>
    </w:p>
    <w:p w14:paraId="7469C7EB" w14:textId="77777777" w:rsidR="00903E51" w:rsidRPr="00903E51" w:rsidRDefault="00903E51" w:rsidP="00903E51">
      <w:pPr>
        <w:spacing w:after="0" w:line="240" w:lineRule="auto"/>
        <w:rPr>
          <w:rFonts w:eastAsia="Times New Roman" w:cs="Times New Roman"/>
          <w:color w:val="454545"/>
          <w:kern w:val="0"/>
          <w14:ligatures w14:val="none"/>
        </w:rPr>
      </w:pPr>
    </w:p>
    <w:p w14:paraId="19277756"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Bento, G. and Dias, G. (2017) ‘The importance of outdoor play for young children’s healthy development’, Porto Biomedical Journal, 2(5), pp. 157–160.</w:t>
      </w:r>
    </w:p>
    <w:p w14:paraId="1A19E68D" w14:textId="77777777" w:rsidR="00903E51" w:rsidRPr="00903E51" w:rsidRDefault="00903E51" w:rsidP="00903E51">
      <w:pPr>
        <w:spacing w:after="0" w:line="240" w:lineRule="auto"/>
        <w:rPr>
          <w:rFonts w:eastAsia="Times New Roman" w:cs="Times New Roman"/>
          <w:color w:val="454545"/>
          <w:kern w:val="0"/>
          <w14:ligatures w14:val="none"/>
        </w:rPr>
      </w:pPr>
    </w:p>
    <w:p w14:paraId="6EAE6D8F"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BERA (2018) Ethical Guidelines for Educational Research. London: British Educational Research Association.</w:t>
      </w:r>
    </w:p>
    <w:p w14:paraId="34AE0BF3" w14:textId="77777777" w:rsidR="00903E51" w:rsidRPr="00903E51" w:rsidRDefault="00903E51" w:rsidP="00903E51">
      <w:pPr>
        <w:spacing w:after="0" w:line="240" w:lineRule="auto"/>
        <w:rPr>
          <w:rFonts w:eastAsia="Times New Roman" w:cs="Times New Roman"/>
          <w:color w:val="454545"/>
          <w:kern w:val="0"/>
          <w14:ligatures w14:val="none"/>
        </w:rPr>
      </w:pPr>
    </w:p>
    <w:p w14:paraId="140D2CA4"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Bilton, H. (2010) Outdoor Learning in the Early Years: Management and Innovation. 3rd ed. London: Routledge.</w:t>
      </w:r>
    </w:p>
    <w:p w14:paraId="58764E5E" w14:textId="77777777" w:rsidR="00903E51" w:rsidRPr="00903E51" w:rsidRDefault="00903E51" w:rsidP="00903E51">
      <w:pPr>
        <w:spacing w:after="0" w:line="240" w:lineRule="auto"/>
        <w:rPr>
          <w:rFonts w:eastAsia="Times New Roman" w:cs="Times New Roman"/>
          <w:color w:val="454545"/>
          <w:kern w:val="0"/>
          <w14:ligatures w14:val="none"/>
        </w:rPr>
      </w:pPr>
    </w:p>
    <w:p w14:paraId="4DA94E3B"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Braun, V. and Clarke, V. (2006) ‘Using thematic analysis in psychology’, Qualitative Research in Psychology, 3(2), pp. 77–101.</w:t>
      </w:r>
    </w:p>
    <w:p w14:paraId="732AFE5A" w14:textId="77777777" w:rsidR="00903E51" w:rsidRPr="00903E51" w:rsidRDefault="00903E51" w:rsidP="00903E51">
      <w:pPr>
        <w:spacing w:after="0" w:line="240" w:lineRule="auto"/>
        <w:rPr>
          <w:rFonts w:eastAsia="Times New Roman" w:cs="Times New Roman"/>
          <w:color w:val="454545"/>
          <w:kern w:val="0"/>
          <w14:ligatures w14:val="none"/>
        </w:rPr>
      </w:pPr>
    </w:p>
    <w:p w14:paraId="536CC97E"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Braun, V. and Clarke, V. (2013) Successful Qualitative Research. London: Sage.</w:t>
      </w:r>
    </w:p>
    <w:p w14:paraId="0F7AB7ED" w14:textId="77777777" w:rsidR="00903E51" w:rsidRPr="00903E51" w:rsidRDefault="00903E51" w:rsidP="00903E51">
      <w:pPr>
        <w:spacing w:after="0" w:line="240" w:lineRule="auto"/>
        <w:rPr>
          <w:rFonts w:eastAsia="Times New Roman" w:cs="Times New Roman"/>
          <w:color w:val="454545"/>
          <w:kern w:val="0"/>
          <w14:ligatures w14:val="none"/>
        </w:rPr>
      </w:pPr>
    </w:p>
    <w:p w14:paraId="71EEA7B5"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Broadhead, P. (2004) Early Years Play and Learning: Developing Social Skills and Cooperation. London: Routledge.</w:t>
      </w:r>
    </w:p>
    <w:p w14:paraId="6BA4B5D3" w14:textId="77777777" w:rsidR="00903E51" w:rsidRPr="00903E51" w:rsidRDefault="00903E51" w:rsidP="00903E51">
      <w:pPr>
        <w:spacing w:after="0" w:line="240" w:lineRule="auto"/>
        <w:rPr>
          <w:rFonts w:eastAsia="Times New Roman" w:cs="Times New Roman"/>
          <w:color w:val="454545"/>
          <w:kern w:val="0"/>
          <w14:ligatures w14:val="none"/>
        </w:rPr>
      </w:pPr>
    </w:p>
    <w:p w14:paraId="28E04F39"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Christensen, P. and James, A. (2017) Research with Children: Perspectives and Practices. 3rd ed. London: Routledge.</w:t>
      </w:r>
    </w:p>
    <w:p w14:paraId="404C0304" w14:textId="77777777" w:rsidR="00903E51" w:rsidRPr="00903E51" w:rsidRDefault="00903E51" w:rsidP="00903E51">
      <w:pPr>
        <w:spacing w:after="0" w:line="240" w:lineRule="auto"/>
        <w:rPr>
          <w:rFonts w:eastAsia="Times New Roman" w:cs="Times New Roman"/>
          <w:color w:val="454545"/>
          <w:kern w:val="0"/>
          <w14:ligatures w14:val="none"/>
        </w:rPr>
      </w:pPr>
    </w:p>
    <w:p w14:paraId="3F1C8AF8"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Christensen, P. and Prout, A. (2002) ‘Working with ethical symmetry in social research with children’, Childhood, 9(4), pp. 477–497.</w:t>
      </w:r>
    </w:p>
    <w:p w14:paraId="450C0FC1" w14:textId="77777777" w:rsidR="00903E51" w:rsidRPr="00903E51" w:rsidRDefault="00903E51" w:rsidP="00903E51">
      <w:pPr>
        <w:spacing w:after="0" w:line="240" w:lineRule="auto"/>
        <w:rPr>
          <w:rFonts w:eastAsia="Times New Roman" w:cs="Times New Roman"/>
          <w:color w:val="454545"/>
          <w:kern w:val="0"/>
          <w14:ligatures w14:val="none"/>
        </w:rPr>
      </w:pPr>
    </w:p>
    <w:p w14:paraId="7AC539C6"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Cohen, L., Manion, L. and Morrison, K. (2018) Research Methods in Education. 8th ed. London: Routledge.</w:t>
      </w:r>
    </w:p>
    <w:p w14:paraId="7B4658E3" w14:textId="77777777" w:rsidR="00903E51" w:rsidRPr="00903E51" w:rsidRDefault="00903E51" w:rsidP="00903E51">
      <w:pPr>
        <w:spacing w:after="0" w:line="240" w:lineRule="auto"/>
        <w:rPr>
          <w:rFonts w:eastAsia="Times New Roman" w:cs="Times New Roman"/>
          <w:color w:val="454545"/>
          <w:kern w:val="0"/>
          <w14:ligatures w14:val="none"/>
        </w:rPr>
      </w:pPr>
    </w:p>
    <w:p w14:paraId="54CCF553"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Creswell, J.W. (2014) Research Design: Qualitative, Quantitative and Mixed Methods Approaches. 4th ed. London: Sage.</w:t>
      </w:r>
    </w:p>
    <w:p w14:paraId="55EC4A8A" w14:textId="77777777" w:rsidR="00903E51" w:rsidRPr="00903E51" w:rsidRDefault="00903E51" w:rsidP="00903E51">
      <w:pPr>
        <w:spacing w:after="0" w:line="240" w:lineRule="auto"/>
        <w:rPr>
          <w:rFonts w:eastAsia="Times New Roman" w:cs="Times New Roman"/>
          <w:color w:val="454545"/>
          <w:kern w:val="0"/>
          <w14:ligatures w14:val="none"/>
        </w:rPr>
      </w:pPr>
    </w:p>
    <w:p w14:paraId="64F484B8"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Denzin, N. (1978) The Research Act: A Theoretical Introduction to Sociological Methods. New York: McGraw</w:t>
      </w:r>
      <w:r w:rsidRPr="00903E51">
        <w:rPr>
          <w:rFonts w:eastAsia="Times New Roman" w:cs="Times New Roman"/>
          <w:color w:val="454545"/>
          <w:kern w:val="0"/>
          <w14:ligatures w14:val="none"/>
        </w:rPr>
        <w:noBreakHyphen/>
        <w:t>Hill.</w:t>
      </w:r>
    </w:p>
    <w:p w14:paraId="139478F6" w14:textId="77777777" w:rsidR="00903E51" w:rsidRPr="00903E51" w:rsidRDefault="00903E51" w:rsidP="00903E51">
      <w:pPr>
        <w:spacing w:after="0" w:line="240" w:lineRule="auto"/>
        <w:rPr>
          <w:rFonts w:eastAsia="Times New Roman" w:cs="Times New Roman"/>
          <w:color w:val="454545"/>
          <w:kern w:val="0"/>
          <w14:ligatures w14:val="none"/>
        </w:rPr>
      </w:pPr>
    </w:p>
    <w:p w14:paraId="41F14158"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Dyment, J. and Coleman, B. (2012) ‘The intersection of physical activity opportunities and the role of early childhood educators’, Australasian Journal of Early Childhood, 37(1), pp. 81–89.</w:t>
      </w:r>
    </w:p>
    <w:p w14:paraId="5F64ADD9" w14:textId="77777777" w:rsidR="00903E51" w:rsidRPr="00903E51" w:rsidRDefault="00903E51" w:rsidP="00903E51">
      <w:pPr>
        <w:spacing w:after="0" w:line="240" w:lineRule="auto"/>
        <w:rPr>
          <w:rFonts w:eastAsia="Times New Roman" w:cs="Times New Roman"/>
          <w:color w:val="454545"/>
          <w:kern w:val="0"/>
          <w14:ligatures w14:val="none"/>
        </w:rPr>
      </w:pPr>
    </w:p>
    <w:p w14:paraId="346E58B7"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lastRenderedPageBreak/>
        <w:t>Dyment, J. and O’Connell, T. (2013) ‘The impact of outdoor play on children’s social development’, Children, Youth and Environments, 23(1), pp. 67–88.</w:t>
      </w:r>
    </w:p>
    <w:p w14:paraId="084E3A21" w14:textId="77777777" w:rsidR="00903E51" w:rsidRPr="00903E51" w:rsidRDefault="00903E51" w:rsidP="00903E51">
      <w:pPr>
        <w:spacing w:after="0" w:line="240" w:lineRule="auto"/>
        <w:rPr>
          <w:rFonts w:eastAsia="Times New Roman" w:cs="Times New Roman"/>
          <w:color w:val="454545"/>
          <w:kern w:val="0"/>
          <w14:ligatures w14:val="none"/>
        </w:rPr>
      </w:pPr>
    </w:p>
    <w:p w14:paraId="3C18A8B4"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Einarsdottir, J. (2007) ‘Research with children: methodological and ethical challenges’, European Early Childhood Education Research Journal, 15(2), pp. 197–211.</w:t>
      </w:r>
    </w:p>
    <w:p w14:paraId="190CDB62" w14:textId="77777777" w:rsidR="00903E51" w:rsidRPr="00903E51" w:rsidRDefault="00903E51" w:rsidP="00903E51">
      <w:pPr>
        <w:spacing w:after="0" w:line="240" w:lineRule="auto"/>
        <w:rPr>
          <w:rFonts w:eastAsia="Times New Roman" w:cs="Times New Roman"/>
          <w:color w:val="454545"/>
          <w:kern w:val="0"/>
          <w14:ligatures w14:val="none"/>
        </w:rPr>
      </w:pPr>
    </w:p>
    <w:p w14:paraId="1D48F7D9"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Flewitt, R. (2005) ‘Conducting research with young children’, Early Child Development and Care, 175(6), pp. 553–565.</w:t>
      </w:r>
    </w:p>
    <w:p w14:paraId="135910FC" w14:textId="77777777" w:rsidR="00903E51" w:rsidRPr="00903E51" w:rsidRDefault="00903E51" w:rsidP="00903E51">
      <w:pPr>
        <w:spacing w:after="0" w:line="240" w:lineRule="auto"/>
        <w:rPr>
          <w:rFonts w:eastAsia="Times New Roman" w:cs="Times New Roman"/>
          <w:color w:val="454545"/>
          <w:kern w:val="0"/>
          <w14:ligatures w14:val="none"/>
        </w:rPr>
      </w:pPr>
    </w:p>
    <w:p w14:paraId="5AED3C28"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Gibson, J.J. (1979) The Ecological Approach to Visual Perception. Boston: Houghton Mifflin.</w:t>
      </w:r>
    </w:p>
    <w:p w14:paraId="5A29B59A" w14:textId="77777777" w:rsidR="00903E51" w:rsidRPr="00903E51" w:rsidRDefault="00903E51" w:rsidP="00903E51">
      <w:pPr>
        <w:spacing w:after="0" w:line="240" w:lineRule="auto"/>
        <w:rPr>
          <w:rFonts w:eastAsia="Times New Roman" w:cs="Times New Roman"/>
          <w:color w:val="454545"/>
          <w:kern w:val="0"/>
          <w14:ligatures w14:val="none"/>
        </w:rPr>
      </w:pPr>
    </w:p>
    <w:p w14:paraId="0D28C471"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Heft, H. (1988) ‘Affordances of children’s environments’, Children’s Environments Quarterly, 5(3), pp. 29–37.</w:t>
      </w:r>
    </w:p>
    <w:p w14:paraId="7004E150" w14:textId="77777777" w:rsidR="00903E51" w:rsidRPr="00903E51" w:rsidRDefault="00903E51" w:rsidP="00903E51">
      <w:pPr>
        <w:spacing w:after="0" w:line="240" w:lineRule="auto"/>
        <w:rPr>
          <w:rFonts w:eastAsia="Times New Roman" w:cs="Times New Roman"/>
          <w:color w:val="454545"/>
          <w:kern w:val="0"/>
          <w14:ligatures w14:val="none"/>
        </w:rPr>
      </w:pPr>
    </w:p>
    <w:p w14:paraId="0644B819"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Hedges, H. and Cooper, M. (2018) ‘Collaborative play outdoors’, Early Years, 38(4), pp. 375–390.</w:t>
      </w:r>
    </w:p>
    <w:p w14:paraId="15573821" w14:textId="77777777" w:rsidR="00903E51" w:rsidRPr="00903E51" w:rsidRDefault="00903E51" w:rsidP="00903E51">
      <w:pPr>
        <w:spacing w:after="0" w:line="240" w:lineRule="auto"/>
        <w:rPr>
          <w:rFonts w:eastAsia="Times New Roman" w:cs="Times New Roman"/>
          <w:color w:val="454545"/>
          <w:kern w:val="0"/>
          <w14:ligatures w14:val="none"/>
        </w:rPr>
      </w:pPr>
    </w:p>
    <w:p w14:paraId="4E11016F"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ICO (2018) Guide to the General Data Protection Regulation (GDPR). London: Information Commissioner’s Office.</w:t>
      </w:r>
    </w:p>
    <w:p w14:paraId="7D70E90B" w14:textId="77777777" w:rsidR="00903E51" w:rsidRPr="00903E51" w:rsidRDefault="00903E51" w:rsidP="00903E51">
      <w:pPr>
        <w:spacing w:after="0" w:line="240" w:lineRule="auto"/>
        <w:rPr>
          <w:rFonts w:eastAsia="Times New Roman" w:cs="Times New Roman"/>
          <w:color w:val="454545"/>
          <w:kern w:val="0"/>
          <w14:ligatures w14:val="none"/>
        </w:rPr>
      </w:pPr>
    </w:p>
    <w:p w14:paraId="6FA95683"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Kvale, S. and Brinkmann, S. (2015) InterViews: Learning the Craft of Qualitative Research Interviewing. 3rd ed. London: Sage.</w:t>
      </w:r>
    </w:p>
    <w:p w14:paraId="4E68C1AC" w14:textId="77777777" w:rsidR="00903E51" w:rsidRPr="00903E51" w:rsidRDefault="00903E51" w:rsidP="00903E51">
      <w:pPr>
        <w:spacing w:after="0" w:line="240" w:lineRule="auto"/>
        <w:rPr>
          <w:rFonts w:eastAsia="Times New Roman" w:cs="Times New Roman"/>
          <w:color w:val="454545"/>
          <w:kern w:val="0"/>
          <w14:ligatures w14:val="none"/>
        </w:rPr>
      </w:pPr>
    </w:p>
    <w:p w14:paraId="23DAB47C"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Knight, S. (2013) Forest School and Outdoor Learning in the Early Years. 2nd ed. London: Sage.</w:t>
      </w:r>
    </w:p>
    <w:p w14:paraId="184ABA16" w14:textId="77777777" w:rsidR="00903E51" w:rsidRPr="00903E51" w:rsidRDefault="00903E51" w:rsidP="00903E51">
      <w:pPr>
        <w:spacing w:after="0" w:line="240" w:lineRule="auto"/>
        <w:rPr>
          <w:rFonts w:eastAsia="Times New Roman" w:cs="Times New Roman"/>
          <w:color w:val="454545"/>
          <w:kern w:val="0"/>
          <w14:ligatures w14:val="none"/>
        </w:rPr>
      </w:pPr>
    </w:p>
    <w:p w14:paraId="05D1AAF3"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Lincoln, Y.S. and Guba, E.G. (1985) Naturalistic Inquiry. Beverly Hills, CA: Sage.</w:t>
      </w:r>
    </w:p>
    <w:p w14:paraId="5797CE4B" w14:textId="77777777" w:rsidR="00903E51" w:rsidRPr="00903E51" w:rsidRDefault="00903E51" w:rsidP="00903E51">
      <w:pPr>
        <w:spacing w:after="0" w:line="240" w:lineRule="auto"/>
        <w:rPr>
          <w:rFonts w:eastAsia="Times New Roman" w:cs="Times New Roman"/>
          <w:color w:val="454545"/>
          <w:kern w:val="0"/>
          <w14:ligatures w14:val="none"/>
        </w:rPr>
      </w:pPr>
    </w:p>
    <w:p w14:paraId="75D1FEEA"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MacNaughton, G., Rolfe, S. and Siraj</w:t>
      </w:r>
      <w:r w:rsidRPr="00903E51">
        <w:rPr>
          <w:rFonts w:eastAsia="Times New Roman" w:cs="Times New Roman"/>
          <w:color w:val="454545"/>
          <w:kern w:val="0"/>
          <w14:ligatures w14:val="none"/>
        </w:rPr>
        <w:noBreakHyphen/>
        <w:t>Blatchford, I. (2010) Doing Early Childhood Research. 2nd ed. Maidenhead: Open University Press.</w:t>
      </w:r>
    </w:p>
    <w:p w14:paraId="142D57E3" w14:textId="77777777" w:rsidR="00903E51" w:rsidRPr="00903E51" w:rsidRDefault="00903E51" w:rsidP="00903E51">
      <w:pPr>
        <w:spacing w:after="0" w:line="240" w:lineRule="auto"/>
        <w:rPr>
          <w:rFonts w:eastAsia="Times New Roman" w:cs="Times New Roman"/>
          <w:color w:val="454545"/>
          <w:kern w:val="0"/>
          <w14:ligatures w14:val="none"/>
        </w:rPr>
      </w:pPr>
    </w:p>
    <w:p w14:paraId="2A916320"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Maynard, T. and Waters, J. (2007) ‘Learning in the outdoor environment: a missed opportunity?’, Early Years, 27(3), pp. 255–265.</w:t>
      </w:r>
    </w:p>
    <w:p w14:paraId="26949D4A" w14:textId="77777777" w:rsidR="00903E51" w:rsidRPr="00903E51" w:rsidRDefault="00903E51" w:rsidP="00903E51">
      <w:pPr>
        <w:spacing w:after="0" w:line="240" w:lineRule="auto"/>
        <w:rPr>
          <w:rFonts w:eastAsia="Times New Roman" w:cs="Times New Roman"/>
          <w:color w:val="454545"/>
          <w:kern w:val="0"/>
          <w14:ligatures w14:val="none"/>
        </w:rPr>
      </w:pPr>
    </w:p>
    <w:p w14:paraId="2E62F17B"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McInnes, K., Howard, J., Crowley, K. and Miles, G. (2013) ‘The nature of adult–child interaction in the early years classroom’, British Journal of Educational Psychology, 83(1), pp. 103–119.</w:t>
      </w:r>
    </w:p>
    <w:p w14:paraId="24D6CE1B" w14:textId="77777777" w:rsidR="00903E51" w:rsidRPr="00903E51" w:rsidRDefault="00903E51" w:rsidP="00903E51">
      <w:pPr>
        <w:spacing w:after="0" w:line="240" w:lineRule="auto"/>
        <w:rPr>
          <w:rFonts w:eastAsia="Times New Roman" w:cs="Times New Roman"/>
          <w:color w:val="454545"/>
          <w:kern w:val="0"/>
          <w14:ligatures w14:val="none"/>
        </w:rPr>
      </w:pPr>
    </w:p>
    <w:p w14:paraId="5FADB427"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Mukherji, P. and Albon, D. (2018) Research Methods in Early Childhood. 3rd ed. London: Sage.</w:t>
      </w:r>
    </w:p>
    <w:p w14:paraId="25E52DE9" w14:textId="77777777" w:rsidR="00903E51" w:rsidRPr="00903E51" w:rsidRDefault="00903E51" w:rsidP="00903E51">
      <w:pPr>
        <w:spacing w:after="0" w:line="240" w:lineRule="auto"/>
        <w:rPr>
          <w:rFonts w:eastAsia="Times New Roman" w:cs="Times New Roman"/>
          <w:color w:val="454545"/>
          <w:kern w:val="0"/>
          <w14:ligatures w14:val="none"/>
        </w:rPr>
      </w:pPr>
    </w:p>
    <w:p w14:paraId="641F1324"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NSPCC (2020) Safeguarding and Child Protection Policy. London: NSPCC.</w:t>
      </w:r>
    </w:p>
    <w:p w14:paraId="172E4192" w14:textId="77777777" w:rsidR="00903E51" w:rsidRPr="00903E51" w:rsidRDefault="00903E51" w:rsidP="00903E51">
      <w:pPr>
        <w:spacing w:after="0" w:line="240" w:lineRule="auto"/>
        <w:rPr>
          <w:rFonts w:eastAsia="Times New Roman" w:cs="Times New Roman"/>
          <w:color w:val="454545"/>
          <w:kern w:val="0"/>
          <w14:ligatures w14:val="none"/>
        </w:rPr>
      </w:pPr>
    </w:p>
    <w:p w14:paraId="64962A52"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Piaget, J. (1962) Play, Dreams and Imitation in Childhood. London: Routledge &amp; Kegan Paul.</w:t>
      </w:r>
    </w:p>
    <w:p w14:paraId="6FE2730A" w14:textId="77777777" w:rsidR="00903E51" w:rsidRPr="00903E51" w:rsidRDefault="00903E51" w:rsidP="00903E51">
      <w:pPr>
        <w:spacing w:after="0" w:line="240" w:lineRule="auto"/>
        <w:rPr>
          <w:rFonts w:eastAsia="Times New Roman" w:cs="Times New Roman"/>
          <w:color w:val="454545"/>
          <w:kern w:val="0"/>
          <w14:ligatures w14:val="none"/>
        </w:rPr>
      </w:pPr>
    </w:p>
    <w:p w14:paraId="5D642C02"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lastRenderedPageBreak/>
        <w:t>Punch, S. (2002) ‘Research with children: the same or different from research with adults?’, Childhood, 9(3), pp. 321–341.</w:t>
      </w:r>
    </w:p>
    <w:p w14:paraId="66F93FC9" w14:textId="77777777" w:rsidR="00903E51" w:rsidRPr="00903E51" w:rsidRDefault="00903E51" w:rsidP="00903E51">
      <w:pPr>
        <w:spacing w:after="0" w:line="240" w:lineRule="auto"/>
        <w:rPr>
          <w:rFonts w:eastAsia="Times New Roman" w:cs="Times New Roman"/>
          <w:color w:val="454545"/>
          <w:kern w:val="0"/>
          <w14:ligatures w14:val="none"/>
        </w:rPr>
      </w:pPr>
    </w:p>
    <w:p w14:paraId="0310F3EA"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Roberts</w:t>
      </w:r>
      <w:r w:rsidRPr="00903E51">
        <w:rPr>
          <w:rFonts w:eastAsia="Times New Roman" w:cs="Times New Roman"/>
          <w:color w:val="454545"/>
          <w:kern w:val="0"/>
          <w14:ligatures w14:val="none"/>
        </w:rPr>
        <w:noBreakHyphen/>
        <w:t>Holmes, G. (2018) Doing Your Early Years Research Project. 4th ed. London: Sage.</w:t>
      </w:r>
    </w:p>
    <w:p w14:paraId="3C6A0F15" w14:textId="77777777" w:rsidR="00903E51" w:rsidRPr="00903E51" w:rsidRDefault="00903E51" w:rsidP="00903E51">
      <w:pPr>
        <w:spacing w:after="0" w:line="240" w:lineRule="auto"/>
        <w:rPr>
          <w:rFonts w:eastAsia="Times New Roman" w:cs="Times New Roman"/>
          <w:color w:val="454545"/>
          <w:kern w:val="0"/>
          <w14:ligatures w14:val="none"/>
        </w:rPr>
      </w:pPr>
    </w:p>
    <w:p w14:paraId="4BD15F83"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Robson, C. (2011) Real World Research. 3rd ed. Chichester: Wiley.</w:t>
      </w:r>
    </w:p>
    <w:p w14:paraId="3A4A0EFD" w14:textId="77777777" w:rsidR="00903E51" w:rsidRPr="00903E51" w:rsidRDefault="00903E51" w:rsidP="00903E51">
      <w:pPr>
        <w:spacing w:after="0" w:line="240" w:lineRule="auto"/>
        <w:rPr>
          <w:rFonts w:eastAsia="Times New Roman" w:cs="Times New Roman"/>
          <w:color w:val="454545"/>
          <w:kern w:val="0"/>
          <w14:ligatures w14:val="none"/>
        </w:rPr>
      </w:pPr>
    </w:p>
    <w:p w14:paraId="462DD70D"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Shenton, A. (2004) ‘Strategies for ensuring trustworthiness in qualitative research projects’, Education for Information, 22(2), pp. 63–75.</w:t>
      </w:r>
    </w:p>
    <w:p w14:paraId="679FF113" w14:textId="77777777" w:rsidR="00903E51" w:rsidRPr="00903E51" w:rsidRDefault="00903E51" w:rsidP="00903E51">
      <w:pPr>
        <w:spacing w:after="0" w:line="240" w:lineRule="auto"/>
        <w:rPr>
          <w:rFonts w:eastAsia="Times New Roman" w:cs="Times New Roman"/>
          <w:color w:val="454545"/>
          <w:kern w:val="0"/>
          <w14:ligatures w14:val="none"/>
        </w:rPr>
      </w:pPr>
    </w:p>
    <w:p w14:paraId="7DF0608E"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Siraj</w:t>
      </w:r>
      <w:r w:rsidRPr="00903E51">
        <w:rPr>
          <w:rFonts w:eastAsia="Times New Roman" w:cs="Times New Roman"/>
          <w:color w:val="454545"/>
          <w:kern w:val="0"/>
          <w14:ligatures w14:val="none"/>
        </w:rPr>
        <w:noBreakHyphen/>
        <w:t>Blatchford, I. (2009) ‘Conceptualising progression in the pedagogy of play and sustained shared thinking’, Educational and Child Psychology, 26(2), pp. 77–89.</w:t>
      </w:r>
    </w:p>
    <w:p w14:paraId="09B5350E" w14:textId="77777777" w:rsidR="00903E51" w:rsidRPr="00903E51" w:rsidRDefault="00903E51" w:rsidP="00903E51">
      <w:pPr>
        <w:spacing w:after="0" w:line="240" w:lineRule="auto"/>
        <w:rPr>
          <w:rFonts w:eastAsia="Times New Roman" w:cs="Times New Roman"/>
          <w:color w:val="454545"/>
          <w:kern w:val="0"/>
          <w14:ligatures w14:val="none"/>
        </w:rPr>
      </w:pPr>
    </w:p>
    <w:p w14:paraId="07C10B2B"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Smith, P.K. and Pellegrini, A. (2013) Learning Through Play. London: Routledge.</w:t>
      </w:r>
    </w:p>
    <w:p w14:paraId="13D62320" w14:textId="77777777" w:rsidR="00903E51" w:rsidRPr="00903E51" w:rsidRDefault="00903E51" w:rsidP="00903E51">
      <w:pPr>
        <w:spacing w:after="0" w:line="240" w:lineRule="auto"/>
        <w:rPr>
          <w:rFonts w:eastAsia="Times New Roman" w:cs="Times New Roman"/>
          <w:color w:val="454545"/>
          <w:kern w:val="0"/>
          <w14:ligatures w14:val="none"/>
        </w:rPr>
      </w:pPr>
    </w:p>
    <w:p w14:paraId="190E4670"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Tovey, H. (2007) Playing Outdoors: Spaces and Places, Risk and Challenge. Maidenhead: Open University Press.</w:t>
      </w:r>
    </w:p>
    <w:p w14:paraId="53B0F8EC" w14:textId="77777777" w:rsidR="00903E51" w:rsidRPr="00903E51" w:rsidRDefault="00903E51" w:rsidP="00903E51">
      <w:pPr>
        <w:spacing w:after="0" w:line="240" w:lineRule="auto"/>
        <w:rPr>
          <w:rFonts w:eastAsia="Times New Roman" w:cs="Times New Roman"/>
          <w:color w:val="454545"/>
          <w:kern w:val="0"/>
          <w14:ligatures w14:val="none"/>
        </w:rPr>
      </w:pPr>
    </w:p>
    <w:p w14:paraId="474A6574"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UNCRC (1989) United Nations Convention on the Rights of the Child. Geneva: United Nations.</w:t>
      </w:r>
    </w:p>
    <w:p w14:paraId="0C22E651" w14:textId="77777777" w:rsidR="00903E51" w:rsidRPr="00903E51" w:rsidRDefault="00903E51" w:rsidP="00903E51">
      <w:pPr>
        <w:spacing w:after="0" w:line="240" w:lineRule="auto"/>
        <w:rPr>
          <w:rFonts w:eastAsia="Times New Roman" w:cs="Times New Roman"/>
          <w:color w:val="454545"/>
          <w:kern w:val="0"/>
          <w14:ligatures w14:val="none"/>
        </w:rPr>
      </w:pPr>
    </w:p>
    <w:p w14:paraId="31EA565E"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Vygotsky, L.S. (1978) Mind in Society: The Development of Higher Psychological Processes. Cambridge, MA: Harvard University Press.</w:t>
      </w:r>
    </w:p>
    <w:p w14:paraId="06001CAF" w14:textId="77777777" w:rsidR="00903E51" w:rsidRPr="00903E51" w:rsidRDefault="00903E51" w:rsidP="00903E51">
      <w:pPr>
        <w:spacing w:after="0" w:line="240" w:lineRule="auto"/>
        <w:rPr>
          <w:rFonts w:eastAsia="Times New Roman" w:cs="Times New Roman"/>
          <w:color w:val="454545"/>
          <w:kern w:val="0"/>
          <w14:ligatures w14:val="none"/>
        </w:rPr>
      </w:pPr>
    </w:p>
    <w:p w14:paraId="4D591275"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Waite, S. et al. (2016) Children Learning Outside the Classroom: From Birth to Eleven. London: Sage.</w:t>
      </w:r>
    </w:p>
    <w:p w14:paraId="6D25E4C6" w14:textId="77777777" w:rsidR="00903E51" w:rsidRPr="00903E51" w:rsidRDefault="00903E51" w:rsidP="00903E51">
      <w:pPr>
        <w:spacing w:after="0" w:line="240" w:lineRule="auto"/>
        <w:rPr>
          <w:rFonts w:eastAsia="Times New Roman" w:cs="Times New Roman"/>
          <w:color w:val="454545"/>
          <w:kern w:val="0"/>
          <w14:ligatures w14:val="none"/>
        </w:rPr>
      </w:pPr>
    </w:p>
    <w:p w14:paraId="61C66AB3" w14:textId="77777777" w:rsidR="00903E51" w:rsidRPr="00903E51" w:rsidRDefault="00903E51" w:rsidP="00903E51">
      <w:pPr>
        <w:spacing w:after="0" w:line="240" w:lineRule="auto"/>
        <w:rPr>
          <w:rFonts w:eastAsia="Times New Roman" w:cs="Times New Roman"/>
          <w:color w:val="454545"/>
          <w:kern w:val="0"/>
          <w14:ligatures w14:val="none"/>
        </w:rPr>
      </w:pPr>
      <w:r w:rsidRPr="00903E51">
        <w:rPr>
          <w:rFonts w:eastAsia="Times New Roman" w:cs="Times New Roman"/>
          <w:color w:val="454545"/>
          <w:kern w:val="0"/>
          <w14:ligatures w14:val="none"/>
        </w:rPr>
        <w:t>Waller, T. et al. (2017) The SAGE Handbook of Outdoor Play and Learning. London: Sage.</w:t>
      </w:r>
    </w:p>
    <w:p w14:paraId="1184B02F" w14:textId="77777777" w:rsidR="00903E51" w:rsidRPr="00903E51" w:rsidRDefault="00903E51"/>
    <w:p w14:paraId="66D3E691" w14:textId="77777777" w:rsidR="00903E51" w:rsidRPr="00903E51" w:rsidRDefault="00903E51"/>
    <w:sectPr w:rsidR="00903E51" w:rsidRPr="00903E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3E51"/>
    <w:rsid w:val="00190F4D"/>
    <w:rsid w:val="008F4350"/>
    <w:rsid w:val="00903E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74E323"/>
  <w15:chartTrackingRefBased/>
  <w15:docId w15:val="{FED9BB9A-422E-8F41-99B7-5938531B2E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3E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3E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3E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3E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3E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3E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3E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3E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3E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3E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3E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3E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3E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3E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3E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3E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3E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3E51"/>
    <w:rPr>
      <w:rFonts w:eastAsiaTheme="majorEastAsia" w:cstheme="majorBidi"/>
      <w:color w:val="272727" w:themeColor="text1" w:themeTint="D8"/>
    </w:rPr>
  </w:style>
  <w:style w:type="paragraph" w:styleId="Title">
    <w:name w:val="Title"/>
    <w:basedOn w:val="Normal"/>
    <w:next w:val="Normal"/>
    <w:link w:val="TitleChar"/>
    <w:uiPriority w:val="10"/>
    <w:qFormat/>
    <w:rsid w:val="00903E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3E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3E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3E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3E51"/>
    <w:pPr>
      <w:spacing w:before="160"/>
      <w:jc w:val="center"/>
    </w:pPr>
    <w:rPr>
      <w:i/>
      <w:iCs/>
      <w:color w:val="404040" w:themeColor="text1" w:themeTint="BF"/>
    </w:rPr>
  </w:style>
  <w:style w:type="character" w:customStyle="1" w:styleId="QuoteChar">
    <w:name w:val="Quote Char"/>
    <w:basedOn w:val="DefaultParagraphFont"/>
    <w:link w:val="Quote"/>
    <w:uiPriority w:val="29"/>
    <w:rsid w:val="00903E51"/>
    <w:rPr>
      <w:i/>
      <w:iCs/>
      <w:color w:val="404040" w:themeColor="text1" w:themeTint="BF"/>
    </w:rPr>
  </w:style>
  <w:style w:type="paragraph" w:styleId="ListParagraph">
    <w:name w:val="List Paragraph"/>
    <w:basedOn w:val="Normal"/>
    <w:uiPriority w:val="34"/>
    <w:qFormat/>
    <w:rsid w:val="00903E51"/>
    <w:pPr>
      <w:ind w:left="720"/>
      <w:contextualSpacing/>
    </w:pPr>
  </w:style>
  <w:style w:type="character" w:styleId="IntenseEmphasis">
    <w:name w:val="Intense Emphasis"/>
    <w:basedOn w:val="DefaultParagraphFont"/>
    <w:uiPriority w:val="21"/>
    <w:qFormat/>
    <w:rsid w:val="00903E51"/>
    <w:rPr>
      <w:i/>
      <w:iCs/>
      <w:color w:val="0F4761" w:themeColor="accent1" w:themeShade="BF"/>
    </w:rPr>
  </w:style>
  <w:style w:type="paragraph" w:styleId="IntenseQuote">
    <w:name w:val="Intense Quote"/>
    <w:basedOn w:val="Normal"/>
    <w:next w:val="Normal"/>
    <w:link w:val="IntenseQuoteChar"/>
    <w:uiPriority w:val="30"/>
    <w:qFormat/>
    <w:rsid w:val="00903E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3E51"/>
    <w:rPr>
      <w:i/>
      <w:iCs/>
      <w:color w:val="0F4761" w:themeColor="accent1" w:themeShade="BF"/>
    </w:rPr>
  </w:style>
  <w:style w:type="character" w:styleId="IntenseReference">
    <w:name w:val="Intense Reference"/>
    <w:basedOn w:val="DefaultParagraphFont"/>
    <w:uiPriority w:val="32"/>
    <w:qFormat/>
    <w:rsid w:val="00903E5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3063</Words>
  <Characters>17463</Characters>
  <Application>Microsoft Office Word</Application>
  <DocSecurity>0</DocSecurity>
  <Lines>145</Lines>
  <Paragraphs>40</Paragraphs>
  <ScaleCrop>false</ScaleCrop>
  <Company/>
  <LinksUpToDate>false</LinksUpToDate>
  <CharactersWithSpaces>20486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Fry (2505762)</dc:creator>
  <cp:keywords/>
  <dc:description/>
  <cp:lastModifiedBy>Shannon Fry (2505762)</cp:lastModifiedBy>
  <cp:revision>2</cp:revision>
  <dcterms:created xsi:type="dcterms:W3CDTF">2026-05-24T22:26:00Z</dcterms:created>
  <dcterms:modified xsi:type="dcterms:W3CDTF">2026-05-24T22:26:00Z</dcterms:modified>
</cp:coreProperties>
</file>