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B04C7C" w14:textId="4459E4D6" w:rsidR="003627DF" w:rsidRPr="003627DF" w:rsidRDefault="003627DF" w:rsidP="003627DF">
      <w:pPr>
        <w:spacing w:line="360" w:lineRule="auto"/>
        <w:rPr>
          <w:rFonts w:ascii="Arial" w:hAnsi="Arial" w:cs="Arial"/>
          <w:sz w:val="24"/>
          <w:szCs w:val="24"/>
        </w:rPr>
      </w:pPr>
    </w:p>
    <w:p w14:paraId="2877026A" w14:textId="77777777" w:rsidR="00782976" w:rsidRPr="0055462B" w:rsidRDefault="00782976" w:rsidP="00782976">
      <w:pPr>
        <w:rPr>
          <w:b/>
          <w:bCs/>
          <w:sz w:val="34"/>
          <w:szCs w:val="34"/>
        </w:rPr>
      </w:pPr>
      <w:r w:rsidRPr="0055462B">
        <w:rPr>
          <w:noProof/>
        </w:rPr>
        <w:drawing>
          <wp:inline distT="0" distB="0" distL="0" distR="0" wp14:anchorId="042CC989" wp14:editId="453C3A8D">
            <wp:extent cx="2466975" cy="1038225"/>
            <wp:effectExtent l="0" t="0" r="9525" b="9525"/>
            <wp:docPr id="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AI-generated content may be incorrect."/>
                    <pic:cNvPicPr/>
                  </pic:nvPicPr>
                  <pic:blipFill>
                    <a:blip r:embed="rId7"/>
                    <a:stretch>
                      <a:fillRect/>
                    </a:stretch>
                  </pic:blipFill>
                  <pic:spPr>
                    <a:xfrm>
                      <a:off x="0" y="0"/>
                      <a:ext cx="2466975" cy="1038225"/>
                    </a:xfrm>
                    <a:prstGeom prst="rect">
                      <a:avLst/>
                    </a:prstGeom>
                  </pic:spPr>
                </pic:pic>
              </a:graphicData>
            </a:graphic>
          </wp:inline>
        </w:drawing>
      </w:r>
    </w:p>
    <w:p w14:paraId="78A466D5" w14:textId="77777777" w:rsidR="00782976" w:rsidRPr="007606BB" w:rsidRDefault="00782976" w:rsidP="00782976">
      <w:pPr>
        <w:jc w:val="center"/>
        <w:rPr>
          <w:b/>
          <w:bCs/>
          <w:sz w:val="30"/>
          <w:szCs w:val="30"/>
        </w:rPr>
      </w:pPr>
      <w:r w:rsidRPr="007606BB">
        <w:rPr>
          <w:rFonts w:cs="Arial"/>
          <w:b/>
          <w:bCs/>
          <w:sz w:val="30"/>
          <w:szCs w:val="30"/>
        </w:rPr>
        <w:t>Master of Business Administration</w:t>
      </w:r>
    </w:p>
    <w:p w14:paraId="560A00C6" w14:textId="79D9C457" w:rsidR="00782976" w:rsidRPr="003313A9" w:rsidRDefault="00782976" w:rsidP="00782976">
      <w:pPr>
        <w:jc w:val="center"/>
        <w:rPr>
          <w:b/>
          <w:bCs/>
          <w:sz w:val="36"/>
          <w:szCs w:val="32"/>
        </w:rPr>
      </w:pPr>
      <w:r w:rsidRPr="003313A9">
        <w:rPr>
          <w:b/>
          <w:bCs/>
          <w:sz w:val="36"/>
          <w:szCs w:val="32"/>
        </w:rPr>
        <w:t xml:space="preserve">Module: </w:t>
      </w:r>
      <w:r>
        <w:rPr>
          <w:b/>
          <w:bCs/>
          <w:sz w:val="36"/>
          <w:szCs w:val="32"/>
        </w:rPr>
        <w:t>Strategic Management</w:t>
      </w:r>
    </w:p>
    <w:p w14:paraId="58CC8E76" w14:textId="0016CB75" w:rsidR="00782976" w:rsidRPr="003313A9" w:rsidRDefault="00782976" w:rsidP="00782976">
      <w:pPr>
        <w:jc w:val="center"/>
        <w:rPr>
          <w:b/>
          <w:bCs/>
          <w:sz w:val="36"/>
          <w:szCs w:val="32"/>
        </w:rPr>
      </w:pPr>
      <w:r w:rsidRPr="003313A9">
        <w:rPr>
          <w:b/>
          <w:bCs/>
          <w:sz w:val="36"/>
          <w:szCs w:val="32"/>
        </w:rPr>
        <w:t>Module code: LC</w:t>
      </w:r>
      <w:r>
        <w:rPr>
          <w:b/>
          <w:bCs/>
          <w:sz w:val="36"/>
          <w:szCs w:val="32"/>
        </w:rPr>
        <w:t>M</w:t>
      </w:r>
      <w:r w:rsidRPr="003313A9">
        <w:rPr>
          <w:b/>
          <w:bCs/>
          <w:sz w:val="36"/>
          <w:szCs w:val="32"/>
        </w:rPr>
        <w:t>B</w:t>
      </w:r>
      <w:r>
        <w:rPr>
          <w:b/>
          <w:bCs/>
          <w:sz w:val="36"/>
          <w:szCs w:val="32"/>
        </w:rPr>
        <w:t>70</w:t>
      </w:r>
      <w:r>
        <w:rPr>
          <w:b/>
          <w:bCs/>
          <w:sz w:val="36"/>
          <w:szCs w:val="32"/>
        </w:rPr>
        <w:t>03</w:t>
      </w:r>
    </w:p>
    <w:p w14:paraId="3A82193D" w14:textId="69760D18" w:rsidR="00782976" w:rsidRPr="003313A9" w:rsidRDefault="00782976" w:rsidP="00782976">
      <w:pPr>
        <w:jc w:val="center"/>
        <w:rPr>
          <w:b/>
          <w:bCs/>
          <w:sz w:val="36"/>
          <w:szCs w:val="32"/>
        </w:rPr>
      </w:pPr>
      <w:r w:rsidRPr="003313A9">
        <w:rPr>
          <w:b/>
          <w:bCs/>
          <w:sz w:val="36"/>
          <w:szCs w:val="32"/>
        </w:rPr>
        <w:t xml:space="preserve">Lecturer: </w:t>
      </w:r>
      <w:r>
        <w:rPr>
          <w:b/>
          <w:bCs/>
          <w:sz w:val="36"/>
          <w:szCs w:val="32"/>
        </w:rPr>
        <w:t>Simon Chatterton</w:t>
      </w:r>
      <w:r w:rsidRPr="00B2649E">
        <w:rPr>
          <w:rFonts w:ascii="Arial" w:hAnsi="Arial" w:cs="Arial"/>
          <w:b/>
        </w:rPr>
        <w:t xml:space="preserve">  </w:t>
      </w:r>
    </w:p>
    <w:p w14:paraId="2C0F00DE" w14:textId="79B0CB29" w:rsidR="00782976" w:rsidRDefault="00782976" w:rsidP="00782976">
      <w:pPr>
        <w:jc w:val="center"/>
        <w:rPr>
          <w:b/>
          <w:bCs/>
          <w:sz w:val="36"/>
          <w:szCs w:val="32"/>
        </w:rPr>
      </w:pPr>
      <w:r w:rsidRPr="003313A9">
        <w:rPr>
          <w:b/>
          <w:bCs/>
          <w:sz w:val="36"/>
          <w:szCs w:val="32"/>
        </w:rPr>
        <w:t xml:space="preserve">Assignment Title: </w:t>
      </w:r>
      <w:r>
        <w:rPr>
          <w:b/>
          <w:bCs/>
          <w:sz w:val="36"/>
          <w:szCs w:val="32"/>
        </w:rPr>
        <w:t>Individual report</w:t>
      </w:r>
      <w:r w:rsidRPr="003313A9">
        <w:rPr>
          <w:b/>
          <w:bCs/>
          <w:sz w:val="36"/>
          <w:szCs w:val="32"/>
        </w:rPr>
        <w:t xml:space="preserve"> </w:t>
      </w:r>
    </w:p>
    <w:p w14:paraId="56A117F8" w14:textId="77777777" w:rsidR="00782976" w:rsidRPr="003313A9" w:rsidRDefault="00782976" w:rsidP="00782976">
      <w:pPr>
        <w:jc w:val="center"/>
        <w:rPr>
          <w:b/>
          <w:bCs/>
          <w:sz w:val="36"/>
          <w:szCs w:val="32"/>
        </w:rPr>
      </w:pPr>
      <w:r w:rsidRPr="003313A9">
        <w:rPr>
          <w:b/>
          <w:bCs/>
          <w:sz w:val="36"/>
          <w:szCs w:val="32"/>
        </w:rPr>
        <w:t>Student ID: 2014968</w:t>
      </w:r>
    </w:p>
    <w:p w14:paraId="7D215E54" w14:textId="77777777" w:rsidR="00782976" w:rsidRPr="003313A9" w:rsidRDefault="00782976" w:rsidP="00782976">
      <w:pPr>
        <w:jc w:val="center"/>
        <w:rPr>
          <w:b/>
          <w:bCs/>
          <w:sz w:val="36"/>
          <w:szCs w:val="32"/>
        </w:rPr>
      </w:pPr>
      <w:r w:rsidRPr="003313A9">
        <w:rPr>
          <w:b/>
          <w:bCs/>
          <w:sz w:val="36"/>
          <w:szCs w:val="32"/>
        </w:rPr>
        <w:t>Student Name: SILVIU-MIRCEA MOISA</w:t>
      </w:r>
    </w:p>
    <w:p w14:paraId="47ACD037" w14:textId="77777777" w:rsidR="003627DF" w:rsidRPr="003627DF" w:rsidRDefault="003627DF" w:rsidP="003627DF">
      <w:pPr>
        <w:spacing w:line="360" w:lineRule="auto"/>
        <w:rPr>
          <w:rFonts w:ascii="Arial" w:hAnsi="Arial" w:cs="Arial"/>
          <w:sz w:val="24"/>
          <w:szCs w:val="24"/>
        </w:rPr>
      </w:pPr>
      <w:r w:rsidRPr="003627DF">
        <w:rPr>
          <w:rFonts w:ascii="Arial" w:hAnsi="Arial" w:cs="Arial"/>
          <w:sz w:val="24"/>
          <w:szCs w:val="24"/>
        </w:rPr>
        <w:br w:type="page"/>
      </w:r>
    </w:p>
    <w:p w14:paraId="40FCC70B" w14:textId="30D30194" w:rsidR="00B35093" w:rsidRDefault="00B35093">
      <w:pPr>
        <w:pStyle w:val="TOC1"/>
        <w:tabs>
          <w:tab w:val="right" w:leader="dot" w:pos="9016"/>
        </w:tabs>
        <w:rPr>
          <w:rFonts w:eastAsiaTheme="minorEastAsia"/>
          <w:noProof/>
          <w:sz w:val="24"/>
          <w:szCs w:val="24"/>
          <w:lang w:eastAsia="en-GB"/>
        </w:rPr>
      </w:pPr>
      <w:r>
        <w:rPr>
          <w:rFonts w:ascii="Arial" w:hAnsi="Arial" w:cs="Arial"/>
          <w:sz w:val="24"/>
          <w:szCs w:val="24"/>
        </w:rPr>
        <w:lastRenderedPageBreak/>
        <w:fldChar w:fldCharType="begin"/>
      </w:r>
      <w:r>
        <w:rPr>
          <w:rFonts w:ascii="Arial" w:hAnsi="Arial" w:cs="Arial"/>
          <w:sz w:val="24"/>
          <w:szCs w:val="24"/>
        </w:rPr>
        <w:instrText xml:space="preserve"> TOC \o "1-2" \h \z \u </w:instrText>
      </w:r>
      <w:r>
        <w:rPr>
          <w:rFonts w:ascii="Arial" w:hAnsi="Arial" w:cs="Arial"/>
          <w:sz w:val="24"/>
          <w:szCs w:val="24"/>
        </w:rPr>
        <w:fldChar w:fldCharType="separate"/>
      </w:r>
      <w:hyperlink w:anchor="_Toc215082484" w:history="1">
        <w:r w:rsidRPr="002551B3">
          <w:rPr>
            <w:rStyle w:val="Hyperlink"/>
            <w:rFonts w:ascii="Arial" w:hAnsi="Arial" w:cs="Arial"/>
            <w:noProof/>
          </w:rPr>
          <w:t>1. Selection of Organisation and Target Market</w:t>
        </w:r>
        <w:r>
          <w:rPr>
            <w:noProof/>
            <w:webHidden/>
          </w:rPr>
          <w:tab/>
        </w:r>
        <w:r>
          <w:rPr>
            <w:noProof/>
            <w:webHidden/>
          </w:rPr>
          <w:fldChar w:fldCharType="begin"/>
        </w:r>
        <w:r>
          <w:rPr>
            <w:noProof/>
            <w:webHidden/>
          </w:rPr>
          <w:instrText xml:space="preserve"> PAGEREF _Toc215082484 \h </w:instrText>
        </w:r>
        <w:r>
          <w:rPr>
            <w:noProof/>
            <w:webHidden/>
          </w:rPr>
        </w:r>
        <w:r>
          <w:rPr>
            <w:noProof/>
            <w:webHidden/>
          </w:rPr>
          <w:fldChar w:fldCharType="separate"/>
        </w:r>
        <w:r>
          <w:rPr>
            <w:noProof/>
            <w:webHidden/>
          </w:rPr>
          <w:t>3</w:t>
        </w:r>
        <w:r>
          <w:rPr>
            <w:noProof/>
            <w:webHidden/>
          </w:rPr>
          <w:fldChar w:fldCharType="end"/>
        </w:r>
      </w:hyperlink>
    </w:p>
    <w:p w14:paraId="3C6CBFF9" w14:textId="041A1976" w:rsidR="00B35093" w:rsidRDefault="00B35093">
      <w:pPr>
        <w:pStyle w:val="TOC1"/>
        <w:tabs>
          <w:tab w:val="right" w:leader="dot" w:pos="9016"/>
        </w:tabs>
        <w:rPr>
          <w:rFonts w:eastAsiaTheme="minorEastAsia"/>
          <w:noProof/>
          <w:sz w:val="24"/>
          <w:szCs w:val="24"/>
          <w:lang w:eastAsia="en-GB"/>
        </w:rPr>
      </w:pPr>
      <w:hyperlink w:anchor="_Toc215082485" w:history="1">
        <w:r w:rsidRPr="002551B3">
          <w:rPr>
            <w:rStyle w:val="Hyperlink"/>
            <w:rFonts w:ascii="Arial" w:hAnsi="Arial" w:cs="Arial"/>
            <w:noProof/>
          </w:rPr>
          <w:t>2. Comprehensive Strategic Analysis</w:t>
        </w:r>
        <w:r>
          <w:rPr>
            <w:noProof/>
            <w:webHidden/>
          </w:rPr>
          <w:tab/>
        </w:r>
        <w:r>
          <w:rPr>
            <w:noProof/>
            <w:webHidden/>
          </w:rPr>
          <w:fldChar w:fldCharType="begin"/>
        </w:r>
        <w:r>
          <w:rPr>
            <w:noProof/>
            <w:webHidden/>
          </w:rPr>
          <w:instrText xml:space="preserve"> PAGEREF _Toc215082485 \h </w:instrText>
        </w:r>
        <w:r>
          <w:rPr>
            <w:noProof/>
            <w:webHidden/>
          </w:rPr>
        </w:r>
        <w:r>
          <w:rPr>
            <w:noProof/>
            <w:webHidden/>
          </w:rPr>
          <w:fldChar w:fldCharType="separate"/>
        </w:r>
        <w:r>
          <w:rPr>
            <w:noProof/>
            <w:webHidden/>
          </w:rPr>
          <w:t>6</w:t>
        </w:r>
        <w:r>
          <w:rPr>
            <w:noProof/>
            <w:webHidden/>
          </w:rPr>
          <w:fldChar w:fldCharType="end"/>
        </w:r>
      </w:hyperlink>
    </w:p>
    <w:p w14:paraId="330D782B" w14:textId="1C7F92AF" w:rsidR="00B35093" w:rsidRDefault="00B35093">
      <w:pPr>
        <w:pStyle w:val="TOC2"/>
        <w:tabs>
          <w:tab w:val="right" w:leader="dot" w:pos="9016"/>
        </w:tabs>
        <w:rPr>
          <w:rFonts w:eastAsiaTheme="minorEastAsia"/>
          <w:noProof/>
          <w:sz w:val="24"/>
          <w:szCs w:val="24"/>
          <w:lang w:eastAsia="en-GB"/>
        </w:rPr>
      </w:pPr>
      <w:hyperlink w:anchor="_Toc215082486" w:history="1">
        <w:r w:rsidRPr="002551B3">
          <w:rPr>
            <w:rStyle w:val="Hyperlink"/>
            <w:rFonts w:ascii="Arial" w:hAnsi="Arial" w:cs="Arial"/>
            <w:noProof/>
          </w:rPr>
          <w:t>2.1 PESTEL Analysis</w:t>
        </w:r>
        <w:r>
          <w:rPr>
            <w:noProof/>
            <w:webHidden/>
          </w:rPr>
          <w:tab/>
        </w:r>
        <w:r>
          <w:rPr>
            <w:noProof/>
            <w:webHidden/>
          </w:rPr>
          <w:fldChar w:fldCharType="begin"/>
        </w:r>
        <w:r>
          <w:rPr>
            <w:noProof/>
            <w:webHidden/>
          </w:rPr>
          <w:instrText xml:space="preserve"> PAGEREF _Toc215082486 \h </w:instrText>
        </w:r>
        <w:r>
          <w:rPr>
            <w:noProof/>
            <w:webHidden/>
          </w:rPr>
        </w:r>
        <w:r>
          <w:rPr>
            <w:noProof/>
            <w:webHidden/>
          </w:rPr>
          <w:fldChar w:fldCharType="separate"/>
        </w:r>
        <w:r>
          <w:rPr>
            <w:noProof/>
            <w:webHidden/>
          </w:rPr>
          <w:t>6</w:t>
        </w:r>
        <w:r>
          <w:rPr>
            <w:noProof/>
            <w:webHidden/>
          </w:rPr>
          <w:fldChar w:fldCharType="end"/>
        </w:r>
      </w:hyperlink>
    </w:p>
    <w:p w14:paraId="26C7D2C1" w14:textId="40764FCE" w:rsidR="00B35093" w:rsidRDefault="00B35093">
      <w:pPr>
        <w:pStyle w:val="TOC2"/>
        <w:tabs>
          <w:tab w:val="right" w:leader="dot" w:pos="9016"/>
        </w:tabs>
        <w:rPr>
          <w:rFonts w:eastAsiaTheme="minorEastAsia"/>
          <w:noProof/>
          <w:sz w:val="24"/>
          <w:szCs w:val="24"/>
          <w:lang w:eastAsia="en-GB"/>
        </w:rPr>
      </w:pPr>
      <w:hyperlink w:anchor="_Toc215082487" w:history="1">
        <w:r w:rsidRPr="002551B3">
          <w:rPr>
            <w:rStyle w:val="Hyperlink"/>
            <w:rFonts w:ascii="Arial" w:hAnsi="Arial" w:cs="Arial"/>
            <w:noProof/>
          </w:rPr>
          <w:t>2.2 Porter’s Five Forces Analysis</w:t>
        </w:r>
        <w:r>
          <w:rPr>
            <w:noProof/>
            <w:webHidden/>
          </w:rPr>
          <w:tab/>
        </w:r>
        <w:r>
          <w:rPr>
            <w:noProof/>
            <w:webHidden/>
          </w:rPr>
          <w:fldChar w:fldCharType="begin"/>
        </w:r>
        <w:r>
          <w:rPr>
            <w:noProof/>
            <w:webHidden/>
          </w:rPr>
          <w:instrText xml:space="preserve"> PAGEREF _Toc215082487 \h </w:instrText>
        </w:r>
        <w:r>
          <w:rPr>
            <w:noProof/>
            <w:webHidden/>
          </w:rPr>
        </w:r>
        <w:r>
          <w:rPr>
            <w:noProof/>
            <w:webHidden/>
          </w:rPr>
          <w:fldChar w:fldCharType="separate"/>
        </w:r>
        <w:r>
          <w:rPr>
            <w:noProof/>
            <w:webHidden/>
          </w:rPr>
          <w:t>8</w:t>
        </w:r>
        <w:r>
          <w:rPr>
            <w:noProof/>
            <w:webHidden/>
          </w:rPr>
          <w:fldChar w:fldCharType="end"/>
        </w:r>
      </w:hyperlink>
    </w:p>
    <w:p w14:paraId="5AECF461" w14:textId="5A708179" w:rsidR="00B35093" w:rsidRDefault="00B35093">
      <w:pPr>
        <w:pStyle w:val="TOC2"/>
        <w:tabs>
          <w:tab w:val="right" w:leader="dot" w:pos="9016"/>
        </w:tabs>
        <w:rPr>
          <w:rFonts w:eastAsiaTheme="minorEastAsia"/>
          <w:noProof/>
          <w:sz w:val="24"/>
          <w:szCs w:val="24"/>
          <w:lang w:eastAsia="en-GB"/>
        </w:rPr>
      </w:pPr>
      <w:hyperlink w:anchor="_Toc215082488" w:history="1">
        <w:r w:rsidRPr="002551B3">
          <w:rPr>
            <w:rStyle w:val="Hyperlink"/>
            <w:rFonts w:ascii="Arial" w:hAnsi="Arial" w:cs="Arial"/>
            <w:noProof/>
          </w:rPr>
          <w:t>2.3 SWOT Summary</w:t>
        </w:r>
        <w:r>
          <w:rPr>
            <w:noProof/>
            <w:webHidden/>
          </w:rPr>
          <w:tab/>
        </w:r>
        <w:r>
          <w:rPr>
            <w:noProof/>
            <w:webHidden/>
          </w:rPr>
          <w:fldChar w:fldCharType="begin"/>
        </w:r>
        <w:r>
          <w:rPr>
            <w:noProof/>
            <w:webHidden/>
          </w:rPr>
          <w:instrText xml:space="preserve"> PAGEREF _Toc215082488 \h </w:instrText>
        </w:r>
        <w:r>
          <w:rPr>
            <w:noProof/>
            <w:webHidden/>
          </w:rPr>
        </w:r>
        <w:r>
          <w:rPr>
            <w:noProof/>
            <w:webHidden/>
          </w:rPr>
          <w:fldChar w:fldCharType="separate"/>
        </w:r>
        <w:r>
          <w:rPr>
            <w:noProof/>
            <w:webHidden/>
          </w:rPr>
          <w:t>9</w:t>
        </w:r>
        <w:r>
          <w:rPr>
            <w:noProof/>
            <w:webHidden/>
          </w:rPr>
          <w:fldChar w:fldCharType="end"/>
        </w:r>
      </w:hyperlink>
    </w:p>
    <w:p w14:paraId="4F6804E7" w14:textId="5E66659C" w:rsidR="00B35093" w:rsidRDefault="00B35093">
      <w:pPr>
        <w:pStyle w:val="TOC2"/>
        <w:tabs>
          <w:tab w:val="right" w:leader="dot" w:pos="9016"/>
        </w:tabs>
        <w:rPr>
          <w:rFonts w:eastAsiaTheme="minorEastAsia"/>
          <w:noProof/>
          <w:sz w:val="24"/>
          <w:szCs w:val="24"/>
          <w:lang w:eastAsia="en-GB"/>
        </w:rPr>
      </w:pPr>
      <w:hyperlink w:anchor="_Toc215082489" w:history="1">
        <w:r w:rsidRPr="002551B3">
          <w:rPr>
            <w:rStyle w:val="Hyperlink"/>
            <w:rFonts w:ascii="Arial" w:hAnsi="Arial" w:cs="Arial"/>
            <w:noProof/>
          </w:rPr>
          <w:t>2.4 Critical Evaluation of Frameworks</w:t>
        </w:r>
        <w:r>
          <w:rPr>
            <w:noProof/>
            <w:webHidden/>
          </w:rPr>
          <w:tab/>
        </w:r>
        <w:r>
          <w:rPr>
            <w:noProof/>
            <w:webHidden/>
          </w:rPr>
          <w:fldChar w:fldCharType="begin"/>
        </w:r>
        <w:r>
          <w:rPr>
            <w:noProof/>
            <w:webHidden/>
          </w:rPr>
          <w:instrText xml:space="preserve"> PAGEREF _Toc215082489 \h </w:instrText>
        </w:r>
        <w:r>
          <w:rPr>
            <w:noProof/>
            <w:webHidden/>
          </w:rPr>
        </w:r>
        <w:r>
          <w:rPr>
            <w:noProof/>
            <w:webHidden/>
          </w:rPr>
          <w:fldChar w:fldCharType="separate"/>
        </w:r>
        <w:r>
          <w:rPr>
            <w:noProof/>
            <w:webHidden/>
          </w:rPr>
          <w:t>10</w:t>
        </w:r>
        <w:r>
          <w:rPr>
            <w:noProof/>
            <w:webHidden/>
          </w:rPr>
          <w:fldChar w:fldCharType="end"/>
        </w:r>
      </w:hyperlink>
    </w:p>
    <w:p w14:paraId="6490FFB0" w14:textId="6ABC082C" w:rsidR="00B35093" w:rsidRDefault="00B35093">
      <w:pPr>
        <w:pStyle w:val="TOC1"/>
        <w:tabs>
          <w:tab w:val="right" w:leader="dot" w:pos="9016"/>
        </w:tabs>
        <w:rPr>
          <w:rFonts w:eastAsiaTheme="minorEastAsia"/>
          <w:noProof/>
          <w:sz w:val="24"/>
          <w:szCs w:val="24"/>
          <w:lang w:eastAsia="en-GB"/>
        </w:rPr>
      </w:pPr>
      <w:hyperlink w:anchor="_Toc215082490" w:history="1">
        <w:r w:rsidRPr="002551B3">
          <w:rPr>
            <w:rStyle w:val="Hyperlink"/>
            <w:rFonts w:ascii="Arial" w:hAnsi="Arial" w:cs="Arial"/>
            <w:noProof/>
          </w:rPr>
          <w:t>3. Strategy Development and Formulation</w:t>
        </w:r>
        <w:r>
          <w:rPr>
            <w:noProof/>
            <w:webHidden/>
          </w:rPr>
          <w:tab/>
        </w:r>
        <w:r>
          <w:rPr>
            <w:noProof/>
            <w:webHidden/>
          </w:rPr>
          <w:fldChar w:fldCharType="begin"/>
        </w:r>
        <w:r>
          <w:rPr>
            <w:noProof/>
            <w:webHidden/>
          </w:rPr>
          <w:instrText xml:space="preserve"> PAGEREF _Toc215082490 \h </w:instrText>
        </w:r>
        <w:r>
          <w:rPr>
            <w:noProof/>
            <w:webHidden/>
          </w:rPr>
        </w:r>
        <w:r>
          <w:rPr>
            <w:noProof/>
            <w:webHidden/>
          </w:rPr>
          <w:fldChar w:fldCharType="separate"/>
        </w:r>
        <w:r>
          <w:rPr>
            <w:noProof/>
            <w:webHidden/>
          </w:rPr>
          <w:t>11</w:t>
        </w:r>
        <w:r>
          <w:rPr>
            <w:noProof/>
            <w:webHidden/>
          </w:rPr>
          <w:fldChar w:fldCharType="end"/>
        </w:r>
      </w:hyperlink>
    </w:p>
    <w:p w14:paraId="29ADE0C0" w14:textId="6F0D9CF9" w:rsidR="00B35093" w:rsidRDefault="00B35093">
      <w:pPr>
        <w:pStyle w:val="TOC2"/>
        <w:tabs>
          <w:tab w:val="right" w:leader="dot" w:pos="9016"/>
        </w:tabs>
        <w:rPr>
          <w:rFonts w:eastAsiaTheme="minorEastAsia"/>
          <w:noProof/>
          <w:sz w:val="24"/>
          <w:szCs w:val="24"/>
          <w:lang w:eastAsia="en-GB"/>
        </w:rPr>
      </w:pPr>
      <w:hyperlink w:anchor="_Toc215082491" w:history="1">
        <w:r w:rsidRPr="002551B3">
          <w:rPr>
            <w:rStyle w:val="Hyperlink"/>
            <w:rFonts w:ascii="Arial" w:hAnsi="Arial" w:cs="Arial"/>
            <w:noProof/>
          </w:rPr>
          <w:t>3.1 Strategic Direction: Market Development through International Expansion</w:t>
        </w:r>
        <w:r>
          <w:rPr>
            <w:noProof/>
            <w:webHidden/>
          </w:rPr>
          <w:tab/>
        </w:r>
        <w:r>
          <w:rPr>
            <w:noProof/>
            <w:webHidden/>
          </w:rPr>
          <w:fldChar w:fldCharType="begin"/>
        </w:r>
        <w:r>
          <w:rPr>
            <w:noProof/>
            <w:webHidden/>
          </w:rPr>
          <w:instrText xml:space="preserve"> PAGEREF _Toc215082491 \h </w:instrText>
        </w:r>
        <w:r>
          <w:rPr>
            <w:noProof/>
            <w:webHidden/>
          </w:rPr>
        </w:r>
        <w:r>
          <w:rPr>
            <w:noProof/>
            <w:webHidden/>
          </w:rPr>
          <w:fldChar w:fldCharType="separate"/>
        </w:r>
        <w:r>
          <w:rPr>
            <w:noProof/>
            <w:webHidden/>
          </w:rPr>
          <w:t>11</w:t>
        </w:r>
        <w:r>
          <w:rPr>
            <w:noProof/>
            <w:webHidden/>
          </w:rPr>
          <w:fldChar w:fldCharType="end"/>
        </w:r>
      </w:hyperlink>
    </w:p>
    <w:p w14:paraId="0E93E91D" w14:textId="13209410" w:rsidR="00B35093" w:rsidRDefault="00B35093">
      <w:pPr>
        <w:pStyle w:val="TOC2"/>
        <w:tabs>
          <w:tab w:val="right" w:leader="dot" w:pos="9016"/>
        </w:tabs>
        <w:rPr>
          <w:rFonts w:eastAsiaTheme="minorEastAsia"/>
          <w:noProof/>
          <w:sz w:val="24"/>
          <w:szCs w:val="24"/>
          <w:lang w:eastAsia="en-GB"/>
        </w:rPr>
      </w:pPr>
      <w:hyperlink w:anchor="_Toc215082492" w:history="1">
        <w:r w:rsidRPr="002551B3">
          <w:rPr>
            <w:rStyle w:val="Hyperlink"/>
            <w:rFonts w:ascii="Arial" w:hAnsi="Arial" w:cs="Arial"/>
            <w:noProof/>
          </w:rPr>
          <w:t>3.2 Entry Mode Strategy: Partnership-led Omnichannel Model</w:t>
        </w:r>
        <w:r>
          <w:rPr>
            <w:noProof/>
            <w:webHidden/>
          </w:rPr>
          <w:tab/>
        </w:r>
        <w:r>
          <w:rPr>
            <w:noProof/>
            <w:webHidden/>
          </w:rPr>
          <w:fldChar w:fldCharType="begin"/>
        </w:r>
        <w:r>
          <w:rPr>
            <w:noProof/>
            <w:webHidden/>
          </w:rPr>
          <w:instrText xml:space="preserve"> PAGEREF _Toc215082492 \h </w:instrText>
        </w:r>
        <w:r>
          <w:rPr>
            <w:noProof/>
            <w:webHidden/>
          </w:rPr>
        </w:r>
        <w:r>
          <w:rPr>
            <w:noProof/>
            <w:webHidden/>
          </w:rPr>
          <w:fldChar w:fldCharType="separate"/>
        </w:r>
        <w:r>
          <w:rPr>
            <w:noProof/>
            <w:webHidden/>
          </w:rPr>
          <w:t>11</w:t>
        </w:r>
        <w:r>
          <w:rPr>
            <w:noProof/>
            <w:webHidden/>
          </w:rPr>
          <w:fldChar w:fldCharType="end"/>
        </w:r>
      </w:hyperlink>
    </w:p>
    <w:p w14:paraId="5B62BC53" w14:textId="2C24E5EB" w:rsidR="00B35093" w:rsidRDefault="00B35093">
      <w:pPr>
        <w:pStyle w:val="TOC2"/>
        <w:tabs>
          <w:tab w:val="right" w:leader="dot" w:pos="9016"/>
        </w:tabs>
        <w:rPr>
          <w:rFonts w:eastAsiaTheme="minorEastAsia"/>
          <w:noProof/>
          <w:sz w:val="24"/>
          <w:szCs w:val="24"/>
          <w:lang w:eastAsia="en-GB"/>
        </w:rPr>
      </w:pPr>
      <w:hyperlink w:anchor="_Toc215082493" w:history="1">
        <w:r w:rsidRPr="002551B3">
          <w:rPr>
            <w:rStyle w:val="Hyperlink"/>
            <w:rFonts w:ascii="Arial" w:hAnsi="Arial" w:cs="Arial"/>
            <w:noProof/>
          </w:rPr>
          <w:t>3.3 Competitive Positioning: Differentiation Focus</w:t>
        </w:r>
        <w:r>
          <w:rPr>
            <w:noProof/>
            <w:webHidden/>
          </w:rPr>
          <w:tab/>
        </w:r>
        <w:r>
          <w:rPr>
            <w:noProof/>
            <w:webHidden/>
          </w:rPr>
          <w:fldChar w:fldCharType="begin"/>
        </w:r>
        <w:r>
          <w:rPr>
            <w:noProof/>
            <w:webHidden/>
          </w:rPr>
          <w:instrText xml:space="preserve"> PAGEREF _Toc215082493 \h </w:instrText>
        </w:r>
        <w:r>
          <w:rPr>
            <w:noProof/>
            <w:webHidden/>
          </w:rPr>
        </w:r>
        <w:r>
          <w:rPr>
            <w:noProof/>
            <w:webHidden/>
          </w:rPr>
          <w:fldChar w:fldCharType="separate"/>
        </w:r>
        <w:r>
          <w:rPr>
            <w:noProof/>
            <w:webHidden/>
          </w:rPr>
          <w:t>12</w:t>
        </w:r>
        <w:r>
          <w:rPr>
            <w:noProof/>
            <w:webHidden/>
          </w:rPr>
          <w:fldChar w:fldCharType="end"/>
        </w:r>
      </w:hyperlink>
    </w:p>
    <w:p w14:paraId="75DF9E3B" w14:textId="5B31904B" w:rsidR="00B35093" w:rsidRDefault="00B35093">
      <w:pPr>
        <w:pStyle w:val="TOC2"/>
        <w:tabs>
          <w:tab w:val="right" w:leader="dot" w:pos="9016"/>
        </w:tabs>
        <w:rPr>
          <w:rFonts w:eastAsiaTheme="minorEastAsia"/>
          <w:noProof/>
          <w:sz w:val="24"/>
          <w:szCs w:val="24"/>
          <w:lang w:eastAsia="en-GB"/>
        </w:rPr>
      </w:pPr>
      <w:hyperlink w:anchor="_Toc215082494" w:history="1">
        <w:r w:rsidRPr="002551B3">
          <w:rPr>
            <w:rStyle w:val="Hyperlink"/>
            <w:rFonts w:ascii="Arial" w:hAnsi="Arial" w:cs="Arial"/>
            <w:noProof/>
          </w:rPr>
          <w:t>3.4 Resource and Capability Alignment: VRIO Analysis</w:t>
        </w:r>
        <w:r>
          <w:rPr>
            <w:noProof/>
            <w:webHidden/>
          </w:rPr>
          <w:tab/>
        </w:r>
        <w:r>
          <w:rPr>
            <w:noProof/>
            <w:webHidden/>
          </w:rPr>
          <w:fldChar w:fldCharType="begin"/>
        </w:r>
        <w:r>
          <w:rPr>
            <w:noProof/>
            <w:webHidden/>
          </w:rPr>
          <w:instrText xml:space="preserve"> PAGEREF _Toc215082494 \h </w:instrText>
        </w:r>
        <w:r>
          <w:rPr>
            <w:noProof/>
            <w:webHidden/>
          </w:rPr>
        </w:r>
        <w:r>
          <w:rPr>
            <w:noProof/>
            <w:webHidden/>
          </w:rPr>
          <w:fldChar w:fldCharType="separate"/>
        </w:r>
        <w:r>
          <w:rPr>
            <w:noProof/>
            <w:webHidden/>
          </w:rPr>
          <w:t>13</w:t>
        </w:r>
        <w:r>
          <w:rPr>
            <w:noProof/>
            <w:webHidden/>
          </w:rPr>
          <w:fldChar w:fldCharType="end"/>
        </w:r>
      </w:hyperlink>
    </w:p>
    <w:p w14:paraId="1EC634B9" w14:textId="2996B018" w:rsidR="00B35093" w:rsidRDefault="00B35093">
      <w:pPr>
        <w:pStyle w:val="TOC2"/>
        <w:tabs>
          <w:tab w:val="right" w:leader="dot" w:pos="9016"/>
        </w:tabs>
        <w:rPr>
          <w:rFonts w:eastAsiaTheme="minorEastAsia"/>
          <w:noProof/>
          <w:sz w:val="24"/>
          <w:szCs w:val="24"/>
          <w:lang w:eastAsia="en-GB"/>
        </w:rPr>
      </w:pPr>
      <w:hyperlink w:anchor="_Toc215082495" w:history="1">
        <w:r w:rsidRPr="002551B3">
          <w:rPr>
            <w:rStyle w:val="Hyperlink"/>
            <w:rFonts w:ascii="Arial" w:hAnsi="Arial" w:cs="Arial"/>
            <w:noProof/>
          </w:rPr>
          <w:t>3.5 Strategic Initiatives and Implementation Priorities</w:t>
        </w:r>
        <w:r>
          <w:rPr>
            <w:noProof/>
            <w:webHidden/>
          </w:rPr>
          <w:tab/>
        </w:r>
        <w:r>
          <w:rPr>
            <w:noProof/>
            <w:webHidden/>
          </w:rPr>
          <w:fldChar w:fldCharType="begin"/>
        </w:r>
        <w:r>
          <w:rPr>
            <w:noProof/>
            <w:webHidden/>
          </w:rPr>
          <w:instrText xml:space="preserve"> PAGEREF _Toc215082495 \h </w:instrText>
        </w:r>
        <w:r>
          <w:rPr>
            <w:noProof/>
            <w:webHidden/>
          </w:rPr>
        </w:r>
        <w:r>
          <w:rPr>
            <w:noProof/>
            <w:webHidden/>
          </w:rPr>
          <w:fldChar w:fldCharType="separate"/>
        </w:r>
        <w:r>
          <w:rPr>
            <w:noProof/>
            <w:webHidden/>
          </w:rPr>
          <w:t>13</w:t>
        </w:r>
        <w:r>
          <w:rPr>
            <w:noProof/>
            <w:webHidden/>
          </w:rPr>
          <w:fldChar w:fldCharType="end"/>
        </w:r>
      </w:hyperlink>
    </w:p>
    <w:p w14:paraId="34E15747" w14:textId="15DAF58F" w:rsidR="00B35093" w:rsidRDefault="00B35093">
      <w:pPr>
        <w:pStyle w:val="TOC2"/>
        <w:tabs>
          <w:tab w:val="right" w:leader="dot" w:pos="9016"/>
        </w:tabs>
        <w:rPr>
          <w:rFonts w:eastAsiaTheme="minorEastAsia"/>
          <w:noProof/>
          <w:sz w:val="24"/>
          <w:szCs w:val="24"/>
          <w:lang w:eastAsia="en-GB"/>
        </w:rPr>
      </w:pPr>
      <w:hyperlink w:anchor="_Toc215082496" w:history="1">
        <w:r w:rsidRPr="002551B3">
          <w:rPr>
            <w:rStyle w:val="Hyperlink"/>
            <w:rFonts w:ascii="Arial" w:hAnsi="Arial" w:cs="Arial"/>
            <w:noProof/>
          </w:rPr>
          <w:t>3.6 Summary</w:t>
        </w:r>
        <w:r>
          <w:rPr>
            <w:noProof/>
            <w:webHidden/>
          </w:rPr>
          <w:tab/>
        </w:r>
        <w:r>
          <w:rPr>
            <w:noProof/>
            <w:webHidden/>
          </w:rPr>
          <w:fldChar w:fldCharType="begin"/>
        </w:r>
        <w:r>
          <w:rPr>
            <w:noProof/>
            <w:webHidden/>
          </w:rPr>
          <w:instrText xml:space="preserve"> PAGEREF _Toc215082496 \h </w:instrText>
        </w:r>
        <w:r>
          <w:rPr>
            <w:noProof/>
            <w:webHidden/>
          </w:rPr>
        </w:r>
        <w:r>
          <w:rPr>
            <w:noProof/>
            <w:webHidden/>
          </w:rPr>
          <w:fldChar w:fldCharType="separate"/>
        </w:r>
        <w:r>
          <w:rPr>
            <w:noProof/>
            <w:webHidden/>
          </w:rPr>
          <w:t>14</w:t>
        </w:r>
        <w:r>
          <w:rPr>
            <w:noProof/>
            <w:webHidden/>
          </w:rPr>
          <w:fldChar w:fldCharType="end"/>
        </w:r>
      </w:hyperlink>
    </w:p>
    <w:p w14:paraId="43DE0FDE" w14:textId="234E3499" w:rsidR="00B35093" w:rsidRDefault="00B35093">
      <w:pPr>
        <w:pStyle w:val="TOC1"/>
        <w:tabs>
          <w:tab w:val="right" w:leader="dot" w:pos="9016"/>
        </w:tabs>
        <w:rPr>
          <w:rFonts w:eastAsiaTheme="minorEastAsia"/>
          <w:noProof/>
          <w:sz w:val="24"/>
          <w:szCs w:val="24"/>
          <w:lang w:eastAsia="en-GB"/>
        </w:rPr>
      </w:pPr>
      <w:hyperlink w:anchor="_Toc215082497" w:history="1">
        <w:r w:rsidRPr="002551B3">
          <w:rPr>
            <w:rStyle w:val="Hyperlink"/>
            <w:rFonts w:ascii="Arial" w:hAnsi="Arial" w:cs="Arial"/>
            <w:noProof/>
          </w:rPr>
          <w:t>4. Performance Evaluation Framework</w:t>
        </w:r>
        <w:r>
          <w:rPr>
            <w:noProof/>
            <w:webHidden/>
          </w:rPr>
          <w:tab/>
        </w:r>
        <w:r>
          <w:rPr>
            <w:noProof/>
            <w:webHidden/>
          </w:rPr>
          <w:fldChar w:fldCharType="begin"/>
        </w:r>
        <w:r>
          <w:rPr>
            <w:noProof/>
            <w:webHidden/>
          </w:rPr>
          <w:instrText xml:space="preserve"> PAGEREF _Toc215082497 \h </w:instrText>
        </w:r>
        <w:r>
          <w:rPr>
            <w:noProof/>
            <w:webHidden/>
          </w:rPr>
        </w:r>
        <w:r>
          <w:rPr>
            <w:noProof/>
            <w:webHidden/>
          </w:rPr>
          <w:fldChar w:fldCharType="separate"/>
        </w:r>
        <w:r>
          <w:rPr>
            <w:noProof/>
            <w:webHidden/>
          </w:rPr>
          <w:t>15</w:t>
        </w:r>
        <w:r>
          <w:rPr>
            <w:noProof/>
            <w:webHidden/>
          </w:rPr>
          <w:fldChar w:fldCharType="end"/>
        </w:r>
      </w:hyperlink>
    </w:p>
    <w:p w14:paraId="39137FA8" w14:textId="0457C39B" w:rsidR="00B35093" w:rsidRDefault="00B35093">
      <w:pPr>
        <w:pStyle w:val="TOC2"/>
        <w:tabs>
          <w:tab w:val="right" w:leader="dot" w:pos="9016"/>
        </w:tabs>
        <w:rPr>
          <w:rFonts w:eastAsiaTheme="minorEastAsia"/>
          <w:noProof/>
          <w:sz w:val="24"/>
          <w:szCs w:val="24"/>
          <w:lang w:eastAsia="en-GB"/>
        </w:rPr>
      </w:pPr>
      <w:hyperlink w:anchor="_Toc215082498" w:history="1">
        <w:r w:rsidRPr="002551B3">
          <w:rPr>
            <w:rStyle w:val="Hyperlink"/>
            <w:rFonts w:ascii="Arial" w:hAnsi="Arial" w:cs="Arial"/>
            <w:noProof/>
          </w:rPr>
          <w:t>4.1 The Balanced Scorecard Framework</w:t>
        </w:r>
        <w:r>
          <w:rPr>
            <w:noProof/>
            <w:webHidden/>
          </w:rPr>
          <w:tab/>
        </w:r>
        <w:r>
          <w:rPr>
            <w:noProof/>
            <w:webHidden/>
          </w:rPr>
          <w:fldChar w:fldCharType="begin"/>
        </w:r>
        <w:r>
          <w:rPr>
            <w:noProof/>
            <w:webHidden/>
          </w:rPr>
          <w:instrText xml:space="preserve"> PAGEREF _Toc215082498 \h </w:instrText>
        </w:r>
        <w:r>
          <w:rPr>
            <w:noProof/>
            <w:webHidden/>
          </w:rPr>
        </w:r>
        <w:r>
          <w:rPr>
            <w:noProof/>
            <w:webHidden/>
          </w:rPr>
          <w:fldChar w:fldCharType="separate"/>
        </w:r>
        <w:r>
          <w:rPr>
            <w:noProof/>
            <w:webHidden/>
          </w:rPr>
          <w:t>15</w:t>
        </w:r>
        <w:r>
          <w:rPr>
            <w:noProof/>
            <w:webHidden/>
          </w:rPr>
          <w:fldChar w:fldCharType="end"/>
        </w:r>
      </w:hyperlink>
    </w:p>
    <w:p w14:paraId="3C1518DD" w14:textId="7B2E7CBE" w:rsidR="00B35093" w:rsidRDefault="00B35093">
      <w:pPr>
        <w:pStyle w:val="TOC2"/>
        <w:tabs>
          <w:tab w:val="right" w:leader="dot" w:pos="9016"/>
        </w:tabs>
        <w:rPr>
          <w:rFonts w:eastAsiaTheme="minorEastAsia"/>
          <w:noProof/>
          <w:sz w:val="24"/>
          <w:szCs w:val="24"/>
          <w:lang w:eastAsia="en-GB"/>
        </w:rPr>
      </w:pPr>
      <w:hyperlink w:anchor="_Toc215082499" w:history="1">
        <w:r w:rsidRPr="002551B3">
          <w:rPr>
            <w:rStyle w:val="Hyperlink"/>
            <w:rFonts w:ascii="Arial" w:hAnsi="Arial" w:cs="Arial"/>
            <w:noProof/>
          </w:rPr>
          <w:t>4.2 Integration with the Triple Bottom Line</w:t>
        </w:r>
        <w:r>
          <w:rPr>
            <w:noProof/>
            <w:webHidden/>
          </w:rPr>
          <w:tab/>
        </w:r>
        <w:r>
          <w:rPr>
            <w:noProof/>
            <w:webHidden/>
          </w:rPr>
          <w:fldChar w:fldCharType="begin"/>
        </w:r>
        <w:r>
          <w:rPr>
            <w:noProof/>
            <w:webHidden/>
          </w:rPr>
          <w:instrText xml:space="preserve"> PAGEREF _Toc215082499 \h </w:instrText>
        </w:r>
        <w:r>
          <w:rPr>
            <w:noProof/>
            <w:webHidden/>
          </w:rPr>
        </w:r>
        <w:r>
          <w:rPr>
            <w:noProof/>
            <w:webHidden/>
          </w:rPr>
          <w:fldChar w:fldCharType="separate"/>
        </w:r>
        <w:r>
          <w:rPr>
            <w:noProof/>
            <w:webHidden/>
          </w:rPr>
          <w:t>16</w:t>
        </w:r>
        <w:r>
          <w:rPr>
            <w:noProof/>
            <w:webHidden/>
          </w:rPr>
          <w:fldChar w:fldCharType="end"/>
        </w:r>
      </w:hyperlink>
    </w:p>
    <w:p w14:paraId="10679F0B" w14:textId="2DF9D5E3" w:rsidR="00B35093" w:rsidRDefault="00B35093">
      <w:pPr>
        <w:pStyle w:val="TOC2"/>
        <w:tabs>
          <w:tab w:val="right" w:leader="dot" w:pos="9016"/>
        </w:tabs>
        <w:rPr>
          <w:rFonts w:eastAsiaTheme="minorEastAsia"/>
          <w:noProof/>
          <w:sz w:val="24"/>
          <w:szCs w:val="24"/>
          <w:lang w:eastAsia="en-GB"/>
        </w:rPr>
      </w:pPr>
      <w:hyperlink w:anchor="_Toc215082500" w:history="1">
        <w:r w:rsidRPr="002551B3">
          <w:rPr>
            <w:rStyle w:val="Hyperlink"/>
            <w:rFonts w:ascii="Arial" w:hAnsi="Arial" w:cs="Arial"/>
            <w:noProof/>
          </w:rPr>
          <w:t>4.3 Strategic Control and Continuous Improvement</w:t>
        </w:r>
        <w:r>
          <w:rPr>
            <w:noProof/>
            <w:webHidden/>
          </w:rPr>
          <w:tab/>
        </w:r>
        <w:r>
          <w:rPr>
            <w:noProof/>
            <w:webHidden/>
          </w:rPr>
          <w:fldChar w:fldCharType="begin"/>
        </w:r>
        <w:r>
          <w:rPr>
            <w:noProof/>
            <w:webHidden/>
          </w:rPr>
          <w:instrText xml:space="preserve"> PAGEREF _Toc215082500 \h </w:instrText>
        </w:r>
        <w:r>
          <w:rPr>
            <w:noProof/>
            <w:webHidden/>
          </w:rPr>
        </w:r>
        <w:r>
          <w:rPr>
            <w:noProof/>
            <w:webHidden/>
          </w:rPr>
          <w:fldChar w:fldCharType="separate"/>
        </w:r>
        <w:r>
          <w:rPr>
            <w:noProof/>
            <w:webHidden/>
          </w:rPr>
          <w:t>17</w:t>
        </w:r>
        <w:r>
          <w:rPr>
            <w:noProof/>
            <w:webHidden/>
          </w:rPr>
          <w:fldChar w:fldCharType="end"/>
        </w:r>
      </w:hyperlink>
    </w:p>
    <w:p w14:paraId="724D2AC8" w14:textId="65D88C61" w:rsidR="00B35093" w:rsidRDefault="00B35093">
      <w:pPr>
        <w:pStyle w:val="TOC2"/>
        <w:tabs>
          <w:tab w:val="right" w:leader="dot" w:pos="9016"/>
        </w:tabs>
        <w:rPr>
          <w:rFonts w:eastAsiaTheme="minorEastAsia"/>
          <w:noProof/>
          <w:sz w:val="24"/>
          <w:szCs w:val="24"/>
          <w:lang w:eastAsia="en-GB"/>
        </w:rPr>
      </w:pPr>
      <w:hyperlink w:anchor="_Toc215082501" w:history="1">
        <w:r w:rsidRPr="002551B3">
          <w:rPr>
            <w:rStyle w:val="Hyperlink"/>
            <w:rFonts w:ascii="Arial" w:hAnsi="Arial" w:cs="Arial"/>
            <w:noProof/>
          </w:rPr>
          <w:t>4.4 Summary</w:t>
        </w:r>
        <w:r>
          <w:rPr>
            <w:noProof/>
            <w:webHidden/>
          </w:rPr>
          <w:tab/>
        </w:r>
        <w:r>
          <w:rPr>
            <w:noProof/>
            <w:webHidden/>
          </w:rPr>
          <w:fldChar w:fldCharType="begin"/>
        </w:r>
        <w:r>
          <w:rPr>
            <w:noProof/>
            <w:webHidden/>
          </w:rPr>
          <w:instrText xml:space="preserve"> PAGEREF _Toc215082501 \h </w:instrText>
        </w:r>
        <w:r>
          <w:rPr>
            <w:noProof/>
            <w:webHidden/>
          </w:rPr>
        </w:r>
        <w:r>
          <w:rPr>
            <w:noProof/>
            <w:webHidden/>
          </w:rPr>
          <w:fldChar w:fldCharType="separate"/>
        </w:r>
        <w:r>
          <w:rPr>
            <w:noProof/>
            <w:webHidden/>
          </w:rPr>
          <w:t>18</w:t>
        </w:r>
        <w:r>
          <w:rPr>
            <w:noProof/>
            <w:webHidden/>
          </w:rPr>
          <w:fldChar w:fldCharType="end"/>
        </w:r>
      </w:hyperlink>
    </w:p>
    <w:p w14:paraId="156F26EE" w14:textId="4FBA8C91" w:rsidR="00B35093" w:rsidRDefault="00B35093">
      <w:pPr>
        <w:pStyle w:val="TOC1"/>
        <w:tabs>
          <w:tab w:val="right" w:leader="dot" w:pos="9016"/>
        </w:tabs>
        <w:rPr>
          <w:rFonts w:eastAsiaTheme="minorEastAsia"/>
          <w:noProof/>
          <w:sz w:val="24"/>
          <w:szCs w:val="24"/>
          <w:lang w:eastAsia="en-GB"/>
        </w:rPr>
      </w:pPr>
      <w:hyperlink w:anchor="_Toc215082502" w:history="1">
        <w:r w:rsidRPr="002551B3">
          <w:rPr>
            <w:rStyle w:val="Hyperlink"/>
            <w:rFonts w:ascii="Arial" w:hAnsi="Arial" w:cs="Arial"/>
            <w:noProof/>
          </w:rPr>
          <w:t>5. Conclusion and Recommendations</w:t>
        </w:r>
        <w:r>
          <w:rPr>
            <w:noProof/>
            <w:webHidden/>
          </w:rPr>
          <w:tab/>
        </w:r>
        <w:r>
          <w:rPr>
            <w:noProof/>
            <w:webHidden/>
          </w:rPr>
          <w:fldChar w:fldCharType="begin"/>
        </w:r>
        <w:r>
          <w:rPr>
            <w:noProof/>
            <w:webHidden/>
          </w:rPr>
          <w:instrText xml:space="preserve"> PAGEREF _Toc215082502 \h </w:instrText>
        </w:r>
        <w:r>
          <w:rPr>
            <w:noProof/>
            <w:webHidden/>
          </w:rPr>
        </w:r>
        <w:r>
          <w:rPr>
            <w:noProof/>
            <w:webHidden/>
          </w:rPr>
          <w:fldChar w:fldCharType="separate"/>
        </w:r>
        <w:r>
          <w:rPr>
            <w:noProof/>
            <w:webHidden/>
          </w:rPr>
          <w:t>19</w:t>
        </w:r>
        <w:r>
          <w:rPr>
            <w:noProof/>
            <w:webHidden/>
          </w:rPr>
          <w:fldChar w:fldCharType="end"/>
        </w:r>
      </w:hyperlink>
    </w:p>
    <w:p w14:paraId="64353E11" w14:textId="5EB5F28C" w:rsidR="00B35093" w:rsidRDefault="00B35093">
      <w:pPr>
        <w:pStyle w:val="TOC2"/>
        <w:tabs>
          <w:tab w:val="right" w:leader="dot" w:pos="9016"/>
        </w:tabs>
        <w:rPr>
          <w:rFonts w:eastAsiaTheme="minorEastAsia"/>
          <w:noProof/>
          <w:sz w:val="24"/>
          <w:szCs w:val="24"/>
          <w:lang w:eastAsia="en-GB"/>
        </w:rPr>
      </w:pPr>
      <w:hyperlink w:anchor="_Toc215082503" w:history="1">
        <w:r w:rsidRPr="002551B3">
          <w:rPr>
            <w:rStyle w:val="Hyperlink"/>
            <w:rFonts w:ascii="Arial" w:hAnsi="Arial" w:cs="Arial"/>
            <w:noProof/>
          </w:rPr>
          <w:t>5.1 Strategic Rationale</w:t>
        </w:r>
        <w:r>
          <w:rPr>
            <w:noProof/>
            <w:webHidden/>
          </w:rPr>
          <w:tab/>
        </w:r>
        <w:r>
          <w:rPr>
            <w:noProof/>
            <w:webHidden/>
          </w:rPr>
          <w:fldChar w:fldCharType="begin"/>
        </w:r>
        <w:r>
          <w:rPr>
            <w:noProof/>
            <w:webHidden/>
          </w:rPr>
          <w:instrText xml:space="preserve"> PAGEREF _Toc215082503 \h </w:instrText>
        </w:r>
        <w:r>
          <w:rPr>
            <w:noProof/>
            <w:webHidden/>
          </w:rPr>
        </w:r>
        <w:r>
          <w:rPr>
            <w:noProof/>
            <w:webHidden/>
          </w:rPr>
          <w:fldChar w:fldCharType="separate"/>
        </w:r>
        <w:r>
          <w:rPr>
            <w:noProof/>
            <w:webHidden/>
          </w:rPr>
          <w:t>19</w:t>
        </w:r>
        <w:r>
          <w:rPr>
            <w:noProof/>
            <w:webHidden/>
          </w:rPr>
          <w:fldChar w:fldCharType="end"/>
        </w:r>
      </w:hyperlink>
    </w:p>
    <w:p w14:paraId="699B088F" w14:textId="3CBBF030" w:rsidR="00B35093" w:rsidRDefault="00B35093">
      <w:pPr>
        <w:pStyle w:val="TOC2"/>
        <w:tabs>
          <w:tab w:val="right" w:leader="dot" w:pos="9016"/>
        </w:tabs>
        <w:rPr>
          <w:rFonts w:eastAsiaTheme="minorEastAsia"/>
          <w:noProof/>
          <w:sz w:val="24"/>
          <w:szCs w:val="24"/>
          <w:lang w:eastAsia="en-GB"/>
        </w:rPr>
      </w:pPr>
      <w:hyperlink w:anchor="_Toc215082504" w:history="1">
        <w:r w:rsidRPr="002551B3">
          <w:rPr>
            <w:rStyle w:val="Hyperlink"/>
            <w:rFonts w:ascii="Arial" w:hAnsi="Arial" w:cs="Arial"/>
            <w:noProof/>
          </w:rPr>
          <w:t>5.2 Key Recommendations</w:t>
        </w:r>
        <w:r>
          <w:rPr>
            <w:noProof/>
            <w:webHidden/>
          </w:rPr>
          <w:tab/>
        </w:r>
        <w:r>
          <w:rPr>
            <w:noProof/>
            <w:webHidden/>
          </w:rPr>
          <w:fldChar w:fldCharType="begin"/>
        </w:r>
        <w:r>
          <w:rPr>
            <w:noProof/>
            <w:webHidden/>
          </w:rPr>
          <w:instrText xml:space="preserve"> PAGEREF _Toc215082504 \h </w:instrText>
        </w:r>
        <w:r>
          <w:rPr>
            <w:noProof/>
            <w:webHidden/>
          </w:rPr>
        </w:r>
        <w:r>
          <w:rPr>
            <w:noProof/>
            <w:webHidden/>
          </w:rPr>
          <w:fldChar w:fldCharType="separate"/>
        </w:r>
        <w:r>
          <w:rPr>
            <w:noProof/>
            <w:webHidden/>
          </w:rPr>
          <w:t>19</w:t>
        </w:r>
        <w:r>
          <w:rPr>
            <w:noProof/>
            <w:webHidden/>
          </w:rPr>
          <w:fldChar w:fldCharType="end"/>
        </w:r>
      </w:hyperlink>
    </w:p>
    <w:p w14:paraId="7BA455D9" w14:textId="6A9006A9" w:rsidR="00B35093" w:rsidRDefault="00B35093">
      <w:pPr>
        <w:pStyle w:val="TOC2"/>
        <w:tabs>
          <w:tab w:val="right" w:leader="dot" w:pos="9016"/>
        </w:tabs>
        <w:rPr>
          <w:rFonts w:eastAsiaTheme="minorEastAsia"/>
          <w:noProof/>
          <w:sz w:val="24"/>
          <w:szCs w:val="24"/>
          <w:lang w:eastAsia="en-GB"/>
        </w:rPr>
      </w:pPr>
      <w:hyperlink w:anchor="_Toc215082505" w:history="1">
        <w:r w:rsidRPr="002551B3">
          <w:rPr>
            <w:rStyle w:val="Hyperlink"/>
            <w:rFonts w:ascii="Arial" w:hAnsi="Arial" w:cs="Arial"/>
            <w:noProof/>
          </w:rPr>
          <w:t>5.3 Anticipated Challenges</w:t>
        </w:r>
        <w:r>
          <w:rPr>
            <w:noProof/>
            <w:webHidden/>
          </w:rPr>
          <w:tab/>
        </w:r>
        <w:r>
          <w:rPr>
            <w:noProof/>
            <w:webHidden/>
          </w:rPr>
          <w:fldChar w:fldCharType="begin"/>
        </w:r>
        <w:r>
          <w:rPr>
            <w:noProof/>
            <w:webHidden/>
          </w:rPr>
          <w:instrText xml:space="preserve"> PAGEREF _Toc215082505 \h </w:instrText>
        </w:r>
        <w:r>
          <w:rPr>
            <w:noProof/>
            <w:webHidden/>
          </w:rPr>
        </w:r>
        <w:r>
          <w:rPr>
            <w:noProof/>
            <w:webHidden/>
          </w:rPr>
          <w:fldChar w:fldCharType="separate"/>
        </w:r>
        <w:r>
          <w:rPr>
            <w:noProof/>
            <w:webHidden/>
          </w:rPr>
          <w:t>20</w:t>
        </w:r>
        <w:r>
          <w:rPr>
            <w:noProof/>
            <w:webHidden/>
          </w:rPr>
          <w:fldChar w:fldCharType="end"/>
        </w:r>
      </w:hyperlink>
    </w:p>
    <w:p w14:paraId="6A7E685B" w14:textId="20D3888B" w:rsidR="00B35093" w:rsidRDefault="00B35093">
      <w:pPr>
        <w:pStyle w:val="TOC2"/>
        <w:tabs>
          <w:tab w:val="right" w:leader="dot" w:pos="9016"/>
        </w:tabs>
        <w:rPr>
          <w:rFonts w:eastAsiaTheme="minorEastAsia"/>
          <w:noProof/>
          <w:sz w:val="24"/>
          <w:szCs w:val="24"/>
          <w:lang w:eastAsia="en-GB"/>
        </w:rPr>
      </w:pPr>
      <w:hyperlink w:anchor="_Toc215082506" w:history="1">
        <w:r w:rsidRPr="002551B3">
          <w:rPr>
            <w:rStyle w:val="Hyperlink"/>
            <w:rFonts w:ascii="Arial" w:hAnsi="Arial" w:cs="Arial"/>
            <w:noProof/>
          </w:rPr>
          <w:t>5.4 Strategic Outlook</w:t>
        </w:r>
        <w:r>
          <w:rPr>
            <w:noProof/>
            <w:webHidden/>
          </w:rPr>
          <w:tab/>
        </w:r>
        <w:r>
          <w:rPr>
            <w:noProof/>
            <w:webHidden/>
          </w:rPr>
          <w:fldChar w:fldCharType="begin"/>
        </w:r>
        <w:r>
          <w:rPr>
            <w:noProof/>
            <w:webHidden/>
          </w:rPr>
          <w:instrText xml:space="preserve"> PAGEREF _Toc215082506 \h </w:instrText>
        </w:r>
        <w:r>
          <w:rPr>
            <w:noProof/>
            <w:webHidden/>
          </w:rPr>
        </w:r>
        <w:r>
          <w:rPr>
            <w:noProof/>
            <w:webHidden/>
          </w:rPr>
          <w:fldChar w:fldCharType="separate"/>
        </w:r>
        <w:r>
          <w:rPr>
            <w:noProof/>
            <w:webHidden/>
          </w:rPr>
          <w:t>20</w:t>
        </w:r>
        <w:r>
          <w:rPr>
            <w:noProof/>
            <w:webHidden/>
          </w:rPr>
          <w:fldChar w:fldCharType="end"/>
        </w:r>
      </w:hyperlink>
    </w:p>
    <w:p w14:paraId="0E765516" w14:textId="5B048853" w:rsidR="00B35093" w:rsidRDefault="00B35093">
      <w:pPr>
        <w:pStyle w:val="TOC1"/>
        <w:tabs>
          <w:tab w:val="right" w:leader="dot" w:pos="9016"/>
        </w:tabs>
        <w:rPr>
          <w:rFonts w:eastAsiaTheme="minorEastAsia"/>
          <w:noProof/>
          <w:sz w:val="24"/>
          <w:szCs w:val="24"/>
          <w:lang w:eastAsia="en-GB"/>
        </w:rPr>
      </w:pPr>
      <w:hyperlink w:anchor="_Toc215082507" w:history="1">
        <w:r w:rsidRPr="002551B3">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_Toc215082507 \h </w:instrText>
        </w:r>
        <w:r>
          <w:rPr>
            <w:noProof/>
            <w:webHidden/>
          </w:rPr>
        </w:r>
        <w:r>
          <w:rPr>
            <w:noProof/>
            <w:webHidden/>
          </w:rPr>
          <w:fldChar w:fldCharType="separate"/>
        </w:r>
        <w:r>
          <w:rPr>
            <w:noProof/>
            <w:webHidden/>
          </w:rPr>
          <w:t>21</w:t>
        </w:r>
        <w:r>
          <w:rPr>
            <w:noProof/>
            <w:webHidden/>
          </w:rPr>
          <w:fldChar w:fldCharType="end"/>
        </w:r>
      </w:hyperlink>
    </w:p>
    <w:p w14:paraId="57932E09" w14:textId="6CAAE14A" w:rsidR="003627DF" w:rsidRPr="003627DF" w:rsidRDefault="00B35093" w:rsidP="003627DF">
      <w:pPr>
        <w:spacing w:line="360" w:lineRule="auto"/>
        <w:rPr>
          <w:rFonts w:ascii="Arial" w:hAnsi="Arial" w:cs="Arial"/>
          <w:sz w:val="24"/>
          <w:szCs w:val="24"/>
        </w:rPr>
      </w:pPr>
      <w:r>
        <w:rPr>
          <w:rFonts w:ascii="Arial" w:hAnsi="Arial" w:cs="Arial"/>
          <w:sz w:val="24"/>
          <w:szCs w:val="24"/>
        </w:rPr>
        <w:fldChar w:fldCharType="end"/>
      </w:r>
    </w:p>
    <w:p w14:paraId="1A0C6E43" w14:textId="77777777" w:rsidR="003627DF" w:rsidRPr="003627DF" w:rsidRDefault="003627DF" w:rsidP="003627DF">
      <w:pPr>
        <w:spacing w:line="360" w:lineRule="auto"/>
        <w:rPr>
          <w:rFonts w:ascii="Arial" w:hAnsi="Arial" w:cs="Arial"/>
          <w:sz w:val="24"/>
          <w:szCs w:val="24"/>
        </w:rPr>
      </w:pPr>
      <w:r w:rsidRPr="003627DF">
        <w:rPr>
          <w:rFonts w:ascii="Arial" w:hAnsi="Arial" w:cs="Arial"/>
          <w:sz w:val="24"/>
          <w:szCs w:val="24"/>
        </w:rPr>
        <w:br w:type="page"/>
      </w:r>
    </w:p>
    <w:p w14:paraId="3880A11F" w14:textId="77777777" w:rsidR="003627DF" w:rsidRPr="00505F48" w:rsidRDefault="003627DF" w:rsidP="004B3858">
      <w:pPr>
        <w:pStyle w:val="Heading1"/>
        <w:rPr>
          <w:rFonts w:ascii="Arial" w:hAnsi="Arial" w:cs="Arial"/>
        </w:rPr>
      </w:pPr>
      <w:bookmarkStart w:id="0" w:name="_Toc215082484"/>
      <w:r w:rsidRPr="00505F48">
        <w:rPr>
          <w:rFonts w:ascii="Arial" w:hAnsi="Arial" w:cs="Arial"/>
        </w:rPr>
        <w:lastRenderedPageBreak/>
        <w:t>1. Selection of Organisation and Target Market</w:t>
      </w:r>
      <w:bookmarkEnd w:id="0"/>
    </w:p>
    <w:p w14:paraId="39B1FA87" w14:textId="77777777" w:rsidR="003627DF" w:rsidRPr="003627DF" w:rsidRDefault="003627DF" w:rsidP="003627DF">
      <w:pPr>
        <w:spacing w:line="360" w:lineRule="auto"/>
        <w:rPr>
          <w:rFonts w:ascii="Arial" w:hAnsi="Arial" w:cs="Arial"/>
          <w:sz w:val="24"/>
          <w:szCs w:val="24"/>
        </w:rPr>
      </w:pPr>
      <w:r w:rsidRPr="003627DF">
        <w:rPr>
          <w:rFonts w:ascii="Arial" w:hAnsi="Arial" w:cs="Arial"/>
          <w:sz w:val="24"/>
          <w:szCs w:val="24"/>
        </w:rPr>
        <w:t>Lululemon Athletica Inc. is a globally recognised leader in the premium athleisure and lifestyle apparel sector. Founded in Vancouver in 1998, the company initially focused on yoga-inspired apparel before evolving into a broader performance and lifestyle brand encompassing yoga, running, training, and everyday wear. Its global reputation is built on innovative product design, high-quality technical fabrics, and a distinct community-based retail experience. Lululemon’s strategic vision is encapsulated in its “Power of Three × 2” growth plan, which emphasises product innovation, market expansion, and guest experience as the foundations of sustainable international growth (Lululemon, 2025). In 2024, the company surpassed USD 10 billion in annual revenue, demonstrating both the scalability of its model and the importance of identifying high-potential new markets for continued expansion (Lululemon, 2025).</w:t>
      </w:r>
    </w:p>
    <w:p w14:paraId="7BE4E5D4" w14:textId="77777777" w:rsidR="003627DF" w:rsidRPr="003627DF" w:rsidRDefault="003627DF" w:rsidP="003627DF">
      <w:pPr>
        <w:spacing w:line="360" w:lineRule="auto"/>
        <w:rPr>
          <w:rFonts w:ascii="Arial" w:hAnsi="Arial" w:cs="Arial"/>
          <w:sz w:val="24"/>
          <w:szCs w:val="24"/>
        </w:rPr>
      </w:pPr>
      <w:r w:rsidRPr="003627DF">
        <w:rPr>
          <w:rFonts w:ascii="Arial" w:hAnsi="Arial" w:cs="Arial"/>
          <w:sz w:val="24"/>
          <w:szCs w:val="24"/>
        </w:rPr>
        <w:t>India represents a particularly compelling opportunity for Lululemon’s next phase of international growth. The country’s macroeconomic trajectory is characterised by robust GDP expansion, a young demographic profile, and rapidly rising urban disposable income. Forecasts indicate that India will cross the USD 4 trillion GDP mark by fiscal year 2026, maintaining annual real growth of approximately 6.5 per cent (S&amp;P Global Ratings, 2025; Nageswaran, 2025). These economic dynamics have catalysed a significant shift in consumer spending, particularly within discretionary and lifestyle categories. As per Bain &amp; Company (2025), India’s e-retail sector is expected to reach USD 170–190 billion by 2030, driven by deeper digital penetration and growing middle-class consumption.</w:t>
      </w:r>
    </w:p>
    <w:p w14:paraId="1751FF96" w14:textId="77777777" w:rsidR="003627DF" w:rsidRPr="003627DF" w:rsidRDefault="003627DF" w:rsidP="003627DF">
      <w:pPr>
        <w:spacing w:line="360" w:lineRule="auto"/>
        <w:rPr>
          <w:rFonts w:ascii="Arial" w:hAnsi="Arial" w:cs="Arial"/>
          <w:sz w:val="24"/>
          <w:szCs w:val="24"/>
        </w:rPr>
      </w:pPr>
      <w:r w:rsidRPr="003627DF">
        <w:rPr>
          <w:rFonts w:ascii="Arial" w:hAnsi="Arial" w:cs="Arial"/>
          <w:sz w:val="24"/>
          <w:szCs w:val="24"/>
        </w:rPr>
        <w:t xml:space="preserve">The apparel and fashion market within India is expanding rapidly, supported by urbanisation, rising brand consciousness, and lifestyle aspirations. According to OC&amp;C Strategy Consultants (2025), India’s apparel market is projected to reach between USD 130 billion and USD 150 billion by 2030, with branded and premium segments outpacing unbranded categories. A similar trend has been observed by </w:t>
      </w:r>
      <w:proofErr w:type="spellStart"/>
      <w:r w:rsidRPr="003627DF">
        <w:rPr>
          <w:rFonts w:ascii="Arial" w:hAnsi="Arial" w:cs="Arial"/>
          <w:sz w:val="24"/>
          <w:szCs w:val="24"/>
        </w:rPr>
        <w:t>Redseer</w:t>
      </w:r>
      <w:proofErr w:type="spellEnd"/>
      <w:r w:rsidRPr="003627DF">
        <w:rPr>
          <w:rFonts w:ascii="Arial" w:hAnsi="Arial" w:cs="Arial"/>
          <w:sz w:val="24"/>
          <w:szCs w:val="24"/>
        </w:rPr>
        <w:t xml:space="preserve"> Strategy Consultants (2024), who highlight e-commerce and omnichannel platforms as critical enablers of fashion and athleisure growth. Within this broader trend, athleisure has emerged as a distinct growth category at the intersection of </w:t>
      </w:r>
      <w:r w:rsidRPr="003627DF">
        <w:rPr>
          <w:rFonts w:ascii="Arial" w:hAnsi="Arial" w:cs="Arial"/>
          <w:sz w:val="24"/>
          <w:szCs w:val="24"/>
        </w:rPr>
        <w:lastRenderedPageBreak/>
        <w:t>performance, comfort, and identity—attributes that align strongly with Lululemon’s brand DNA.</w:t>
      </w:r>
    </w:p>
    <w:p w14:paraId="3FC6E3DA" w14:textId="77777777" w:rsidR="003627DF" w:rsidRPr="003627DF" w:rsidRDefault="003627DF" w:rsidP="003627DF">
      <w:pPr>
        <w:spacing w:line="360" w:lineRule="auto"/>
        <w:rPr>
          <w:rFonts w:ascii="Arial" w:hAnsi="Arial" w:cs="Arial"/>
          <w:sz w:val="24"/>
          <w:szCs w:val="24"/>
        </w:rPr>
      </w:pPr>
      <w:r w:rsidRPr="003627DF">
        <w:rPr>
          <w:rFonts w:ascii="Arial" w:hAnsi="Arial" w:cs="Arial"/>
          <w:sz w:val="24"/>
          <w:szCs w:val="24"/>
        </w:rPr>
        <w:t>Cultural and lifestyle factors further strengthen India’s attractiveness. The country has witnessed a pronounced rise in health and wellness awareness, with yoga, fitness, and mindfulness becoming mainstream practices across urban centres. Deloitte and HFA (2025) project that gym and fitness memberships in India will nearly double from 12.3 million in 2024 to over 23 million by 2030. This expanding base of wellness-oriented consumers reflects a broader lifestyle transformation in which fitness apparel functions as a symbol of aspiration and self-care. Such shifts provide fertile ground for Lululemon’s entry, given the brand’s heritage in yoga culture and its positioning at the intersection of physical and mental well-being.</w:t>
      </w:r>
    </w:p>
    <w:p w14:paraId="4C1FEB2D" w14:textId="05FA077F" w:rsidR="003627DF" w:rsidRPr="003627DF" w:rsidRDefault="003627DF" w:rsidP="003627DF">
      <w:pPr>
        <w:spacing w:line="360" w:lineRule="auto"/>
        <w:rPr>
          <w:rFonts w:ascii="Arial" w:hAnsi="Arial" w:cs="Arial"/>
          <w:sz w:val="24"/>
          <w:szCs w:val="24"/>
        </w:rPr>
      </w:pPr>
      <w:r w:rsidRPr="003627DF">
        <w:rPr>
          <w:rFonts w:ascii="Arial" w:hAnsi="Arial" w:cs="Arial"/>
          <w:sz w:val="24"/>
          <w:szCs w:val="24"/>
        </w:rPr>
        <w:t>Strategically, the decision to expand into India aligns with Lululemon’s proven internationalisation model and operational capabilities. The company has already established a technology hub in Bengaluru—its first outside North America—supporting its global digital and omnichannel infrastructure (Times of India, 2021). This presence provides an operational foothold, enhances localisation capabilities, and demonstrates a long-term commitment to the Indian market. Furthermore, in 2025, Lululemon announced a partnership with Tata CLiQ, a leading Indian luxury e-commerce and retail platform, to launch its first stores and online channels in India by 2026 (</w:t>
      </w:r>
      <w:proofErr w:type="spellStart"/>
      <w:r w:rsidRPr="003627DF">
        <w:rPr>
          <w:rFonts w:ascii="Arial" w:hAnsi="Arial" w:cs="Arial"/>
          <w:sz w:val="24"/>
          <w:szCs w:val="24"/>
        </w:rPr>
        <w:t>LiveMint</w:t>
      </w:r>
      <w:proofErr w:type="spellEnd"/>
      <w:r w:rsidRPr="003627DF">
        <w:rPr>
          <w:rFonts w:ascii="Arial" w:hAnsi="Arial" w:cs="Arial"/>
          <w:sz w:val="24"/>
          <w:szCs w:val="24"/>
        </w:rPr>
        <w:t>, 2025; Times of India, 2025). This hybrid entry approach, combining physical flagship stores with digital distribution, mitigates capital risk while leveraging local expertise, existing infrastructure, and an affluent customer base aligned with Lululemon’s target demographic.</w:t>
      </w:r>
    </w:p>
    <w:p w14:paraId="7F8DF409" w14:textId="77777777" w:rsidR="003627DF" w:rsidRPr="003627DF" w:rsidRDefault="003627DF" w:rsidP="003627DF">
      <w:pPr>
        <w:spacing w:line="360" w:lineRule="auto"/>
        <w:rPr>
          <w:rFonts w:ascii="Arial" w:hAnsi="Arial" w:cs="Arial"/>
          <w:sz w:val="24"/>
          <w:szCs w:val="24"/>
        </w:rPr>
      </w:pPr>
      <w:r w:rsidRPr="003627DF">
        <w:rPr>
          <w:rFonts w:ascii="Arial" w:hAnsi="Arial" w:cs="Arial"/>
          <w:sz w:val="24"/>
          <w:szCs w:val="24"/>
        </w:rPr>
        <w:t xml:space="preserve">Despite these advantages, certain challenges must be acknowledged. India’s consumer base is highly heterogeneous, encompassing a broad spectrum of income and price sensitivity. While premium urban consumers may embrace Lululemon’s value proposition, market penetration beyond metropolitan areas could be limited by affordability constraints. Competitive intensity within the activewear segment is also formidable, with entrenched global players such as Nike, Adidas, Puma, and Decathlon competing alongside agile local brands that offer value-oriented alternatives (Le Monde, 2024). Moreover, operational factors including import duties, distribution complexities, and compliance requirements can impose additional costs. </w:t>
      </w:r>
      <w:r w:rsidRPr="003627DF">
        <w:rPr>
          <w:rFonts w:ascii="Arial" w:hAnsi="Arial" w:cs="Arial"/>
          <w:sz w:val="24"/>
          <w:szCs w:val="24"/>
        </w:rPr>
        <w:lastRenderedPageBreak/>
        <w:t>The prevalence of counterfeit and grey-market apparel—valued at nearly ₹7.9 lakh crore across key sectors—poses further challenges to maintaining price integrity and brand equity (FICCI-CASCADE, 2025).</w:t>
      </w:r>
    </w:p>
    <w:p w14:paraId="03D8038C" w14:textId="77777777" w:rsidR="003627DF" w:rsidRPr="003627DF" w:rsidRDefault="003627DF" w:rsidP="003627DF">
      <w:pPr>
        <w:spacing w:line="360" w:lineRule="auto"/>
        <w:rPr>
          <w:rFonts w:ascii="Arial" w:hAnsi="Arial" w:cs="Arial"/>
          <w:sz w:val="24"/>
          <w:szCs w:val="24"/>
        </w:rPr>
      </w:pPr>
      <w:r w:rsidRPr="003627DF">
        <w:rPr>
          <w:rFonts w:ascii="Arial" w:hAnsi="Arial" w:cs="Arial"/>
          <w:sz w:val="24"/>
          <w:szCs w:val="24"/>
        </w:rPr>
        <w:t>Nevertheless, a structured assessment of market attractiveness and company-market fit suggests that the strategic rationale for entry remains strong. On the demand side, India’s large, youthful, and increasingly wellness-conscious consumer base offers substantial long-term potential. On the supply side, Lululemon possesses distinctive competitive resources—brand equity, community-driven retailing, design innovation, and global operational discipline—that can be leveraged to secure differentiation and loyalty. The cultural alignment between Lululemon’s yoga-inspired identity and India’s wellness heritage creates an additional layer of resonance that few international brands can replicate. Overall, India offers a high-growth, strategically coherent environment for Lululemon’s next phase of global expansion, provided that its entry and scaling strategies remain contextually adaptive and evidence-based.</w:t>
      </w:r>
    </w:p>
    <w:p w14:paraId="2022CD97" w14:textId="00121BBC" w:rsidR="003627DF" w:rsidRDefault="003627DF" w:rsidP="003627DF">
      <w:pPr>
        <w:spacing w:line="360" w:lineRule="auto"/>
        <w:rPr>
          <w:rFonts w:ascii="Arial" w:hAnsi="Arial" w:cs="Arial"/>
          <w:sz w:val="24"/>
          <w:szCs w:val="24"/>
        </w:rPr>
      </w:pPr>
    </w:p>
    <w:p w14:paraId="51BEAC13" w14:textId="77777777" w:rsidR="003627DF" w:rsidRDefault="003627DF">
      <w:pPr>
        <w:rPr>
          <w:rFonts w:ascii="Arial" w:hAnsi="Arial" w:cs="Arial"/>
          <w:sz w:val="24"/>
          <w:szCs w:val="24"/>
        </w:rPr>
      </w:pPr>
      <w:r>
        <w:rPr>
          <w:rFonts w:ascii="Arial" w:hAnsi="Arial" w:cs="Arial"/>
          <w:sz w:val="24"/>
          <w:szCs w:val="24"/>
        </w:rPr>
        <w:br w:type="page"/>
      </w:r>
    </w:p>
    <w:p w14:paraId="60D0299A" w14:textId="77777777" w:rsidR="003627DF" w:rsidRPr="00505F48" w:rsidRDefault="003627DF" w:rsidP="004B3858">
      <w:pPr>
        <w:pStyle w:val="Heading1"/>
        <w:rPr>
          <w:rFonts w:ascii="Arial" w:hAnsi="Arial" w:cs="Arial"/>
        </w:rPr>
      </w:pPr>
      <w:bookmarkStart w:id="1" w:name="_Toc215082485"/>
      <w:r w:rsidRPr="00505F48">
        <w:rPr>
          <w:rFonts w:ascii="Arial" w:hAnsi="Arial" w:cs="Arial"/>
        </w:rPr>
        <w:lastRenderedPageBreak/>
        <w:t>2. Comprehensive Strategic Analysis</w:t>
      </w:r>
      <w:bookmarkEnd w:id="1"/>
    </w:p>
    <w:p w14:paraId="2CD8E020" w14:textId="6717CA3F" w:rsidR="003627DF" w:rsidRPr="003627DF" w:rsidRDefault="003627DF" w:rsidP="003627DF">
      <w:pPr>
        <w:spacing w:line="360" w:lineRule="auto"/>
        <w:rPr>
          <w:rFonts w:ascii="Arial" w:hAnsi="Arial" w:cs="Arial"/>
          <w:sz w:val="24"/>
          <w:szCs w:val="24"/>
        </w:rPr>
      </w:pPr>
      <w:r w:rsidRPr="003627DF">
        <w:rPr>
          <w:rFonts w:ascii="Arial" w:hAnsi="Arial" w:cs="Arial"/>
          <w:sz w:val="24"/>
          <w:szCs w:val="24"/>
        </w:rPr>
        <w:t xml:space="preserve">A rigorous strategic analysis is essential to evaluate the external conditions shaping Lululemon’s prospective entry into the Indian market. This section applies two key analytical frameworks </w:t>
      </w:r>
      <w:r>
        <w:rPr>
          <w:rFonts w:ascii="Arial" w:hAnsi="Arial" w:cs="Arial"/>
          <w:sz w:val="24"/>
          <w:szCs w:val="24"/>
        </w:rPr>
        <w:t>-</w:t>
      </w:r>
      <w:r w:rsidRPr="003627DF">
        <w:rPr>
          <w:rFonts w:ascii="Arial" w:hAnsi="Arial" w:cs="Arial"/>
          <w:sz w:val="24"/>
          <w:szCs w:val="24"/>
        </w:rPr>
        <w:t xml:space="preserve"> PESTEL and Porter’s Five Forces </w:t>
      </w:r>
      <w:r>
        <w:rPr>
          <w:rFonts w:ascii="Arial" w:hAnsi="Arial" w:cs="Arial"/>
          <w:sz w:val="24"/>
          <w:szCs w:val="24"/>
        </w:rPr>
        <w:t>-</w:t>
      </w:r>
      <w:r w:rsidRPr="003627DF">
        <w:rPr>
          <w:rFonts w:ascii="Arial" w:hAnsi="Arial" w:cs="Arial"/>
          <w:sz w:val="24"/>
          <w:szCs w:val="24"/>
        </w:rPr>
        <w:t xml:space="preserve"> to assess India’s macro-environmental and competitive dynamics. The analysis concludes with a concise SWOT synthesis and a critical evaluation of the frameworks’ analytical value and limitations.</w:t>
      </w:r>
    </w:p>
    <w:p w14:paraId="171AE3AD" w14:textId="77777777" w:rsidR="003627DF" w:rsidRPr="00505F48" w:rsidRDefault="003627DF" w:rsidP="004B3858">
      <w:pPr>
        <w:pStyle w:val="Heading2"/>
        <w:rPr>
          <w:rFonts w:ascii="Arial" w:hAnsi="Arial" w:cs="Arial"/>
        </w:rPr>
      </w:pPr>
      <w:bookmarkStart w:id="2" w:name="_Toc215082486"/>
      <w:r w:rsidRPr="00505F48">
        <w:rPr>
          <w:rFonts w:ascii="Arial" w:hAnsi="Arial" w:cs="Arial"/>
        </w:rPr>
        <w:t>2.1 PESTEL Analysis</w:t>
      </w:r>
      <w:bookmarkEnd w:id="2"/>
    </w:p>
    <w:p w14:paraId="7D9D123A" w14:textId="4C4046B6" w:rsidR="003627DF" w:rsidRPr="003627DF" w:rsidRDefault="003627DF" w:rsidP="003627DF">
      <w:pPr>
        <w:spacing w:line="360" w:lineRule="auto"/>
        <w:rPr>
          <w:rFonts w:ascii="Arial" w:hAnsi="Arial" w:cs="Arial"/>
          <w:sz w:val="24"/>
          <w:szCs w:val="24"/>
        </w:rPr>
      </w:pPr>
      <w:r w:rsidRPr="003627DF">
        <w:rPr>
          <w:rFonts w:ascii="Arial" w:hAnsi="Arial" w:cs="Arial"/>
          <w:b/>
          <w:bCs/>
          <w:sz w:val="24"/>
          <w:szCs w:val="24"/>
        </w:rPr>
        <w:t>Political factors</w:t>
      </w:r>
      <w:r w:rsidRPr="003627DF">
        <w:rPr>
          <w:rFonts w:ascii="Arial" w:hAnsi="Arial" w:cs="Arial"/>
          <w:sz w:val="24"/>
          <w:szCs w:val="24"/>
        </w:rPr>
        <w:br/>
        <w:t xml:space="preserve">India presents a broadly stable political environment that has been conducive to foreign investment and retail sector liberalisation. Over the past decade, the government has progressively relaxed foreign direct investment (FDI) norms in single-brand retail, now permitting up to 100 per cent ownership through the automatic route, provided firms source at least 30 per cent of their goods domestically. This policy stance encourages international brands to establish a local presence while stimulating domestic manufacturing and supply-chain development (Deloitte &amp; RAI, 2019). Furthermore, initiatives such as </w:t>
      </w:r>
      <w:r w:rsidRPr="003627DF">
        <w:rPr>
          <w:rFonts w:ascii="Arial" w:hAnsi="Arial" w:cs="Arial"/>
          <w:i/>
          <w:iCs/>
          <w:sz w:val="24"/>
          <w:szCs w:val="24"/>
        </w:rPr>
        <w:t>Make in India</w:t>
      </w:r>
      <w:r w:rsidRPr="003627DF">
        <w:rPr>
          <w:rFonts w:ascii="Arial" w:hAnsi="Arial" w:cs="Arial"/>
          <w:sz w:val="24"/>
          <w:szCs w:val="24"/>
        </w:rPr>
        <w:t xml:space="preserve"> and </w:t>
      </w:r>
      <w:r w:rsidRPr="003627DF">
        <w:rPr>
          <w:rFonts w:ascii="Arial" w:hAnsi="Arial" w:cs="Arial"/>
          <w:i/>
          <w:iCs/>
          <w:sz w:val="24"/>
          <w:szCs w:val="24"/>
        </w:rPr>
        <w:t>Digital India</w:t>
      </w:r>
      <w:r w:rsidRPr="003627DF">
        <w:rPr>
          <w:rFonts w:ascii="Arial" w:hAnsi="Arial" w:cs="Arial"/>
          <w:sz w:val="24"/>
          <w:szCs w:val="24"/>
        </w:rPr>
        <w:t xml:space="preserve"> have signalled a pro-business orientation, creating a more favourable institutional framework for global consumer brands. However, Lululemon will still need to navigate state-level regulatory variations and bureaucratic procedures that can delay market entry or expansion.</w:t>
      </w:r>
    </w:p>
    <w:p w14:paraId="0DD1259F" w14:textId="58E59A05" w:rsidR="003627DF" w:rsidRPr="003627DF" w:rsidRDefault="003627DF" w:rsidP="003627DF">
      <w:pPr>
        <w:spacing w:line="360" w:lineRule="auto"/>
        <w:rPr>
          <w:rFonts w:ascii="Arial" w:hAnsi="Arial" w:cs="Arial"/>
          <w:sz w:val="24"/>
          <w:szCs w:val="24"/>
        </w:rPr>
      </w:pPr>
      <w:r w:rsidRPr="003627DF">
        <w:rPr>
          <w:rFonts w:ascii="Arial" w:hAnsi="Arial" w:cs="Arial"/>
          <w:b/>
          <w:bCs/>
          <w:sz w:val="24"/>
          <w:szCs w:val="24"/>
        </w:rPr>
        <w:t>Economic factors</w:t>
      </w:r>
      <w:r w:rsidRPr="003627DF">
        <w:rPr>
          <w:rFonts w:ascii="Arial" w:hAnsi="Arial" w:cs="Arial"/>
          <w:sz w:val="24"/>
          <w:szCs w:val="24"/>
        </w:rPr>
        <w:br/>
        <w:t>India’s macroeconomic outlook remains one of the strongest globally, characterised by sustained GDP growth and an expanding middle-class consumer base. GDP growth of approximately 6.5 per cent for FY 2025–26 positions India among the world’s fastest-growing large economies (S&amp;P Global Ratings, 2025). Rising disposable income, rapid urbanisation, and increasing female workforce participation are collectively reshaping consumption patterns toward branded and lifestyle products (</w:t>
      </w:r>
      <w:r w:rsidR="0093181F" w:rsidRPr="0093181F">
        <w:rPr>
          <w:rFonts w:ascii="Arial" w:hAnsi="Arial" w:cs="Arial"/>
          <w:sz w:val="24"/>
          <w:szCs w:val="24"/>
        </w:rPr>
        <w:t>Deloitte India, 2025</w:t>
      </w:r>
      <w:r w:rsidRPr="003627DF">
        <w:rPr>
          <w:rFonts w:ascii="Arial" w:hAnsi="Arial" w:cs="Arial"/>
          <w:sz w:val="24"/>
          <w:szCs w:val="24"/>
        </w:rPr>
        <w:t xml:space="preserve">). Urban consumers, particularly millennials and Generation Z, are demonstrating a growing willingness to spend on premium apparel that signals status and self-care. Nevertheless, persistent income inequality and inflationary pressures could limit demand beyond affluent metropolitan segments. </w:t>
      </w:r>
      <w:r w:rsidRPr="003627DF">
        <w:rPr>
          <w:rFonts w:ascii="Arial" w:hAnsi="Arial" w:cs="Arial"/>
          <w:sz w:val="24"/>
          <w:szCs w:val="24"/>
        </w:rPr>
        <w:lastRenderedPageBreak/>
        <w:t>For Lululemon, careful pricing and market segmentation will therefore be critical to ensure affordability without compromising brand equity.</w:t>
      </w:r>
    </w:p>
    <w:p w14:paraId="2B9D03A1" w14:textId="7B528CDA" w:rsidR="003627DF" w:rsidRPr="003627DF" w:rsidRDefault="003627DF" w:rsidP="003627DF">
      <w:pPr>
        <w:spacing w:line="360" w:lineRule="auto"/>
        <w:rPr>
          <w:rFonts w:ascii="Arial" w:hAnsi="Arial" w:cs="Arial"/>
          <w:sz w:val="24"/>
          <w:szCs w:val="24"/>
        </w:rPr>
      </w:pPr>
      <w:r w:rsidRPr="003627DF">
        <w:rPr>
          <w:rFonts w:ascii="Arial" w:hAnsi="Arial" w:cs="Arial"/>
          <w:b/>
          <w:bCs/>
          <w:sz w:val="24"/>
          <w:szCs w:val="24"/>
        </w:rPr>
        <w:t>Sociocultural factors</w:t>
      </w:r>
      <w:r w:rsidRPr="003627DF">
        <w:rPr>
          <w:rFonts w:ascii="Arial" w:hAnsi="Arial" w:cs="Arial"/>
          <w:sz w:val="24"/>
          <w:szCs w:val="24"/>
        </w:rPr>
        <w:br/>
        <w:t>Cultural alignment is a distinctive strength of Lululemon’s proposition in India. The brand’s yoga-inspired identity resonates strongly with India’s own heritage of yoga, spirituality, and holistic wellness, which have gained renewed popularity among urban professionals. The diffusion of global fitness culture, coupled with increased health consciousness post-COVID-19, has accelerated participation in yoga, running, and gym-based training across major cities (Deloitte &amp; HFA, 2025). Moreover, the growing influence of social media and aspirational lifestyles has elevated athleisure from niche sportswear to mainstream fashion. However, regional diversity and differing attitudes toward Westernised fitness culture require sensitive localisation to avoid cultural dissonance or perceptions of exclusivity.</w:t>
      </w:r>
    </w:p>
    <w:p w14:paraId="41A0FA2D" w14:textId="6C27F8DD" w:rsidR="003627DF" w:rsidRPr="003627DF" w:rsidRDefault="003627DF" w:rsidP="003627DF">
      <w:pPr>
        <w:spacing w:line="360" w:lineRule="auto"/>
        <w:rPr>
          <w:rFonts w:ascii="Arial" w:hAnsi="Arial" w:cs="Arial"/>
          <w:sz w:val="24"/>
          <w:szCs w:val="24"/>
        </w:rPr>
      </w:pPr>
      <w:r w:rsidRPr="003627DF">
        <w:rPr>
          <w:rFonts w:ascii="Arial" w:hAnsi="Arial" w:cs="Arial"/>
          <w:b/>
          <w:bCs/>
          <w:sz w:val="24"/>
          <w:szCs w:val="24"/>
        </w:rPr>
        <w:t>Technological factors</w:t>
      </w:r>
      <w:r w:rsidRPr="003627DF">
        <w:rPr>
          <w:rFonts w:ascii="Arial" w:hAnsi="Arial" w:cs="Arial"/>
          <w:sz w:val="24"/>
          <w:szCs w:val="24"/>
        </w:rPr>
        <w:br/>
        <w:t>India’s rapid digitalisation provides a strong foundation for Lululemon’s omnichannel business model. Smartphone penetration exceeds 75 per cent in urban areas, and digital payment systems such as UPI (Unified Payments Interface) are now ubiquitous. These technological shifts support seamless integration between online and offline retail, data-driven customer engagement, and community-based digital marketing. The presence of Lululemon’s technology hub in Bengaluru enhances its ability to localise digital operations and analytics, allowing the brand to tailor e-commerce and loyalty programmes to Indian consumer behaviour (Business Standard, 2023). Nonetheless, digital infrastructure disparities between urban and rural markets remain a constraint for nationwide scalability.</w:t>
      </w:r>
    </w:p>
    <w:p w14:paraId="57AA5D26" w14:textId="48892E43" w:rsidR="003627DF" w:rsidRPr="003627DF" w:rsidRDefault="003627DF" w:rsidP="003627DF">
      <w:pPr>
        <w:spacing w:line="360" w:lineRule="auto"/>
        <w:rPr>
          <w:rFonts w:ascii="Arial" w:hAnsi="Arial" w:cs="Arial"/>
          <w:sz w:val="24"/>
          <w:szCs w:val="24"/>
        </w:rPr>
      </w:pPr>
      <w:r w:rsidRPr="003627DF">
        <w:rPr>
          <w:rFonts w:ascii="Arial" w:hAnsi="Arial" w:cs="Arial"/>
          <w:b/>
          <w:bCs/>
          <w:sz w:val="24"/>
          <w:szCs w:val="24"/>
        </w:rPr>
        <w:t>Environmental factors</w:t>
      </w:r>
      <w:r w:rsidRPr="003627DF">
        <w:rPr>
          <w:rFonts w:ascii="Arial" w:hAnsi="Arial" w:cs="Arial"/>
          <w:sz w:val="24"/>
          <w:szCs w:val="24"/>
        </w:rPr>
        <w:br/>
        <w:t xml:space="preserve">Sustainability has become a defining issue in global retail and apparel strategy. India’s policymakers and consumers alike are increasingly attentive to environmental concerns such as textile waste, carbon emissions, and ethical sourcing. Lululemon’s existing sustainability commitments—its circularity initiatives, recycled materials, and science-based emission targets—are well aligned with these emerging expectations (Lululemon, 2025). Collaborating with local suppliers that adhere to environmental standards could reinforce brand credibility while supporting India’s sustainability </w:t>
      </w:r>
      <w:r w:rsidRPr="003627DF">
        <w:rPr>
          <w:rFonts w:ascii="Arial" w:hAnsi="Arial" w:cs="Arial"/>
          <w:sz w:val="24"/>
          <w:szCs w:val="24"/>
        </w:rPr>
        <w:lastRenderedPageBreak/>
        <w:t>agenda. However, the lack of robust nationwide recycling infrastructure poses an operational challenge to achieving circularity goals at scale.</w:t>
      </w:r>
    </w:p>
    <w:p w14:paraId="3DC45B9D" w14:textId="28F27BA3" w:rsidR="003627DF" w:rsidRPr="003627DF" w:rsidRDefault="003627DF" w:rsidP="003627DF">
      <w:pPr>
        <w:spacing w:line="360" w:lineRule="auto"/>
        <w:rPr>
          <w:rFonts w:ascii="Arial" w:hAnsi="Arial" w:cs="Arial"/>
          <w:sz w:val="24"/>
          <w:szCs w:val="24"/>
        </w:rPr>
      </w:pPr>
      <w:r w:rsidRPr="003627DF">
        <w:rPr>
          <w:rFonts w:ascii="Arial" w:hAnsi="Arial" w:cs="Arial"/>
          <w:b/>
          <w:bCs/>
          <w:sz w:val="24"/>
          <w:szCs w:val="24"/>
        </w:rPr>
        <w:t>Legal factors</w:t>
      </w:r>
      <w:r w:rsidRPr="003627DF">
        <w:rPr>
          <w:rFonts w:ascii="Arial" w:hAnsi="Arial" w:cs="Arial"/>
          <w:sz w:val="24"/>
          <w:szCs w:val="24"/>
        </w:rPr>
        <w:br/>
        <w:t>India’s legal environment for retail and intellectual property has improved but remains complex. Stronger enforcement of trademark laws and anti-counterfeiting measures are essential to protect premium brands. The widespread presence of counterfeit apparel and unauthorised imports represents a material threat to Lululemon’s pricing integrity and brand image (FICCI-CASCADE, 2025). In addition, compliance with labour, taxation, and goods-and-services-tax (GST) regulations will require dedicated local legal and financial expertise.</w:t>
      </w:r>
    </w:p>
    <w:p w14:paraId="30FB6396" w14:textId="77777777" w:rsidR="003627DF" w:rsidRPr="003627DF" w:rsidRDefault="003627DF" w:rsidP="003627DF">
      <w:pPr>
        <w:spacing w:line="360" w:lineRule="auto"/>
        <w:rPr>
          <w:rFonts w:ascii="Arial" w:hAnsi="Arial" w:cs="Arial"/>
          <w:sz w:val="24"/>
          <w:szCs w:val="24"/>
        </w:rPr>
      </w:pPr>
      <w:r w:rsidRPr="003627DF">
        <w:rPr>
          <w:rFonts w:ascii="Arial" w:hAnsi="Arial" w:cs="Arial"/>
          <w:sz w:val="24"/>
          <w:szCs w:val="24"/>
        </w:rPr>
        <w:t>Overall, India’s PESTEL profile suggests a high-potential but operationally intricate environment: a combination of economic dynamism, cultural congruence, and technological readiness balanced by regulatory complexity and uneven affordability.</w:t>
      </w:r>
    </w:p>
    <w:p w14:paraId="1FDBEDAF" w14:textId="77777777" w:rsidR="003627DF" w:rsidRPr="00505F48" w:rsidRDefault="003627DF" w:rsidP="004B3858">
      <w:pPr>
        <w:pStyle w:val="Heading2"/>
        <w:rPr>
          <w:rFonts w:ascii="Arial" w:hAnsi="Arial" w:cs="Arial"/>
        </w:rPr>
      </w:pPr>
      <w:bookmarkStart w:id="3" w:name="_Toc215082487"/>
      <w:r w:rsidRPr="00505F48">
        <w:rPr>
          <w:rFonts w:ascii="Arial" w:hAnsi="Arial" w:cs="Arial"/>
        </w:rPr>
        <w:t>2.2 Porter’s Five Forces Analysis</w:t>
      </w:r>
      <w:bookmarkEnd w:id="3"/>
    </w:p>
    <w:p w14:paraId="533A09B8" w14:textId="797DDA2D" w:rsidR="003627DF" w:rsidRPr="003627DF" w:rsidRDefault="003627DF" w:rsidP="003627DF">
      <w:pPr>
        <w:spacing w:line="360" w:lineRule="auto"/>
        <w:rPr>
          <w:rFonts w:ascii="Arial" w:hAnsi="Arial" w:cs="Arial"/>
          <w:sz w:val="24"/>
          <w:szCs w:val="24"/>
        </w:rPr>
      </w:pPr>
      <w:r w:rsidRPr="003627DF">
        <w:rPr>
          <w:rFonts w:ascii="Arial" w:hAnsi="Arial" w:cs="Arial"/>
          <w:b/>
          <w:bCs/>
          <w:sz w:val="24"/>
          <w:szCs w:val="24"/>
        </w:rPr>
        <w:t>Industry rivalry</w:t>
      </w:r>
      <w:r w:rsidRPr="003627DF">
        <w:rPr>
          <w:rFonts w:ascii="Arial" w:hAnsi="Arial" w:cs="Arial"/>
          <w:sz w:val="24"/>
          <w:szCs w:val="24"/>
        </w:rPr>
        <w:br/>
        <w:t>Competition in India’s sportswear and athleisure sector is intense. Established global brands such as Nike, Adidas, Puma, and Decathlon already enjoy substantial market share and deep distribution networks, while home-grown players like HRX and Cult.sport appeal to price-sensitive consumers. Market saturation in metros drives aggressive promotional activity and product innovation, heightening rivalry. Lululemon’s challenge will be to differentiate through experiential retailing and community engagement rather than competing primarily on price (Le Monde, 2024).</w:t>
      </w:r>
    </w:p>
    <w:p w14:paraId="7493CC0E" w14:textId="548334B0" w:rsidR="003627DF" w:rsidRPr="003627DF" w:rsidRDefault="003627DF" w:rsidP="003627DF">
      <w:pPr>
        <w:spacing w:line="360" w:lineRule="auto"/>
        <w:rPr>
          <w:rFonts w:ascii="Arial" w:hAnsi="Arial" w:cs="Arial"/>
          <w:sz w:val="24"/>
          <w:szCs w:val="24"/>
        </w:rPr>
      </w:pPr>
      <w:r w:rsidRPr="003627DF">
        <w:rPr>
          <w:rFonts w:ascii="Arial" w:hAnsi="Arial" w:cs="Arial"/>
          <w:b/>
          <w:bCs/>
          <w:sz w:val="24"/>
          <w:szCs w:val="24"/>
        </w:rPr>
        <w:t>Threat of new entrants</w:t>
      </w:r>
      <w:r w:rsidRPr="003627DF">
        <w:rPr>
          <w:rFonts w:ascii="Arial" w:hAnsi="Arial" w:cs="Arial"/>
          <w:sz w:val="24"/>
          <w:szCs w:val="24"/>
        </w:rPr>
        <w:br/>
        <w:t>Barriers to entry are moderate. The retail market’s scale and digital accessibility make entry relatively easy, but building brand equity in the premium segment requires significant investment in marketing and store experience. Lululemon’s strong global brand and proprietary fabrics offer differentiation that is difficult for new entrants to replicate quickly.</w:t>
      </w:r>
    </w:p>
    <w:p w14:paraId="65082AB9" w14:textId="51C09083" w:rsidR="003627DF" w:rsidRPr="003627DF" w:rsidRDefault="003627DF" w:rsidP="003627DF">
      <w:pPr>
        <w:spacing w:line="360" w:lineRule="auto"/>
        <w:rPr>
          <w:rFonts w:ascii="Arial" w:hAnsi="Arial" w:cs="Arial"/>
          <w:sz w:val="24"/>
          <w:szCs w:val="24"/>
        </w:rPr>
      </w:pPr>
      <w:r w:rsidRPr="003627DF">
        <w:rPr>
          <w:rFonts w:ascii="Arial" w:hAnsi="Arial" w:cs="Arial"/>
          <w:b/>
          <w:bCs/>
          <w:sz w:val="24"/>
          <w:szCs w:val="24"/>
        </w:rPr>
        <w:t>Bargaining power of suppliers</w:t>
      </w:r>
      <w:r w:rsidRPr="003627DF">
        <w:rPr>
          <w:rFonts w:ascii="Arial" w:hAnsi="Arial" w:cs="Arial"/>
          <w:sz w:val="24"/>
          <w:szCs w:val="24"/>
        </w:rPr>
        <w:br/>
        <w:t xml:space="preserve">In India, apparel manufacturers are numerous, which reduces supplier power. However, for a brand maintaining stringent quality standards, the pool of compliant </w:t>
      </w:r>
      <w:r w:rsidRPr="003627DF">
        <w:rPr>
          <w:rFonts w:ascii="Arial" w:hAnsi="Arial" w:cs="Arial"/>
          <w:sz w:val="24"/>
          <w:szCs w:val="24"/>
        </w:rPr>
        <w:lastRenderedPageBreak/>
        <w:t>suppliers narrows considerably. The local sourcing requirement under FDI regulations further limits flexibility. Strategic partnerships with certified suppliers could mitigate these constraints while supporting sustainability commitments.</w:t>
      </w:r>
    </w:p>
    <w:p w14:paraId="055BDBF2" w14:textId="6374D910" w:rsidR="003627DF" w:rsidRPr="003627DF" w:rsidRDefault="003627DF" w:rsidP="003627DF">
      <w:pPr>
        <w:spacing w:line="360" w:lineRule="auto"/>
        <w:rPr>
          <w:rFonts w:ascii="Arial" w:hAnsi="Arial" w:cs="Arial"/>
          <w:sz w:val="24"/>
          <w:szCs w:val="24"/>
        </w:rPr>
      </w:pPr>
      <w:r w:rsidRPr="003627DF">
        <w:rPr>
          <w:rFonts w:ascii="Arial" w:hAnsi="Arial" w:cs="Arial"/>
          <w:b/>
          <w:bCs/>
          <w:sz w:val="24"/>
          <w:szCs w:val="24"/>
        </w:rPr>
        <w:t>Bargaining power of buyers</w:t>
      </w:r>
      <w:r w:rsidRPr="003627DF">
        <w:rPr>
          <w:rFonts w:ascii="Arial" w:hAnsi="Arial" w:cs="Arial"/>
          <w:sz w:val="24"/>
          <w:szCs w:val="24"/>
        </w:rPr>
        <w:br/>
        <w:t>Consumers in India have a wide range of price and quality options, which increases buyer power, particularly in online channels where price comparison is effortless. Lululemon can offset this through brand loyalty, superior product performance, and community engagement that reduces price elasticity. The target customer segment—affluent, health-conscious urban consumers—values authenticity and quality, which supports premium pricing.</w:t>
      </w:r>
    </w:p>
    <w:p w14:paraId="30117322" w14:textId="14B83519" w:rsidR="003627DF" w:rsidRPr="003627DF" w:rsidRDefault="003627DF" w:rsidP="003627DF">
      <w:pPr>
        <w:spacing w:line="360" w:lineRule="auto"/>
        <w:rPr>
          <w:rFonts w:ascii="Arial" w:hAnsi="Arial" w:cs="Arial"/>
          <w:sz w:val="24"/>
          <w:szCs w:val="24"/>
        </w:rPr>
      </w:pPr>
      <w:r w:rsidRPr="003627DF">
        <w:rPr>
          <w:rFonts w:ascii="Arial" w:hAnsi="Arial" w:cs="Arial"/>
          <w:b/>
          <w:bCs/>
          <w:sz w:val="24"/>
          <w:szCs w:val="24"/>
        </w:rPr>
        <w:t>Threat of substitutes</w:t>
      </w:r>
      <w:r w:rsidRPr="003627DF">
        <w:rPr>
          <w:rFonts w:ascii="Arial" w:hAnsi="Arial" w:cs="Arial"/>
          <w:sz w:val="24"/>
          <w:szCs w:val="24"/>
        </w:rPr>
        <w:br/>
        <w:t>Substitution risks arise from both non-branded local apparel and cross-category alternatives such as lifestyle fashion labels offering athleisure-inspired collections. Nevertheless, Lululemon’s focus on technical performance and brand community reduces substitutability within its core demographic.</w:t>
      </w:r>
    </w:p>
    <w:p w14:paraId="287ABD3D" w14:textId="77777777" w:rsidR="003627DF" w:rsidRPr="003627DF" w:rsidRDefault="003627DF" w:rsidP="003627DF">
      <w:pPr>
        <w:spacing w:line="360" w:lineRule="auto"/>
        <w:rPr>
          <w:rFonts w:ascii="Arial" w:hAnsi="Arial" w:cs="Arial"/>
          <w:sz w:val="24"/>
          <w:szCs w:val="24"/>
        </w:rPr>
      </w:pPr>
      <w:r w:rsidRPr="003627DF">
        <w:rPr>
          <w:rFonts w:ascii="Arial" w:hAnsi="Arial" w:cs="Arial"/>
          <w:sz w:val="24"/>
          <w:szCs w:val="24"/>
        </w:rPr>
        <w:t>Overall, the competitive landscape is demanding but offers opportunities for differentiation. Success will depend on leveraging brand equity, digital engagement, and community-based experiences to transcend price-driven competition.</w:t>
      </w:r>
    </w:p>
    <w:p w14:paraId="1C527772" w14:textId="77777777" w:rsidR="003627DF" w:rsidRPr="00505F48" w:rsidRDefault="003627DF" w:rsidP="004B3858">
      <w:pPr>
        <w:pStyle w:val="Heading2"/>
        <w:rPr>
          <w:rFonts w:ascii="Arial" w:hAnsi="Arial" w:cs="Arial"/>
        </w:rPr>
      </w:pPr>
      <w:bookmarkStart w:id="4" w:name="_Toc215082488"/>
      <w:r w:rsidRPr="00505F48">
        <w:rPr>
          <w:rFonts w:ascii="Arial" w:hAnsi="Arial" w:cs="Arial"/>
        </w:rPr>
        <w:t>2.3 SWOT Summary</w:t>
      </w:r>
      <w:bookmarkEnd w:id="4"/>
    </w:p>
    <w:p w14:paraId="22BD0C82" w14:textId="77777777" w:rsidR="003627DF" w:rsidRPr="003627DF" w:rsidRDefault="003627DF" w:rsidP="003627DF">
      <w:pPr>
        <w:spacing w:line="360" w:lineRule="auto"/>
        <w:rPr>
          <w:rFonts w:ascii="Arial" w:hAnsi="Arial" w:cs="Arial"/>
          <w:sz w:val="24"/>
          <w:szCs w:val="24"/>
        </w:rPr>
      </w:pPr>
      <w:r w:rsidRPr="003627DF">
        <w:rPr>
          <w:rFonts w:ascii="Arial" w:hAnsi="Arial" w:cs="Arial"/>
          <w:sz w:val="24"/>
          <w:szCs w:val="24"/>
        </w:rPr>
        <w:t>Synthesising the external analyses yields the following profile. Lululemon’s principal strengths lie in its premium brand reputation, product innovation, and alignment with global wellness culture. The company’s presence in India through its technology hub and partnership with Tata CLiQ offers structural advantages in digital operations and market entry. Its major weaknesses include limited local supply-chain integration and potential price misalignment with mass-market consumers. The opportunities in India are substantial: sustained GDP growth, the rise of fitness and athleisure lifestyles, digital retail expansion, and the cultural legitimacy of yoga. Key threats include fierce competition, counterfeit goods, operational complexity, and consumer price sensitivity.</w:t>
      </w:r>
    </w:p>
    <w:p w14:paraId="7DCA36AA" w14:textId="77777777" w:rsidR="003627DF" w:rsidRDefault="003627DF" w:rsidP="003627DF">
      <w:pPr>
        <w:spacing w:line="360" w:lineRule="auto"/>
        <w:rPr>
          <w:rFonts w:ascii="Arial" w:hAnsi="Arial" w:cs="Arial"/>
          <w:b/>
          <w:bCs/>
          <w:sz w:val="24"/>
          <w:szCs w:val="24"/>
        </w:rPr>
      </w:pPr>
    </w:p>
    <w:p w14:paraId="03CA20E1" w14:textId="77777777" w:rsidR="003627DF" w:rsidRDefault="003627DF" w:rsidP="003627DF">
      <w:pPr>
        <w:spacing w:line="360" w:lineRule="auto"/>
        <w:rPr>
          <w:rFonts w:ascii="Arial" w:hAnsi="Arial" w:cs="Arial"/>
          <w:b/>
          <w:bCs/>
          <w:sz w:val="24"/>
          <w:szCs w:val="24"/>
        </w:rPr>
      </w:pPr>
    </w:p>
    <w:p w14:paraId="0CD98052" w14:textId="51A00AC6" w:rsidR="003627DF" w:rsidRPr="00505F48" w:rsidRDefault="003627DF" w:rsidP="004B3858">
      <w:pPr>
        <w:pStyle w:val="Heading2"/>
        <w:rPr>
          <w:rFonts w:ascii="Arial" w:hAnsi="Arial" w:cs="Arial"/>
        </w:rPr>
      </w:pPr>
      <w:bookmarkStart w:id="5" w:name="_Toc215082489"/>
      <w:r w:rsidRPr="00505F48">
        <w:rPr>
          <w:rFonts w:ascii="Arial" w:hAnsi="Arial" w:cs="Arial"/>
        </w:rPr>
        <w:lastRenderedPageBreak/>
        <w:t>2.4 Critical Evaluation of Frameworks</w:t>
      </w:r>
      <w:bookmarkEnd w:id="5"/>
    </w:p>
    <w:p w14:paraId="0F1C7660" w14:textId="77777777" w:rsidR="003627DF" w:rsidRPr="003627DF" w:rsidRDefault="003627DF" w:rsidP="003627DF">
      <w:pPr>
        <w:spacing w:line="360" w:lineRule="auto"/>
        <w:rPr>
          <w:rFonts w:ascii="Arial" w:hAnsi="Arial" w:cs="Arial"/>
          <w:sz w:val="24"/>
          <w:szCs w:val="24"/>
        </w:rPr>
      </w:pPr>
      <w:r w:rsidRPr="003627DF">
        <w:rPr>
          <w:rFonts w:ascii="Arial" w:hAnsi="Arial" w:cs="Arial"/>
          <w:sz w:val="24"/>
          <w:szCs w:val="24"/>
        </w:rPr>
        <w:t>While PESTEL and Porter’s Five Forces provide valuable structure for external analysis, both frameworks possess inherent limitations when applied to fast-changing markets. PESTEL’s static categorisation can obscure the dynamic interplay between political, technological, and social forces—for example, how digitalisation simultaneously transforms consumer behaviour, competition, and regulation. Similarly, Porter’s model presumes relatively stable industry boundaries, whereas India’s retail ecosystem is fluid, with blurred lines between offline and online, domestic and international competitors. Moreover, both frameworks are predominantly macro- and industry-level tools that do not capture firm-specific resources or strategic intent—factors critical to Lululemon’s differentiation. Consequently, while these models clarify environmental opportunities and risks, their insights must be integrated with resource-based and capability-driven perspectives to inform effective strategy formulation in subsequent sections.</w:t>
      </w:r>
    </w:p>
    <w:p w14:paraId="7119A66A" w14:textId="5D4A8887" w:rsidR="00A4724D" w:rsidRDefault="00A4724D" w:rsidP="003627DF">
      <w:pPr>
        <w:spacing w:line="360" w:lineRule="auto"/>
        <w:rPr>
          <w:rFonts w:ascii="Arial" w:hAnsi="Arial" w:cs="Arial"/>
          <w:sz w:val="24"/>
          <w:szCs w:val="24"/>
        </w:rPr>
      </w:pPr>
    </w:p>
    <w:p w14:paraId="0F648CEC" w14:textId="77777777" w:rsidR="00A4724D" w:rsidRDefault="00A4724D">
      <w:pPr>
        <w:rPr>
          <w:rFonts w:ascii="Arial" w:hAnsi="Arial" w:cs="Arial"/>
          <w:sz w:val="24"/>
          <w:szCs w:val="24"/>
        </w:rPr>
      </w:pPr>
      <w:r>
        <w:rPr>
          <w:rFonts w:ascii="Arial" w:hAnsi="Arial" w:cs="Arial"/>
          <w:sz w:val="24"/>
          <w:szCs w:val="24"/>
        </w:rPr>
        <w:br w:type="page"/>
      </w:r>
    </w:p>
    <w:p w14:paraId="0508F155" w14:textId="77777777" w:rsidR="00A4724D" w:rsidRPr="00505F48" w:rsidRDefault="00A4724D" w:rsidP="004B3858">
      <w:pPr>
        <w:pStyle w:val="Heading1"/>
        <w:rPr>
          <w:rFonts w:ascii="Arial" w:hAnsi="Arial" w:cs="Arial"/>
        </w:rPr>
      </w:pPr>
      <w:bookmarkStart w:id="6" w:name="_Toc215082490"/>
      <w:r w:rsidRPr="00505F48">
        <w:rPr>
          <w:rFonts w:ascii="Arial" w:hAnsi="Arial" w:cs="Arial"/>
        </w:rPr>
        <w:lastRenderedPageBreak/>
        <w:t>3. Strategy Development and Formulation</w:t>
      </w:r>
      <w:bookmarkEnd w:id="6"/>
    </w:p>
    <w:p w14:paraId="431F0D64"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Having established the attractiveness and challenges of the Indian market, this section develops a strategic plan for Lululemon’s market entry and expansion. The analysis draws upon several core strategic frameworks, including the Ansoff Matrix, Porter’s Generic Strategies, the OLI/Entry Mode model, and the VRIO framework, to formulate an approach that aligns with Lululemon’s global objectives and capabilities. The resulting strategy seeks to secure competitive advantage in India’s premium athleisure sector through differentiation, community-building, and sustainable value creation.</w:t>
      </w:r>
    </w:p>
    <w:p w14:paraId="1951820F" w14:textId="77777777" w:rsidR="00A4724D" w:rsidRPr="00505F48" w:rsidRDefault="00A4724D" w:rsidP="004B3858">
      <w:pPr>
        <w:pStyle w:val="Heading2"/>
        <w:rPr>
          <w:rFonts w:ascii="Arial" w:hAnsi="Arial" w:cs="Arial"/>
        </w:rPr>
      </w:pPr>
      <w:bookmarkStart w:id="7" w:name="_Toc215082491"/>
      <w:r w:rsidRPr="00505F48">
        <w:rPr>
          <w:rFonts w:ascii="Arial" w:hAnsi="Arial" w:cs="Arial"/>
        </w:rPr>
        <w:t>3.1 Strategic Direction: Market Development through International Expansion</w:t>
      </w:r>
      <w:bookmarkEnd w:id="7"/>
    </w:p>
    <w:p w14:paraId="66F72CEC"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The Ansoff Matrix provides a conceptual foundation for defining Lululemon’s growth path. The company’s move into India represents a market development strategy, whereby existing products and capabilities are introduced to a new geographic market (Ansoff, 1957). Lululemon already possesses a well-defined product range—premium yoga wear, activewear, and lifestyle apparel—supported by strong brand equity and supply-chain expertise. The firm is therefore not seeking radical product innovation but rather geographic diversification to extend its customer base.</w:t>
      </w:r>
    </w:p>
    <w:p w14:paraId="338351C5"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This approach is consistent with Lululemon’s “Power of Three × 2” global growth plan, which focuses on product innovation, guest experience, and market expansion (Lululemon, 2025). By combining its global product strengths with locally relevant market insights, the company can build a scalable, high-margin business that enhances its Asia-Pacific portfolio.</w:t>
      </w:r>
    </w:p>
    <w:p w14:paraId="4FE4CBF5" w14:textId="77777777" w:rsidR="00A4724D" w:rsidRPr="00505F48" w:rsidRDefault="00A4724D" w:rsidP="004B3858">
      <w:pPr>
        <w:pStyle w:val="Heading2"/>
        <w:rPr>
          <w:rFonts w:ascii="Arial" w:hAnsi="Arial" w:cs="Arial"/>
        </w:rPr>
      </w:pPr>
      <w:bookmarkStart w:id="8" w:name="_Toc215082492"/>
      <w:r w:rsidRPr="00505F48">
        <w:rPr>
          <w:rFonts w:ascii="Arial" w:hAnsi="Arial" w:cs="Arial"/>
        </w:rPr>
        <w:t>3.2 Entry Mode Strategy: Partnership-led Omnichannel Model</w:t>
      </w:r>
      <w:bookmarkEnd w:id="8"/>
    </w:p>
    <w:p w14:paraId="1771443B"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Dunning’s Eclectic Paradigm (OLI model) offers a framework for understanding Lululemon’s choice of entry strategy.</w:t>
      </w:r>
    </w:p>
    <w:p w14:paraId="6F53572F"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 xml:space="preserve">Ownership advantages stem from Lululemon’s proprietary fabric technologies, its experiential retail concepts, and its community-based marketing approach. These elements form the backbone of its differentiation and can be effectively transferred to new markets. The company’s financial resources and brand discipline enable a high </w:t>
      </w:r>
      <w:r w:rsidRPr="00A4724D">
        <w:rPr>
          <w:rFonts w:ascii="Arial" w:hAnsi="Arial" w:cs="Arial"/>
          <w:sz w:val="24"/>
          <w:szCs w:val="24"/>
        </w:rPr>
        <w:lastRenderedPageBreak/>
        <w:t>degree of control over brand presentation, which is essential in the premium apparel category.</w:t>
      </w:r>
    </w:p>
    <w:p w14:paraId="6B44986A" w14:textId="418D7FAA"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Location advantages in India are substantial. The country offers a large, youthful consumer base, increasing fitness awareness, and a digitally integrated retail ecosystem. Cultural links to yoga reinforce brand authenticity and provide a symbolic alignment rarely available to foreign entrants. However, the market’s regulatory complexity and regional diversity suggest that local partnerships will be important for operational success (</w:t>
      </w:r>
      <w:r w:rsidR="0093181F" w:rsidRPr="0093181F">
        <w:rPr>
          <w:rFonts w:ascii="Arial" w:hAnsi="Arial" w:cs="Arial"/>
          <w:sz w:val="24"/>
          <w:szCs w:val="24"/>
        </w:rPr>
        <w:t>Deloitte India, 2025</w:t>
      </w:r>
      <w:r w:rsidRPr="00A4724D">
        <w:rPr>
          <w:rFonts w:ascii="Arial" w:hAnsi="Arial" w:cs="Arial"/>
          <w:sz w:val="24"/>
          <w:szCs w:val="24"/>
        </w:rPr>
        <w:t>).</w:t>
      </w:r>
    </w:p>
    <w:p w14:paraId="4197FB8A"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 xml:space="preserve">Internalisation advantages are evident in Lululemon’s desire to maintain control over brand identity, customer experience, and innovation. However, operational efficiency and local responsiveness can be enhanced through collaboration with established Indian partners. Accordingly, Lululemon’s decision to enter India through a franchise and distribution partnership with Tata CLiQ represents a strategically balanced choice. This hybrid structure combines control over core brand elements with access to Tata </w:t>
      </w:r>
      <w:proofErr w:type="spellStart"/>
      <w:r w:rsidRPr="00A4724D">
        <w:rPr>
          <w:rFonts w:ascii="Arial" w:hAnsi="Arial" w:cs="Arial"/>
          <w:sz w:val="24"/>
          <w:szCs w:val="24"/>
        </w:rPr>
        <w:t>CLiQ’s</w:t>
      </w:r>
      <w:proofErr w:type="spellEnd"/>
      <w:r w:rsidRPr="00A4724D">
        <w:rPr>
          <w:rFonts w:ascii="Arial" w:hAnsi="Arial" w:cs="Arial"/>
          <w:sz w:val="24"/>
          <w:szCs w:val="24"/>
        </w:rPr>
        <w:t xml:space="preserve"> distribution network, logistics expertise, and regulatory knowledge (Economic Times, 2025). It reduces financial exposure while enabling rapid scalability through both physical stores and online platforms. The model mirrors Lululemon’s successful expansion in other regions, where partnerships have enabled market entry without compromising brand standards.</w:t>
      </w:r>
    </w:p>
    <w:p w14:paraId="7E99BFA9" w14:textId="77777777" w:rsidR="00A4724D" w:rsidRPr="00505F48" w:rsidRDefault="00A4724D" w:rsidP="004B3858">
      <w:pPr>
        <w:pStyle w:val="Heading2"/>
        <w:rPr>
          <w:rFonts w:ascii="Arial" w:hAnsi="Arial" w:cs="Arial"/>
        </w:rPr>
      </w:pPr>
      <w:bookmarkStart w:id="9" w:name="_Toc215082493"/>
      <w:r w:rsidRPr="00505F48">
        <w:rPr>
          <w:rFonts w:ascii="Arial" w:hAnsi="Arial" w:cs="Arial"/>
        </w:rPr>
        <w:t>3.3 Competitive Positioning: Differentiation Focus</w:t>
      </w:r>
      <w:bookmarkEnd w:id="9"/>
    </w:p>
    <w:p w14:paraId="6B5AB120"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Porter’s Generic Strategies framework suggests that firms achieve sustainable competitive advantage through cost leadership, differentiation, or focus (Porter, 1980). Lululemon’s global and local strategy is best characterised as differentiation focus. Rather than competing on price, the brand competes on superior product design, innovation, and emotional engagement.</w:t>
      </w:r>
    </w:p>
    <w:p w14:paraId="114A06D9"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The differentiation rests on three pillars. First, Lululemon’s products offer functional superiority through proprietary fabrics that deliver comfort, performance, and durability. Second, its retail experience is immersive and community-oriented, with stores functioning as spaces for yoga classes, wellness events, and brand engagement. Third, its marketing narrative is centred on mindfulness, authenticity, and self-improvement, themes that resonate strongly with India’s growing wellness-oriented middle class (Deloitte and HFA, 2025).</w:t>
      </w:r>
    </w:p>
    <w:p w14:paraId="5FF56DCD"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lastRenderedPageBreak/>
        <w:t>In India, Lululemon will compete primarily against Nike, Adidas, Puma, and Decathlon. However, these brands focus predominantly on performance sportswear rather than lifestyle-oriented activewear. Lululemon’s positioning at the intersection of wellness, fashion, and identity offers a differentiated space within the market. This distinction allows the brand to maintain premium pricing while appealing to aspirational consumers seeking products that combine function and meaning (OC&amp;C Strategy Consultants, 2025).</w:t>
      </w:r>
    </w:p>
    <w:p w14:paraId="65822970" w14:textId="77777777" w:rsidR="00A4724D" w:rsidRPr="00505F48" w:rsidRDefault="00A4724D" w:rsidP="004B3858">
      <w:pPr>
        <w:pStyle w:val="Heading2"/>
        <w:rPr>
          <w:rFonts w:ascii="Arial" w:hAnsi="Arial" w:cs="Arial"/>
        </w:rPr>
      </w:pPr>
      <w:bookmarkStart w:id="10" w:name="_Toc215082494"/>
      <w:r w:rsidRPr="00505F48">
        <w:rPr>
          <w:rFonts w:ascii="Arial" w:hAnsi="Arial" w:cs="Arial"/>
        </w:rPr>
        <w:t>3.4 Resource and Capability Alignment: VRIO Analysis</w:t>
      </w:r>
      <w:bookmarkEnd w:id="10"/>
    </w:p>
    <w:p w14:paraId="4D7C90F8"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The VRIO framework (Barney, 1991) assesses whether Lululemon’s internal resources provide sustainable competitive advantage in India.</w:t>
      </w:r>
    </w:p>
    <w:p w14:paraId="3ED2476C"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 xml:space="preserve">Lululemon’s brand equity and community culture are both valuable and rare, difficult to imitate, and well-organised within its global structure. Its proprietary fabric technologies, such as Luon and </w:t>
      </w:r>
      <w:proofErr w:type="spellStart"/>
      <w:r w:rsidRPr="00A4724D">
        <w:rPr>
          <w:rFonts w:ascii="Arial" w:hAnsi="Arial" w:cs="Arial"/>
          <w:sz w:val="24"/>
          <w:szCs w:val="24"/>
        </w:rPr>
        <w:t>Nulu</w:t>
      </w:r>
      <w:proofErr w:type="spellEnd"/>
      <w:r w:rsidRPr="00A4724D">
        <w:rPr>
          <w:rFonts w:ascii="Arial" w:hAnsi="Arial" w:cs="Arial"/>
          <w:sz w:val="24"/>
          <w:szCs w:val="24"/>
        </w:rPr>
        <w:t>, deliver tangible performance benefits and are similarly rare and inimitable. The company’s experiential retail format and ambassador network further strengthen differentiation by creating emotional connections that competitors struggle to replicate. Lululemon’s digital analytics and omnichannel systems, enhanced by its Bengaluru technology hub, provide valuable but less unique advantages given India’s advanced digital ecosystem (Business Standard, 2023). Local partnerships and supply-chain adaptations, while valuable, are more easily replicated by competitors, offering parity rather than sustained advantage.</w:t>
      </w:r>
    </w:p>
    <w:p w14:paraId="240ABF18"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Overall, Lululemon’s distinctive strengths—brand authenticity, innovation, and community engagement—are strategically transferable to India and form the core of its competitive advantage. Sustaining these advantages will require continuous investment in design, local storytelling, and customer engagement.</w:t>
      </w:r>
    </w:p>
    <w:p w14:paraId="4B51D2C9" w14:textId="77777777" w:rsidR="00A4724D" w:rsidRPr="00B35093" w:rsidRDefault="00A4724D" w:rsidP="004B3858">
      <w:pPr>
        <w:pStyle w:val="Heading2"/>
        <w:rPr>
          <w:rFonts w:ascii="Arial" w:hAnsi="Arial" w:cs="Arial"/>
        </w:rPr>
      </w:pPr>
      <w:bookmarkStart w:id="11" w:name="_Toc215082495"/>
      <w:r w:rsidRPr="00B35093">
        <w:rPr>
          <w:rFonts w:ascii="Arial" w:hAnsi="Arial" w:cs="Arial"/>
        </w:rPr>
        <w:t>3.5 Strategic Initiatives and Implementation Priorities</w:t>
      </w:r>
      <w:bookmarkEnd w:id="11"/>
    </w:p>
    <w:p w14:paraId="1D104569"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To operationalise this strategy, Lululemon should adopt a phased and adaptive implementation plan.</w:t>
      </w:r>
    </w:p>
    <w:p w14:paraId="14437F33"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 xml:space="preserve">The first phase should focus on flagship store launches in high-income metropolitan areas such as Mumbai, Delhi, and Bengaluru, supported by a parallel online presence via Tata CLiQ Luxury. This dual-channel approach allows for experiential </w:t>
      </w:r>
      <w:r w:rsidRPr="00A4724D">
        <w:rPr>
          <w:rFonts w:ascii="Arial" w:hAnsi="Arial" w:cs="Arial"/>
          <w:sz w:val="24"/>
          <w:szCs w:val="24"/>
        </w:rPr>
        <w:lastRenderedPageBreak/>
        <w:t>brand-building while capturing digital demand. A second phase can expand into Tier 1.5 cities such as Pune, Hyderabad, and Chennai once brand awareness and operational systems are established.</w:t>
      </w:r>
    </w:p>
    <w:p w14:paraId="7C7387E3"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The company should also leverage India’s yoga and wellness ecosystem through collaborations with local fitness studios, yoga instructors, and cultural ambassadors. These partnerships can reinforce authenticity and facilitate organic brand integration into India’s wellness narrative.</w:t>
      </w:r>
    </w:p>
    <w:p w14:paraId="773110CA"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Local sourcing initiatives will be important for compliance with FDI norms and for reinforcing Lululemon’s sustainability agenda. Partnerships with certified textile suppliers can also help manage costs and promote environmental responsibility (Lululemon, 2025). Finally, a premium but adaptive pricing strategy—featuring limited-edition or region-specific collections—can expand accessibility without diluting the brand’s luxury positioning.</w:t>
      </w:r>
    </w:p>
    <w:p w14:paraId="305E0301" w14:textId="77777777" w:rsidR="00A4724D" w:rsidRPr="00505F48" w:rsidRDefault="00A4724D" w:rsidP="004B3858">
      <w:pPr>
        <w:pStyle w:val="Heading2"/>
        <w:rPr>
          <w:rFonts w:ascii="Arial" w:hAnsi="Arial" w:cs="Arial"/>
        </w:rPr>
      </w:pPr>
      <w:bookmarkStart w:id="12" w:name="_Toc215082496"/>
      <w:r w:rsidRPr="00505F48">
        <w:rPr>
          <w:rFonts w:ascii="Arial" w:hAnsi="Arial" w:cs="Arial"/>
        </w:rPr>
        <w:t>3.6 Summary</w:t>
      </w:r>
      <w:bookmarkEnd w:id="12"/>
    </w:p>
    <w:p w14:paraId="21A60D50"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Lululemon’s proposed entry into India should therefore combine a partnership-led entry mode with a differentiation-focused competitive strategy. The frameworks collectively indicate that India provides fertile conditions for sustainable value creation, provided that the company balances brand consistency with local adaptation. Lululemon’s ownership advantages, alignment with cultural and consumer trends, and capability to deliver experiential retail through omnichannel integration position it strongly for success. The proposed approach enables the brand to leverage its global strengths while embedding itself meaningfully within India’s fast-evolving wellness and lifestyle economy.</w:t>
      </w:r>
    </w:p>
    <w:p w14:paraId="1B711BF7" w14:textId="13980A07" w:rsidR="00A4724D" w:rsidRDefault="00A4724D" w:rsidP="003627DF">
      <w:pPr>
        <w:spacing w:line="360" w:lineRule="auto"/>
        <w:rPr>
          <w:rFonts w:ascii="Arial" w:hAnsi="Arial" w:cs="Arial"/>
          <w:sz w:val="24"/>
          <w:szCs w:val="24"/>
        </w:rPr>
      </w:pPr>
    </w:p>
    <w:p w14:paraId="4AC55C66" w14:textId="77777777" w:rsidR="00A4724D" w:rsidRDefault="00A4724D">
      <w:pPr>
        <w:rPr>
          <w:rFonts w:ascii="Arial" w:hAnsi="Arial" w:cs="Arial"/>
          <w:sz w:val="24"/>
          <w:szCs w:val="24"/>
        </w:rPr>
      </w:pPr>
      <w:r>
        <w:rPr>
          <w:rFonts w:ascii="Arial" w:hAnsi="Arial" w:cs="Arial"/>
          <w:sz w:val="24"/>
          <w:szCs w:val="24"/>
        </w:rPr>
        <w:br w:type="page"/>
      </w:r>
    </w:p>
    <w:p w14:paraId="4D98DA9C" w14:textId="77777777" w:rsidR="00A4724D" w:rsidRPr="00505F48" w:rsidRDefault="00A4724D" w:rsidP="004B3858">
      <w:pPr>
        <w:pStyle w:val="Heading1"/>
        <w:rPr>
          <w:rFonts w:ascii="Arial" w:hAnsi="Arial" w:cs="Arial"/>
        </w:rPr>
      </w:pPr>
      <w:bookmarkStart w:id="13" w:name="_Toc215082497"/>
      <w:r w:rsidRPr="00505F48">
        <w:rPr>
          <w:rFonts w:ascii="Arial" w:hAnsi="Arial" w:cs="Arial"/>
        </w:rPr>
        <w:lastRenderedPageBreak/>
        <w:t>4. Performance Evaluation Framework</w:t>
      </w:r>
      <w:bookmarkEnd w:id="13"/>
    </w:p>
    <w:p w14:paraId="7C075E7F"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A comprehensive performance evaluation framework is essential to ensure that Lululemon’s expansion into India delivers sustainable strategic value and aligns with its global objectives. As a premium brand driven by innovation, community, and responsibility, the company must evaluate performance through both financial and non-financial dimensions. This section proposes an integrated approach combining the Balanced Scorecard (BSC) and the Triple Bottom Line (TBL) frameworks. The Balanced Scorecard translates strategic goals into measurable outcomes, while the Triple Bottom Line ensures alignment with Lululemon’s commitments to people, planet, and profit.</w:t>
      </w:r>
    </w:p>
    <w:p w14:paraId="41C12772" w14:textId="77777777" w:rsidR="00A4724D" w:rsidRPr="00B35093" w:rsidRDefault="00A4724D" w:rsidP="004B3858">
      <w:pPr>
        <w:pStyle w:val="Heading2"/>
        <w:rPr>
          <w:rFonts w:ascii="Arial" w:hAnsi="Arial" w:cs="Arial"/>
        </w:rPr>
      </w:pPr>
      <w:bookmarkStart w:id="14" w:name="_Toc215082498"/>
      <w:r w:rsidRPr="00B35093">
        <w:rPr>
          <w:rFonts w:ascii="Arial" w:hAnsi="Arial" w:cs="Arial"/>
        </w:rPr>
        <w:t>4.1 The Balanced Scorecard Framework</w:t>
      </w:r>
      <w:bookmarkEnd w:id="14"/>
    </w:p>
    <w:p w14:paraId="2A131D40" w14:textId="7BCF9DD1"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Developed by Kaplan and Norton (199</w:t>
      </w:r>
      <w:r w:rsidR="00AE7D41">
        <w:rPr>
          <w:rFonts w:ascii="Arial" w:hAnsi="Arial" w:cs="Arial"/>
          <w:sz w:val="24"/>
          <w:szCs w:val="24"/>
        </w:rPr>
        <w:t>6</w:t>
      </w:r>
      <w:r w:rsidRPr="00A4724D">
        <w:rPr>
          <w:rFonts w:ascii="Arial" w:hAnsi="Arial" w:cs="Arial"/>
          <w:sz w:val="24"/>
          <w:szCs w:val="24"/>
        </w:rPr>
        <w:t>), the Balanced Scorecard provides a structured mechanism for evaluating performance through four perspectives: financial, customer, internal process, and learning and growth. When applied to Lululemon’s Indian expansion, this model offers a balanced view of profitability, operational efficiency, customer engagement, and organisational learning.</w:t>
      </w:r>
    </w:p>
    <w:p w14:paraId="3A55FC1D" w14:textId="77777777" w:rsidR="00A4724D" w:rsidRPr="00A4724D" w:rsidRDefault="00A4724D" w:rsidP="00A4724D">
      <w:pPr>
        <w:spacing w:line="360" w:lineRule="auto"/>
        <w:rPr>
          <w:rFonts w:ascii="Arial" w:hAnsi="Arial" w:cs="Arial"/>
          <w:b/>
          <w:bCs/>
          <w:sz w:val="24"/>
          <w:szCs w:val="24"/>
        </w:rPr>
      </w:pPr>
      <w:r w:rsidRPr="00A4724D">
        <w:rPr>
          <w:rFonts w:ascii="Arial" w:hAnsi="Arial" w:cs="Arial"/>
          <w:b/>
          <w:bCs/>
          <w:sz w:val="24"/>
          <w:szCs w:val="24"/>
        </w:rPr>
        <w:t>Financial Perspective</w:t>
      </w:r>
    </w:p>
    <w:p w14:paraId="0FB5B28A"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Financial performance remains a fundamental indicator of strategic success. Key metrics should include revenue growth rate, gross profit margin, and return on invested capital. Given India’s competitive and price-sensitive environment, maintaining gross margins above 50 per cent would demonstrate effective brand positioning and cost discipline. Lululemon should aim for positive store-level profitability within two years and full cost recovery within five years, consistent with its performance benchmarks in other Asia-Pacific markets (Lululemon, 2025). Monitoring the ratio of digital to in-store sales will also help assess the effectiveness of the omnichannel strategy.</w:t>
      </w:r>
    </w:p>
    <w:p w14:paraId="488F0EFB" w14:textId="77777777" w:rsidR="00A4724D" w:rsidRPr="00A4724D" w:rsidRDefault="00A4724D" w:rsidP="00A4724D">
      <w:pPr>
        <w:spacing w:line="360" w:lineRule="auto"/>
        <w:rPr>
          <w:rFonts w:ascii="Arial" w:hAnsi="Arial" w:cs="Arial"/>
          <w:b/>
          <w:bCs/>
          <w:sz w:val="24"/>
          <w:szCs w:val="24"/>
        </w:rPr>
      </w:pPr>
      <w:r w:rsidRPr="00A4724D">
        <w:rPr>
          <w:rFonts w:ascii="Arial" w:hAnsi="Arial" w:cs="Arial"/>
          <w:b/>
          <w:bCs/>
          <w:sz w:val="24"/>
          <w:szCs w:val="24"/>
        </w:rPr>
        <w:t>Customer Perspective</w:t>
      </w:r>
    </w:p>
    <w:p w14:paraId="333E8B86"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 xml:space="preserve">Customer-related outcomes are central to Lululemon’s long-term competitiveness. Success in India will depend on cultivating brand awareness, customer loyalty, and community engagement. Key performance indicators (KPIs) should include Net Promoter Score, repeat purchase rate, and brand awareness index. Additional </w:t>
      </w:r>
      <w:r w:rsidRPr="00A4724D">
        <w:rPr>
          <w:rFonts w:ascii="Arial" w:hAnsi="Arial" w:cs="Arial"/>
          <w:sz w:val="24"/>
          <w:szCs w:val="24"/>
        </w:rPr>
        <w:lastRenderedPageBreak/>
        <w:t>measures could include participation levels in yoga and wellness events, which serve as proxies for community integration (Deloitte and HFA, 2025). Digital engagement, particularly through social media and the Tata CLiQ platform, will provide insights into consumer sentiment and advocacy.</w:t>
      </w:r>
    </w:p>
    <w:p w14:paraId="017B7371" w14:textId="77777777" w:rsidR="00A4724D" w:rsidRPr="00A4724D" w:rsidRDefault="00A4724D" w:rsidP="00A4724D">
      <w:pPr>
        <w:spacing w:line="360" w:lineRule="auto"/>
        <w:rPr>
          <w:rFonts w:ascii="Arial" w:hAnsi="Arial" w:cs="Arial"/>
          <w:b/>
          <w:bCs/>
          <w:sz w:val="24"/>
          <w:szCs w:val="24"/>
        </w:rPr>
      </w:pPr>
      <w:r w:rsidRPr="00A4724D">
        <w:rPr>
          <w:rFonts w:ascii="Arial" w:hAnsi="Arial" w:cs="Arial"/>
          <w:b/>
          <w:bCs/>
          <w:sz w:val="24"/>
          <w:szCs w:val="24"/>
        </w:rPr>
        <w:t>Internal Process Perspective</w:t>
      </w:r>
    </w:p>
    <w:p w14:paraId="78086EC5" w14:textId="27805DD4"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Operational efficiency is critical to achieving sustainable profitability in a diverse market such as India. Internal performance should be measured by supply-chain efficiency, local sourcing ratios, and compliance with quality and sustainability standards. KPIs may include inventory turnover, order fulfilment accuracy, and the proportion of domestically sourced materials that meet FDI guidelines (</w:t>
      </w:r>
      <w:r w:rsidR="0093181F" w:rsidRPr="0093181F">
        <w:rPr>
          <w:rFonts w:ascii="Arial" w:hAnsi="Arial" w:cs="Arial"/>
          <w:sz w:val="24"/>
          <w:szCs w:val="24"/>
        </w:rPr>
        <w:t>Deloitte India, 2025</w:t>
      </w:r>
      <w:r w:rsidRPr="00A4724D">
        <w:rPr>
          <w:rFonts w:ascii="Arial" w:hAnsi="Arial" w:cs="Arial"/>
          <w:sz w:val="24"/>
          <w:szCs w:val="24"/>
        </w:rPr>
        <w:t>). The partnership with Tata CLiQ should be evaluated through shared metrics such as delivery reliability and customer satisfaction with online-to-offline services.</w:t>
      </w:r>
    </w:p>
    <w:p w14:paraId="768E68A9" w14:textId="77777777" w:rsidR="00A4724D" w:rsidRPr="00A4724D" w:rsidRDefault="00A4724D" w:rsidP="00A4724D">
      <w:pPr>
        <w:spacing w:line="360" w:lineRule="auto"/>
        <w:rPr>
          <w:rFonts w:ascii="Arial" w:hAnsi="Arial" w:cs="Arial"/>
          <w:b/>
          <w:bCs/>
          <w:sz w:val="24"/>
          <w:szCs w:val="24"/>
        </w:rPr>
      </w:pPr>
      <w:r w:rsidRPr="00A4724D">
        <w:rPr>
          <w:rFonts w:ascii="Arial" w:hAnsi="Arial" w:cs="Arial"/>
          <w:b/>
          <w:bCs/>
          <w:sz w:val="24"/>
          <w:szCs w:val="24"/>
        </w:rPr>
        <w:t>Learning and Growth Perspective</w:t>
      </w:r>
    </w:p>
    <w:p w14:paraId="505212C1"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Lululemon’s long-term success depends on organisational learning, innovation, and employee engagement. Key indicators should include employee retention, training hours per staff member, and diversity representation across the Indian workforce. The technology hub in Bengaluru provides a valuable platform for digital innovation and analytics capability building (Business Standard, 2023). Knowledge transfer between the hub and retail operations should be assessed to ensure that insights from local consumer data inform global strategy.</w:t>
      </w:r>
    </w:p>
    <w:p w14:paraId="77A65D96" w14:textId="77777777" w:rsidR="00A4724D" w:rsidRPr="00B35093" w:rsidRDefault="00A4724D" w:rsidP="004B3858">
      <w:pPr>
        <w:pStyle w:val="Heading2"/>
        <w:rPr>
          <w:rFonts w:ascii="Arial" w:hAnsi="Arial" w:cs="Arial"/>
        </w:rPr>
      </w:pPr>
      <w:bookmarkStart w:id="15" w:name="_Toc215082499"/>
      <w:r w:rsidRPr="00B35093">
        <w:rPr>
          <w:rFonts w:ascii="Arial" w:hAnsi="Arial" w:cs="Arial"/>
        </w:rPr>
        <w:t>4.2 Integration with the Triple Bottom Line</w:t>
      </w:r>
      <w:bookmarkEnd w:id="15"/>
    </w:p>
    <w:p w14:paraId="44613DC6" w14:textId="3DDFD4D1"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While the Balanced Scorecard captures operational and strategic outcomes, the Triple Bottom Line (Elkington, 199</w:t>
      </w:r>
      <w:r w:rsidR="00B86CBC">
        <w:rPr>
          <w:rFonts w:ascii="Arial" w:hAnsi="Arial" w:cs="Arial"/>
          <w:sz w:val="24"/>
          <w:szCs w:val="24"/>
        </w:rPr>
        <w:t>7</w:t>
      </w:r>
      <w:r w:rsidRPr="00A4724D">
        <w:rPr>
          <w:rFonts w:ascii="Arial" w:hAnsi="Arial" w:cs="Arial"/>
          <w:sz w:val="24"/>
          <w:szCs w:val="24"/>
        </w:rPr>
        <w:t>) extends performance assessment to include environmental and social impact alongside financial results. This integrated approach aligns closely with Lululemon’s purpose of advancing wellbeing for individuals and communities.</w:t>
      </w:r>
    </w:p>
    <w:p w14:paraId="618BBF8D" w14:textId="77777777" w:rsidR="00A4724D" w:rsidRPr="00A4724D" w:rsidRDefault="00A4724D" w:rsidP="00A4724D">
      <w:pPr>
        <w:spacing w:line="360" w:lineRule="auto"/>
        <w:rPr>
          <w:rFonts w:ascii="Arial" w:hAnsi="Arial" w:cs="Arial"/>
          <w:b/>
          <w:bCs/>
          <w:sz w:val="24"/>
          <w:szCs w:val="24"/>
        </w:rPr>
      </w:pPr>
      <w:r w:rsidRPr="00A4724D">
        <w:rPr>
          <w:rFonts w:ascii="Arial" w:hAnsi="Arial" w:cs="Arial"/>
          <w:b/>
          <w:bCs/>
          <w:sz w:val="24"/>
          <w:szCs w:val="24"/>
        </w:rPr>
        <w:t>People (Social Impact)</w:t>
      </w:r>
    </w:p>
    <w:p w14:paraId="49407045"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 xml:space="preserve">Lululemon’s brand identity is rooted in community, mindfulness, and inclusivity. In India, social performance should therefore be assessed through metrics such as community participation in wellness initiatives, partnerships with yoga institutions, and employee wellbeing outcomes. Supporting local entrepreneurship, promoting </w:t>
      </w:r>
      <w:r w:rsidRPr="00A4724D">
        <w:rPr>
          <w:rFonts w:ascii="Arial" w:hAnsi="Arial" w:cs="Arial"/>
          <w:sz w:val="24"/>
          <w:szCs w:val="24"/>
        </w:rPr>
        <w:lastRenderedPageBreak/>
        <w:t>gender diversity, and ensuring fair labour practices in the supply chain will reinforce the brand’s social legitimacy.</w:t>
      </w:r>
    </w:p>
    <w:p w14:paraId="481FDE0F" w14:textId="77777777" w:rsidR="00A4724D" w:rsidRPr="00A4724D" w:rsidRDefault="00A4724D" w:rsidP="00A4724D">
      <w:pPr>
        <w:spacing w:line="360" w:lineRule="auto"/>
        <w:rPr>
          <w:rFonts w:ascii="Arial" w:hAnsi="Arial" w:cs="Arial"/>
          <w:b/>
          <w:bCs/>
          <w:sz w:val="24"/>
          <w:szCs w:val="24"/>
        </w:rPr>
      </w:pPr>
      <w:r w:rsidRPr="00A4724D">
        <w:rPr>
          <w:rFonts w:ascii="Arial" w:hAnsi="Arial" w:cs="Arial"/>
          <w:b/>
          <w:bCs/>
          <w:sz w:val="24"/>
          <w:szCs w:val="24"/>
        </w:rPr>
        <w:t>Planet (Environmental Performance)</w:t>
      </w:r>
    </w:p>
    <w:p w14:paraId="0996BADF"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Environmental sustainability is increasingly central to consumer expectations and corporate responsibility. Key indicators should include the percentage of sustainable or recycled materials used in production, reduction in carbon emissions per unit sold, and waste reduction in packaging and logistics. Aligning Indian operations with Lululemon’s global environmental goals, including its net-zero emissions target for 2050, will demonstrate strategic consistency and accountability (Lululemon, 2025).</w:t>
      </w:r>
    </w:p>
    <w:p w14:paraId="768BB32F" w14:textId="77777777" w:rsidR="00A4724D" w:rsidRPr="00A4724D" w:rsidRDefault="00A4724D" w:rsidP="00A4724D">
      <w:pPr>
        <w:spacing w:line="360" w:lineRule="auto"/>
        <w:rPr>
          <w:rFonts w:ascii="Arial" w:hAnsi="Arial" w:cs="Arial"/>
          <w:b/>
          <w:bCs/>
          <w:sz w:val="24"/>
          <w:szCs w:val="24"/>
        </w:rPr>
      </w:pPr>
      <w:r w:rsidRPr="00A4724D">
        <w:rPr>
          <w:rFonts w:ascii="Arial" w:hAnsi="Arial" w:cs="Arial"/>
          <w:b/>
          <w:bCs/>
          <w:sz w:val="24"/>
          <w:szCs w:val="24"/>
        </w:rPr>
        <w:t>Profit (Economic Value)</w:t>
      </w:r>
    </w:p>
    <w:p w14:paraId="6865F86D"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Economic value creation must extend beyond profitability to include broader stakeholder benefits. Performance indicators should capture the company’s total contribution to India’s economy through local procurement, tax contributions, and employment generation. Ensuring that value creation is shared among partners, employees, and communities will strengthen Lululemon’s long-term legitimacy and reputation as a responsible corporate entrant.</w:t>
      </w:r>
    </w:p>
    <w:p w14:paraId="2AF84C3C" w14:textId="77777777" w:rsidR="00A4724D" w:rsidRPr="00B35093" w:rsidRDefault="00A4724D" w:rsidP="004B3858">
      <w:pPr>
        <w:pStyle w:val="Heading2"/>
        <w:rPr>
          <w:rFonts w:ascii="Arial" w:hAnsi="Arial" w:cs="Arial"/>
        </w:rPr>
      </w:pPr>
      <w:bookmarkStart w:id="16" w:name="_Toc215082500"/>
      <w:r w:rsidRPr="00B35093">
        <w:rPr>
          <w:rFonts w:ascii="Arial" w:hAnsi="Arial" w:cs="Arial"/>
        </w:rPr>
        <w:t>4.3 Strategic Control and Continuous Improvement</w:t>
      </w:r>
      <w:bookmarkEnd w:id="16"/>
    </w:p>
    <w:p w14:paraId="12915D16"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Effective performance management requires adaptive control systems that translate strategy into continuous improvement. Lululemon should establish quarterly performance reviews between its Asia-Pacific leadership and Indian operations team to monitor progress against Balanced Scorecard and Triple Bottom Line metrics. Early indicators such as store footfall, online engagement, and customer feedback should guide tactical adjustments in marketing and pricing.</w:t>
      </w:r>
    </w:p>
    <w:p w14:paraId="6DACCCD0"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A feedback-driven learning culture should be embedded within the organisation to ensure responsiveness to consumer and operational insights. Data collected from digital channels, in-store experiences, and supply-chain monitoring should be analysed to identify patterns and inform future decision-making. Over time, performance outcomes can be benchmarked against other regional markets to identify best practices and opportunities for efficiency gains.</w:t>
      </w:r>
    </w:p>
    <w:p w14:paraId="193A2DC4" w14:textId="77777777" w:rsidR="00A4724D" w:rsidRPr="00B35093" w:rsidRDefault="00A4724D" w:rsidP="004B3858">
      <w:pPr>
        <w:pStyle w:val="Heading2"/>
        <w:rPr>
          <w:rFonts w:ascii="Arial" w:hAnsi="Arial" w:cs="Arial"/>
        </w:rPr>
      </w:pPr>
      <w:bookmarkStart w:id="17" w:name="_Toc215082501"/>
      <w:r w:rsidRPr="00B35093">
        <w:rPr>
          <w:rFonts w:ascii="Arial" w:hAnsi="Arial" w:cs="Arial"/>
        </w:rPr>
        <w:lastRenderedPageBreak/>
        <w:t>4.4 Summary</w:t>
      </w:r>
      <w:bookmarkEnd w:id="17"/>
    </w:p>
    <w:p w14:paraId="67FA88C0" w14:textId="77777777" w:rsidR="00A4724D" w:rsidRPr="00A4724D" w:rsidRDefault="00A4724D" w:rsidP="00A4724D">
      <w:pPr>
        <w:spacing w:line="360" w:lineRule="auto"/>
        <w:rPr>
          <w:rFonts w:ascii="Arial" w:hAnsi="Arial" w:cs="Arial"/>
          <w:sz w:val="24"/>
          <w:szCs w:val="24"/>
        </w:rPr>
      </w:pPr>
      <w:r w:rsidRPr="00A4724D">
        <w:rPr>
          <w:rFonts w:ascii="Arial" w:hAnsi="Arial" w:cs="Arial"/>
          <w:sz w:val="24"/>
          <w:szCs w:val="24"/>
        </w:rPr>
        <w:t xml:space="preserve">The integration of the Balanced Scorecard and the Triple Bottom Line </w:t>
      </w:r>
      <w:proofErr w:type="gramStart"/>
      <w:r w:rsidRPr="00A4724D">
        <w:rPr>
          <w:rFonts w:ascii="Arial" w:hAnsi="Arial" w:cs="Arial"/>
          <w:sz w:val="24"/>
          <w:szCs w:val="24"/>
        </w:rPr>
        <w:t>provides</w:t>
      </w:r>
      <w:proofErr w:type="gramEnd"/>
      <w:r w:rsidRPr="00A4724D">
        <w:rPr>
          <w:rFonts w:ascii="Arial" w:hAnsi="Arial" w:cs="Arial"/>
          <w:sz w:val="24"/>
          <w:szCs w:val="24"/>
        </w:rPr>
        <w:t xml:space="preserve"> a comprehensive and adaptable framework for evaluating Lululemon’s expansion into India. The Balanced Scorecard ensures that financial, operational, and organisational goals are systematically aligned, while the Triple Bottom Line embeds social and environmental accountability into the definition of success. Together, these frameworks allow Lululemon to pursue sustainable growth that reflects its brand philosophy of balance, mindfulness, and holistic performance.</w:t>
      </w:r>
    </w:p>
    <w:p w14:paraId="47AEAFB8" w14:textId="22AAD14B" w:rsidR="00A4724D" w:rsidRDefault="00A4724D" w:rsidP="003627DF">
      <w:pPr>
        <w:spacing w:line="360" w:lineRule="auto"/>
        <w:rPr>
          <w:rFonts w:ascii="Arial" w:hAnsi="Arial" w:cs="Arial"/>
          <w:sz w:val="24"/>
          <w:szCs w:val="24"/>
        </w:rPr>
      </w:pPr>
    </w:p>
    <w:p w14:paraId="0E2BE179" w14:textId="77777777" w:rsidR="00A4724D" w:rsidRDefault="00A4724D">
      <w:pPr>
        <w:rPr>
          <w:rFonts w:ascii="Arial" w:hAnsi="Arial" w:cs="Arial"/>
          <w:sz w:val="24"/>
          <w:szCs w:val="24"/>
        </w:rPr>
      </w:pPr>
      <w:r>
        <w:rPr>
          <w:rFonts w:ascii="Arial" w:hAnsi="Arial" w:cs="Arial"/>
          <w:sz w:val="24"/>
          <w:szCs w:val="24"/>
        </w:rPr>
        <w:br w:type="page"/>
      </w:r>
    </w:p>
    <w:p w14:paraId="24F09EAA" w14:textId="77777777" w:rsidR="00505F48" w:rsidRPr="00505F48" w:rsidRDefault="00505F48" w:rsidP="00505F48">
      <w:pPr>
        <w:pStyle w:val="Heading1"/>
        <w:rPr>
          <w:rFonts w:ascii="Arial" w:hAnsi="Arial" w:cs="Arial"/>
        </w:rPr>
      </w:pPr>
      <w:bookmarkStart w:id="18" w:name="_Toc215082502"/>
      <w:r w:rsidRPr="00505F48">
        <w:rPr>
          <w:rFonts w:ascii="Arial" w:hAnsi="Arial" w:cs="Arial"/>
        </w:rPr>
        <w:lastRenderedPageBreak/>
        <w:t>5. Conclusion and Recommendations</w:t>
      </w:r>
      <w:bookmarkEnd w:id="18"/>
    </w:p>
    <w:p w14:paraId="3E03A956" w14:textId="77777777" w:rsidR="00505F48" w:rsidRPr="00505F48" w:rsidRDefault="00505F48" w:rsidP="00505F48">
      <w:pPr>
        <w:spacing w:line="360" w:lineRule="auto"/>
        <w:rPr>
          <w:rFonts w:ascii="Arial" w:hAnsi="Arial" w:cs="Arial"/>
          <w:sz w:val="24"/>
          <w:szCs w:val="24"/>
        </w:rPr>
      </w:pPr>
      <w:r w:rsidRPr="00505F48">
        <w:rPr>
          <w:rFonts w:ascii="Arial" w:hAnsi="Arial" w:cs="Arial"/>
          <w:sz w:val="24"/>
          <w:szCs w:val="24"/>
        </w:rPr>
        <w:t>Lululemon’s proposed expansion into India represents a strategically coherent opportunity that aligns the company’s global strengths with an emerging market characterised by rising incomes, wellness orientation, and digital transformation. The brand’s yoga-inspired heritage, emphasis on community, and commitment to sustainability position it uniquely within India’s growing premium athleisure segment. However, the market’s complexity demands a carefully sequenced and locally responsive approach to ensure sustainable success.</w:t>
      </w:r>
    </w:p>
    <w:p w14:paraId="2D843052" w14:textId="77777777" w:rsidR="00505F48" w:rsidRPr="00B35093" w:rsidRDefault="00505F48" w:rsidP="00505F48">
      <w:pPr>
        <w:pStyle w:val="Heading2"/>
        <w:rPr>
          <w:rFonts w:ascii="Arial" w:hAnsi="Arial" w:cs="Arial"/>
        </w:rPr>
      </w:pPr>
      <w:bookmarkStart w:id="19" w:name="_Toc215082503"/>
      <w:r w:rsidRPr="00B35093">
        <w:rPr>
          <w:rFonts w:ascii="Arial" w:hAnsi="Arial" w:cs="Arial"/>
        </w:rPr>
        <w:t>5.1 Strategic Rationale</w:t>
      </w:r>
      <w:bookmarkEnd w:id="19"/>
    </w:p>
    <w:p w14:paraId="433E78BB" w14:textId="77777777" w:rsidR="00505F48" w:rsidRPr="00505F48" w:rsidRDefault="00505F48" w:rsidP="00505F48">
      <w:pPr>
        <w:spacing w:line="360" w:lineRule="auto"/>
        <w:rPr>
          <w:rFonts w:ascii="Arial" w:hAnsi="Arial" w:cs="Arial"/>
          <w:sz w:val="24"/>
          <w:szCs w:val="24"/>
        </w:rPr>
      </w:pPr>
      <w:r w:rsidRPr="00505F48">
        <w:rPr>
          <w:rFonts w:ascii="Arial" w:hAnsi="Arial" w:cs="Arial"/>
          <w:sz w:val="24"/>
          <w:szCs w:val="24"/>
        </w:rPr>
        <w:t>The strategic analyses confirm India’s suitability as a growth market. The PESTEL framework highlights strong macroeconomic fundamentals, expanding urban middle-class consumption, and favourable cultural alignment with Lululemon’s wellness ethos. Porter’s Five Forces assessment shows a competitive but fragmented landscape, where meaningful differentiation remains possible. Collectively, these conditions suggest that Lululemon can thrive by leveraging its innovation, brand authenticity, and experiential retail strengths rather than competing on price.</w:t>
      </w:r>
    </w:p>
    <w:p w14:paraId="4EAA6796" w14:textId="77777777" w:rsidR="00505F48" w:rsidRPr="00505F48" w:rsidRDefault="00505F48" w:rsidP="00505F48">
      <w:pPr>
        <w:spacing w:line="360" w:lineRule="auto"/>
        <w:rPr>
          <w:rFonts w:ascii="Arial" w:hAnsi="Arial" w:cs="Arial"/>
          <w:sz w:val="24"/>
          <w:szCs w:val="24"/>
        </w:rPr>
      </w:pPr>
      <w:r w:rsidRPr="00505F48">
        <w:rPr>
          <w:rFonts w:ascii="Arial" w:hAnsi="Arial" w:cs="Arial"/>
          <w:sz w:val="24"/>
          <w:szCs w:val="24"/>
        </w:rPr>
        <w:t>Framework integration further validates this rationale. Ansoff’s model situates the move as market development, extending existing capabilities into a new geography. The OLI paradigm supports a partnership-based entry balancing ownership control with local expertise. Porter’s generic strategy of differentiation and the VRIO analysis both confirm that Lululemon’s unique resources—its fabrics, brand culture, and community model—are rare and inimitable. Together, these frameworks indicate that success in India will depend on disciplined execution and continuous alignment between brand values and local realities.</w:t>
      </w:r>
    </w:p>
    <w:p w14:paraId="7A54D488" w14:textId="77777777" w:rsidR="00505F48" w:rsidRPr="00B35093" w:rsidRDefault="00505F48" w:rsidP="00505F48">
      <w:pPr>
        <w:pStyle w:val="Heading2"/>
        <w:rPr>
          <w:rFonts w:ascii="Arial" w:hAnsi="Arial" w:cs="Arial"/>
        </w:rPr>
      </w:pPr>
      <w:bookmarkStart w:id="20" w:name="_Toc215082504"/>
      <w:r w:rsidRPr="00B35093">
        <w:rPr>
          <w:rFonts w:ascii="Arial" w:hAnsi="Arial" w:cs="Arial"/>
        </w:rPr>
        <w:t>5.2 Key Recommendations</w:t>
      </w:r>
      <w:bookmarkEnd w:id="20"/>
    </w:p>
    <w:p w14:paraId="236A6CF4" w14:textId="77777777" w:rsidR="00505F48" w:rsidRPr="00505F48" w:rsidRDefault="00505F48" w:rsidP="00505F48">
      <w:pPr>
        <w:spacing w:line="360" w:lineRule="auto"/>
        <w:rPr>
          <w:rFonts w:ascii="Arial" w:hAnsi="Arial" w:cs="Arial"/>
          <w:sz w:val="24"/>
          <w:szCs w:val="24"/>
        </w:rPr>
      </w:pPr>
      <w:r w:rsidRPr="00505F48">
        <w:rPr>
          <w:rFonts w:ascii="Arial" w:hAnsi="Arial" w:cs="Arial"/>
          <w:sz w:val="24"/>
          <w:szCs w:val="24"/>
        </w:rPr>
        <w:t>Lululemon should pursue a phased entry beginning with flagship stores and a digital launch in high-income metropolitan areas such as Mumbai, Delhi, and Bengaluru. This will allow efficient brand-building before gradual expansion to other Tier 1 cities.</w:t>
      </w:r>
      <w:r w:rsidRPr="00505F48">
        <w:rPr>
          <w:rFonts w:ascii="Arial" w:hAnsi="Arial" w:cs="Arial"/>
          <w:sz w:val="24"/>
          <w:szCs w:val="24"/>
        </w:rPr>
        <w:br/>
        <w:t>The company should integrate its online and offline channels through Tata CLiQ to create a seamless customer experience supported by centralised data analytics and unified inventory systems.</w:t>
      </w:r>
      <w:r w:rsidRPr="00505F48">
        <w:rPr>
          <w:rFonts w:ascii="Arial" w:hAnsi="Arial" w:cs="Arial"/>
          <w:sz w:val="24"/>
          <w:szCs w:val="24"/>
        </w:rPr>
        <w:br/>
        <w:t xml:space="preserve">Marketing communication must localise authentically—celebrating India’s yoga and </w:t>
      </w:r>
      <w:r w:rsidRPr="00505F48">
        <w:rPr>
          <w:rFonts w:ascii="Arial" w:hAnsi="Arial" w:cs="Arial"/>
          <w:sz w:val="24"/>
          <w:szCs w:val="24"/>
        </w:rPr>
        <w:lastRenderedPageBreak/>
        <w:t>wellness traditions through partnerships with local fitness studios, instructors, and cultural ambassadors.</w:t>
      </w:r>
      <w:r w:rsidRPr="00505F48">
        <w:rPr>
          <w:rFonts w:ascii="Arial" w:hAnsi="Arial" w:cs="Arial"/>
          <w:sz w:val="24"/>
          <w:szCs w:val="24"/>
        </w:rPr>
        <w:br/>
        <w:t>Operationally, compliance with FDI sourcing requirements should be reframed as an opportunity to collaborate with sustainable Indian textile suppliers, reinforcing both ESG goals and cost efficiency.</w:t>
      </w:r>
      <w:r w:rsidRPr="00505F48">
        <w:rPr>
          <w:rFonts w:ascii="Arial" w:hAnsi="Arial" w:cs="Arial"/>
          <w:sz w:val="24"/>
          <w:szCs w:val="24"/>
        </w:rPr>
        <w:br/>
        <w:t>Finally, Lululemon should institutionalise quarterly performance reviews using the Balanced Scorecard and Triple Bottom Line framework to monitor financial, operational, and social outcomes, allowing data-driven refinement of its strategy.</w:t>
      </w:r>
    </w:p>
    <w:p w14:paraId="44E296BF" w14:textId="77777777" w:rsidR="00505F48" w:rsidRPr="00B35093" w:rsidRDefault="00505F48" w:rsidP="00505F48">
      <w:pPr>
        <w:pStyle w:val="Heading2"/>
        <w:rPr>
          <w:rFonts w:ascii="Arial" w:hAnsi="Arial" w:cs="Arial"/>
        </w:rPr>
      </w:pPr>
      <w:bookmarkStart w:id="21" w:name="_Toc215082505"/>
      <w:r w:rsidRPr="00B35093">
        <w:rPr>
          <w:rFonts w:ascii="Arial" w:hAnsi="Arial" w:cs="Arial"/>
        </w:rPr>
        <w:t>5.3 Anticipated Challenges</w:t>
      </w:r>
      <w:bookmarkEnd w:id="21"/>
    </w:p>
    <w:p w14:paraId="43BDE984" w14:textId="77777777" w:rsidR="00505F48" w:rsidRPr="00505F48" w:rsidRDefault="00505F48" w:rsidP="00505F48">
      <w:pPr>
        <w:spacing w:line="360" w:lineRule="auto"/>
        <w:rPr>
          <w:rFonts w:ascii="Arial" w:hAnsi="Arial" w:cs="Arial"/>
          <w:sz w:val="24"/>
          <w:szCs w:val="24"/>
        </w:rPr>
      </w:pPr>
      <w:r w:rsidRPr="00505F48">
        <w:rPr>
          <w:rFonts w:ascii="Arial" w:hAnsi="Arial" w:cs="Arial"/>
          <w:sz w:val="24"/>
          <w:szCs w:val="24"/>
        </w:rPr>
        <w:t>The Indian market remains price-sensitive, which may constrain the brand’s reach beyond affluent consumers. Counterfeit products could threaten pricing integrity and brand reputation, necessitating strong trademark enforcement. Cultural differences in fitness behaviour—especially the predominance of home-based yoga practice—may limit direct transfer of Western community-retail models. Operational complexities, including import duties and supply-chain variability, will require close coordination with local partners to preserve profitability and brand standards.</w:t>
      </w:r>
    </w:p>
    <w:p w14:paraId="67B43568" w14:textId="77777777" w:rsidR="00505F48" w:rsidRPr="00B35093" w:rsidRDefault="00505F48" w:rsidP="00505F48">
      <w:pPr>
        <w:pStyle w:val="Heading2"/>
        <w:rPr>
          <w:rFonts w:ascii="Arial" w:hAnsi="Arial" w:cs="Arial"/>
        </w:rPr>
      </w:pPr>
      <w:bookmarkStart w:id="22" w:name="_Toc215082506"/>
      <w:r w:rsidRPr="00B35093">
        <w:rPr>
          <w:rFonts w:ascii="Arial" w:hAnsi="Arial" w:cs="Arial"/>
        </w:rPr>
        <w:t>5.4 Strategic Outlook</w:t>
      </w:r>
      <w:bookmarkEnd w:id="22"/>
    </w:p>
    <w:p w14:paraId="0771C96D" w14:textId="77777777" w:rsidR="00505F48" w:rsidRPr="00505F48" w:rsidRDefault="00505F48" w:rsidP="00505F48">
      <w:pPr>
        <w:spacing w:line="360" w:lineRule="auto"/>
        <w:rPr>
          <w:rFonts w:ascii="Arial" w:hAnsi="Arial" w:cs="Arial"/>
          <w:sz w:val="24"/>
          <w:szCs w:val="24"/>
        </w:rPr>
      </w:pPr>
      <w:r w:rsidRPr="00505F48">
        <w:rPr>
          <w:rFonts w:ascii="Arial" w:hAnsi="Arial" w:cs="Arial"/>
          <w:sz w:val="24"/>
          <w:szCs w:val="24"/>
        </w:rPr>
        <w:t>Lululemon’s long-term success in India will depend on maintaining strategic agility—the ability to sense and respond rapidly to market and consumer shifts. The company’s global strengths in product innovation, digital integration, and experiential engagement provide a strong foundation for this adaptability. By combining a partnership-led entry with locally relevant marketing and responsible operations, Lululemon can embed itself within India’s evolving wellness economy.</w:t>
      </w:r>
    </w:p>
    <w:p w14:paraId="33490AA1" w14:textId="77777777" w:rsidR="00505F48" w:rsidRPr="00505F48" w:rsidRDefault="00505F48" w:rsidP="00505F48">
      <w:pPr>
        <w:spacing w:line="360" w:lineRule="auto"/>
        <w:rPr>
          <w:rFonts w:ascii="Arial" w:hAnsi="Arial" w:cs="Arial"/>
          <w:sz w:val="24"/>
          <w:szCs w:val="24"/>
        </w:rPr>
      </w:pPr>
      <w:r w:rsidRPr="00505F48">
        <w:rPr>
          <w:rFonts w:ascii="Arial" w:hAnsi="Arial" w:cs="Arial"/>
          <w:sz w:val="24"/>
          <w:szCs w:val="24"/>
        </w:rPr>
        <w:t>In conclusion, India offers significant potential for Lululemon’s next phase of growth. The country’s economic trajectory, demographic structure, and cultural affinity for wellness create a favourable context for a differentiated, purpose-driven entrant. A strategy grounded in collaboration, sustainability, and continuous learning will enable Lululemon to achieve both profitability and long-term brand resonance, positioning it as a leading contributor to India’s expanding premium athleisure market.</w:t>
      </w:r>
    </w:p>
    <w:p w14:paraId="3B4FEAD0" w14:textId="69031356" w:rsidR="004B3858" w:rsidRDefault="004B3858">
      <w:pPr>
        <w:rPr>
          <w:rFonts w:ascii="Arial" w:hAnsi="Arial" w:cs="Arial"/>
          <w:sz w:val="24"/>
          <w:szCs w:val="24"/>
        </w:rPr>
      </w:pPr>
    </w:p>
    <w:p w14:paraId="6FD60084" w14:textId="77777777" w:rsidR="004B3858" w:rsidRPr="00505F48" w:rsidRDefault="004B3858" w:rsidP="004B3858">
      <w:pPr>
        <w:pStyle w:val="Heading1"/>
        <w:rPr>
          <w:rFonts w:ascii="Arial" w:hAnsi="Arial" w:cs="Arial"/>
        </w:rPr>
      </w:pPr>
      <w:bookmarkStart w:id="23" w:name="_Toc215082507"/>
      <w:r w:rsidRPr="00505F48">
        <w:rPr>
          <w:rFonts w:ascii="Arial" w:hAnsi="Arial" w:cs="Arial"/>
        </w:rPr>
        <w:lastRenderedPageBreak/>
        <w:t>References</w:t>
      </w:r>
      <w:bookmarkEnd w:id="23"/>
    </w:p>
    <w:p w14:paraId="7FDEAED3" w14:textId="77777777" w:rsidR="004B3858" w:rsidRPr="004B3858" w:rsidRDefault="004B3858" w:rsidP="004B3858">
      <w:pPr>
        <w:spacing w:line="360" w:lineRule="auto"/>
        <w:rPr>
          <w:rFonts w:ascii="Arial" w:hAnsi="Arial" w:cs="Arial"/>
          <w:sz w:val="24"/>
          <w:szCs w:val="24"/>
        </w:rPr>
      </w:pPr>
      <w:r w:rsidRPr="004B3858">
        <w:rPr>
          <w:rFonts w:ascii="Arial" w:hAnsi="Arial" w:cs="Arial"/>
          <w:sz w:val="24"/>
          <w:szCs w:val="24"/>
        </w:rPr>
        <w:t xml:space="preserve">Ansoff, H.I. (1957) ‘Strategies for diversification’, </w:t>
      </w:r>
      <w:r w:rsidRPr="004B3858">
        <w:rPr>
          <w:rFonts w:ascii="Arial" w:hAnsi="Arial" w:cs="Arial"/>
          <w:i/>
          <w:iCs/>
          <w:sz w:val="24"/>
          <w:szCs w:val="24"/>
        </w:rPr>
        <w:t>Harvard Business Review</w:t>
      </w:r>
      <w:r w:rsidRPr="004B3858">
        <w:rPr>
          <w:rFonts w:ascii="Arial" w:hAnsi="Arial" w:cs="Arial"/>
          <w:sz w:val="24"/>
          <w:szCs w:val="24"/>
        </w:rPr>
        <w:t>, 35(5), pp. 113–124.</w:t>
      </w:r>
    </w:p>
    <w:p w14:paraId="1CE5E3FE" w14:textId="77777777" w:rsidR="004B3858" w:rsidRPr="004B3858" w:rsidRDefault="004B3858" w:rsidP="004B3858">
      <w:pPr>
        <w:spacing w:line="360" w:lineRule="auto"/>
        <w:rPr>
          <w:rFonts w:ascii="Arial" w:hAnsi="Arial" w:cs="Arial"/>
          <w:sz w:val="24"/>
          <w:szCs w:val="24"/>
        </w:rPr>
      </w:pPr>
      <w:r w:rsidRPr="004B3858">
        <w:rPr>
          <w:rFonts w:ascii="Arial" w:hAnsi="Arial" w:cs="Arial"/>
          <w:sz w:val="24"/>
          <w:szCs w:val="24"/>
        </w:rPr>
        <w:t xml:space="preserve">Barney, J. (1991) ‘Firm resources and sustained competitive advantage’, </w:t>
      </w:r>
      <w:r w:rsidRPr="004B3858">
        <w:rPr>
          <w:rFonts w:ascii="Arial" w:hAnsi="Arial" w:cs="Arial"/>
          <w:i/>
          <w:iCs/>
          <w:sz w:val="24"/>
          <w:szCs w:val="24"/>
        </w:rPr>
        <w:t>Journal of Management</w:t>
      </w:r>
      <w:r w:rsidRPr="004B3858">
        <w:rPr>
          <w:rFonts w:ascii="Arial" w:hAnsi="Arial" w:cs="Arial"/>
          <w:sz w:val="24"/>
          <w:szCs w:val="24"/>
        </w:rPr>
        <w:t>, 17(1), pp. 99–120.</w:t>
      </w:r>
    </w:p>
    <w:p w14:paraId="3A684D2F" w14:textId="77777777" w:rsidR="004B3858" w:rsidRDefault="004B3858" w:rsidP="004B3858">
      <w:pPr>
        <w:spacing w:line="360" w:lineRule="auto"/>
        <w:rPr>
          <w:rFonts w:ascii="Arial" w:hAnsi="Arial" w:cs="Arial"/>
          <w:sz w:val="24"/>
          <w:szCs w:val="24"/>
        </w:rPr>
      </w:pPr>
      <w:r w:rsidRPr="004B3858">
        <w:rPr>
          <w:rFonts w:ascii="Arial" w:hAnsi="Arial" w:cs="Arial"/>
          <w:sz w:val="24"/>
          <w:szCs w:val="24"/>
        </w:rPr>
        <w:t xml:space="preserve">Bain &amp; Company (2025) </w:t>
      </w:r>
      <w:r w:rsidRPr="004B3858">
        <w:rPr>
          <w:rFonts w:ascii="Arial" w:hAnsi="Arial" w:cs="Arial"/>
          <w:i/>
          <w:iCs/>
          <w:sz w:val="24"/>
          <w:szCs w:val="24"/>
        </w:rPr>
        <w:t>How India Shops Online 2025</w:t>
      </w:r>
      <w:r w:rsidRPr="004B3858">
        <w:rPr>
          <w:rFonts w:ascii="Arial" w:hAnsi="Arial" w:cs="Arial"/>
          <w:sz w:val="24"/>
          <w:szCs w:val="24"/>
        </w:rPr>
        <w:t>. 26 March.</w:t>
      </w:r>
    </w:p>
    <w:p w14:paraId="5A3B6D9F" w14:textId="75C010F0" w:rsidR="0093181F" w:rsidRPr="004B3858" w:rsidRDefault="0093181F" w:rsidP="004B3858">
      <w:pPr>
        <w:spacing w:line="360" w:lineRule="auto"/>
        <w:rPr>
          <w:rFonts w:ascii="Arial" w:hAnsi="Arial" w:cs="Arial"/>
          <w:sz w:val="24"/>
          <w:szCs w:val="24"/>
        </w:rPr>
      </w:pPr>
      <w:r w:rsidRPr="0093181F">
        <w:rPr>
          <w:rFonts w:ascii="Arial" w:hAnsi="Arial" w:cs="Arial"/>
          <w:sz w:val="24"/>
          <w:szCs w:val="24"/>
        </w:rPr>
        <w:t xml:space="preserve">Deloitte India (2025) </w:t>
      </w:r>
      <w:r w:rsidRPr="0093181F">
        <w:rPr>
          <w:rFonts w:ascii="Arial" w:hAnsi="Arial" w:cs="Arial"/>
          <w:i/>
          <w:iCs/>
          <w:sz w:val="24"/>
          <w:szCs w:val="24"/>
        </w:rPr>
        <w:t>India’s US$1.06 trillion retail sector set to reach US$1.93 trillion by 2030.</w:t>
      </w:r>
      <w:r w:rsidRPr="0093181F">
        <w:rPr>
          <w:rFonts w:ascii="Arial" w:hAnsi="Arial" w:cs="Arial"/>
          <w:sz w:val="24"/>
          <w:szCs w:val="24"/>
        </w:rPr>
        <w:t xml:space="preserve"> New Delhi: Deloitte Touche Tohmatsu India LLP</w:t>
      </w:r>
    </w:p>
    <w:p w14:paraId="31F42EBA" w14:textId="77777777" w:rsidR="004B3858" w:rsidRPr="004B3858" w:rsidRDefault="004B3858" w:rsidP="004B3858">
      <w:pPr>
        <w:spacing w:line="360" w:lineRule="auto"/>
        <w:rPr>
          <w:rFonts w:ascii="Arial" w:hAnsi="Arial" w:cs="Arial"/>
          <w:sz w:val="24"/>
          <w:szCs w:val="24"/>
        </w:rPr>
      </w:pPr>
      <w:r w:rsidRPr="004B3858">
        <w:rPr>
          <w:rFonts w:ascii="Arial" w:hAnsi="Arial" w:cs="Arial"/>
          <w:sz w:val="24"/>
          <w:szCs w:val="24"/>
        </w:rPr>
        <w:t xml:space="preserve">Deloitte &amp; Health and Fitness Association (2025) </w:t>
      </w:r>
      <w:r w:rsidRPr="004B3858">
        <w:rPr>
          <w:rFonts w:ascii="Arial" w:hAnsi="Arial" w:cs="Arial"/>
          <w:i/>
          <w:iCs/>
          <w:sz w:val="24"/>
          <w:szCs w:val="24"/>
        </w:rPr>
        <w:t>India’s Fitness Market to Double by 2030</w:t>
      </w:r>
      <w:r w:rsidRPr="004B3858">
        <w:rPr>
          <w:rFonts w:ascii="Arial" w:hAnsi="Arial" w:cs="Arial"/>
          <w:sz w:val="24"/>
          <w:szCs w:val="24"/>
        </w:rPr>
        <w:t>. Press release, 17 July.</w:t>
      </w:r>
    </w:p>
    <w:p w14:paraId="7FB1733A" w14:textId="77777777" w:rsidR="004B3858" w:rsidRPr="004B3858" w:rsidRDefault="004B3858" w:rsidP="004B3858">
      <w:pPr>
        <w:spacing w:line="360" w:lineRule="auto"/>
        <w:rPr>
          <w:rFonts w:ascii="Arial" w:hAnsi="Arial" w:cs="Arial"/>
          <w:sz w:val="24"/>
          <w:szCs w:val="24"/>
        </w:rPr>
      </w:pPr>
      <w:r w:rsidRPr="004B3858">
        <w:rPr>
          <w:rFonts w:ascii="Arial" w:hAnsi="Arial" w:cs="Arial"/>
          <w:sz w:val="24"/>
          <w:szCs w:val="24"/>
        </w:rPr>
        <w:t xml:space="preserve">Deloitte &amp; Retailers Association of India (2019) </w:t>
      </w:r>
      <w:r w:rsidRPr="004B3858">
        <w:rPr>
          <w:rFonts w:ascii="Arial" w:hAnsi="Arial" w:cs="Arial"/>
          <w:i/>
          <w:iCs/>
          <w:sz w:val="24"/>
          <w:szCs w:val="24"/>
        </w:rPr>
        <w:t>Unravelling the Indian Consumer</w:t>
      </w:r>
      <w:r w:rsidRPr="004B3858">
        <w:rPr>
          <w:rFonts w:ascii="Arial" w:hAnsi="Arial" w:cs="Arial"/>
          <w:sz w:val="24"/>
          <w:szCs w:val="24"/>
        </w:rPr>
        <w:t>. Mumbai: Deloitte India.</w:t>
      </w:r>
    </w:p>
    <w:p w14:paraId="3174AF0D" w14:textId="77777777" w:rsidR="00B86CBC" w:rsidRDefault="00B86CBC" w:rsidP="004B3858">
      <w:pPr>
        <w:spacing w:line="360" w:lineRule="auto"/>
        <w:rPr>
          <w:rFonts w:ascii="Arial" w:hAnsi="Arial" w:cs="Arial"/>
          <w:sz w:val="24"/>
          <w:szCs w:val="24"/>
        </w:rPr>
      </w:pPr>
      <w:r w:rsidRPr="00B86CBC">
        <w:rPr>
          <w:rFonts w:ascii="Arial" w:hAnsi="Arial" w:cs="Arial"/>
          <w:sz w:val="24"/>
          <w:szCs w:val="24"/>
        </w:rPr>
        <w:t xml:space="preserve">Elkington, J. (1997) </w:t>
      </w:r>
      <w:r w:rsidRPr="00B86CBC">
        <w:rPr>
          <w:rFonts w:ascii="Arial" w:hAnsi="Arial" w:cs="Arial"/>
          <w:i/>
          <w:iCs/>
          <w:sz w:val="24"/>
          <w:szCs w:val="24"/>
        </w:rPr>
        <w:t>Cannibals with Forks: The Triple Bottom Line of 21st Century Business.</w:t>
      </w:r>
      <w:r w:rsidRPr="00B86CBC">
        <w:rPr>
          <w:rFonts w:ascii="Arial" w:hAnsi="Arial" w:cs="Arial"/>
          <w:sz w:val="24"/>
          <w:szCs w:val="24"/>
        </w:rPr>
        <w:t xml:space="preserve"> Oxford: Capstone Publishing.</w:t>
      </w:r>
    </w:p>
    <w:p w14:paraId="5B704ADD" w14:textId="524EBB4F" w:rsidR="004B3858" w:rsidRPr="004B3858" w:rsidRDefault="004B3858" w:rsidP="004B3858">
      <w:pPr>
        <w:spacing w:line="360" w:lineRule="auto"/>
        <w:rPr>
          <w:rFonts w:ascii="Arial" w:hAnsi="Arial" w:cs="Arial"/>
          <w:sz w:val="24"/>
          <w:szCs w:val="24"/>
        </w:rPr>
      </w:pPr>
      <w:r w:rsidRPr="004B3858">
        <w:rPr>
          <w:rFonts w:ascii="Arial" w:hAnsi="Arial" w:cs="Arial"/>
          <w:sz w:val="24"/>
          <w:szCs w:val="24"/>
        </w:rPr>
        <w:t xml:space="preserve">FICCI-CASCADE (2025) ‘Illicit market in five key sectors valued at ₹7.9 lakh crore: Study’, </w:t>
      </w:r>
      <w:r w:rsidRPr="004B3858">
        <w:rPr>
          <w:rFonts w:ascii="Arial" w:hAnsi="Arial" w:cs="Arial"/>
          <w:i/>
          <w:iCs/>
          <w:sz w:val="24"/>
          <w:szCs w:val="24"/>
        </w:rPr>
        <w:t>Times of India</w:t>
      </w:r>
      <w:r w:rsidRPr="004B3858">
        <w:rPr>
          <w:rFonts w:ascii="Arial" w:hAnsi="Arial" w:cs="Arial"/>
          <w:sz w:val="24"/>
          <w:szCs w:val="24"/>
        </w:rPr>
        <w:t>, 19 November.</w:t>
      </w:r>
    </w:p>
    <w:p w14:paraId="0AC26AB6" w14:textId="77777777" w:rsidR="00AE7D41" w:rsidRDefault="00AE7D41" w:rsidP="004B3858">
      <w:pPr>
        <w:spacing w:line="360" w:lineRule="auto"/>
        <w:rPr>
          <w:rFonts w:ascii="Arial" w:hAnsi="Arial" w:cs="Arial"/>
          <w:sz w:val="24"/>
          <w:szCs w:val="24"/>
        </w:rPr>
      </w:pPr>
      <w:r w:rsidRPr="00AE7D41">
        <w:rPr>
          <w:rFonts w:ascii="Arial" w:hAnsi="Arial" w:cs="Arial"/>
          <w:sz w:val="24"/>
          <w:szCs w:val="24"/>
        </w:rPr>
        <w:t xml:space="preserve">Kaplan, R.S. and Norton, D.P. (1996) </w:t>
      </w:r>
      <w:r w:rsidRPr="00AE7D41">
        <w:rPr>
          <w:rFonts w:ascii="Arial" w:hAnsi="Arial" w:cs="Arial"/>
          <w:i/>
          <w:iCs/>
          <w:sz w:val="24"/>
          <w:szCs w:val="24"/>
        </w:rPr>
        <w:t>The Balanced Scorecard: Translating Strategy into Action.</w:t>
      </w:r>
      <w:r w:rsidRPr="00AE7D41">
        <w:rPr>
          <w:rFonts w:ascii="Arial" w:hAnsi="Arial" w:cs="Arial"/>
          <w:sz w:val="24"/>
          <w:szCs w:val="24"/>
        </w:rPr>
        <w:t xml:space="preserve"> Boston: Harvard Business School Press.</w:t>
      </w:r>
    </w:p>
    <w:p w14:paraId="347AD9A5" w14:textId="7D85A2C5" w:rsidR="004B3858" w:rsidRPr="004B3858" w:rsidRDefault="004B3858" w:rsidP="004B3858">
      <w:pPr>
        <w:spacing w:line="360" w:lineRule="auto"/>
        <w:rPr>
          <w:rFonts w:ascii="Arial" w:hAnsi="Arial" w:cs="Arial"/>
          <w:sz w:val="24"/>
          <w:szCs w:val="24"/>
        </w:rPr>
      </w:pPr>
      <w:r w:rsidRPr="004B3858">
        <w:rPr>
          <w:rFonts w:ascii="Arial" w:hAnsi="Arial" w:cs="Arial"/>
          <w:sz w:val="24"/>
          <w:szCs w:val="24"/>
        </w:rPr>
        <w:t>Le Monde (2024) ‘Decathlon, the French company that has conquered India’, 31 October.</w:t>
      </w:r>
    </w:p>
    <w:p w14:paraId="67FC58E5" w14:textId="77777777" w:rsidR="004B3858" w:rsidRPr="004B3858" w:rsidRDefault="004B3858" w:rsidP="004B3858">
      <w:pPr>
        <w:spacing w:line="360" w:lineRule="auto"/>
        <w:rPr>
          <w:rFonts w:ascii="Arial" w:hAnsi="Arial" w:cs="Arial"/>
          <w:sz w:val="24"/>
          <w:szCs w:val="24"/>
        </w:rPr>
      </w:pPr>
      <w:proofErr w:type="spellStart"/>
      <w:r w:rsidRPr="004B3858">
        <w:rPr>
          <w:rFonts w:ascii="Arial" w:hAnsi="Arial" w:cs="Arial"/>
          <w:sz w:val="24"/>
          <w:szCs w:val="24"/>
        </w:rPr>
        <w:t>LiveMint</w:t>
      </w:r>
      <w:proofErr w:type="spellEnd"/>
      <w:r w:rsidRPr="004B3858">
        <w:rPr>
          <w:rFonts w:ascii="Arial" w:hAnsi="Arial" w:cs="Arial"/>
          <w:sz w:val="24"/>
          <w:szCs w:val="24"/>
        </w:rPr>
        <w:t xml:space="preserve"> (2025) ‘Namaste: Yoga-wear brand Lululemon to launch in India in 2026, partners with Tata CLiQ’, 15 July.</w:t>
      </w:r>
    </w:p>
    <w:p w14:paraId="56EB2DBE" w14:textId="77777777" w:rsidR="004B3858" w:rsidRPr="004B3858" w:rsidRDefault="004B3858" w:rsidP="004B3858">
      <w:pPr>
        <w:spacing w:line="360" w:lineRule="auto"/>
        <w:rPr>
          <w:rFonts w:ascii="Arial" w:hAnsi="Arial" w:cs="Arial"/>
          <w:sz w:val="24"/>
          <w:szCs w:val="24"/>
        </w:rPr>
      </w:pPr>
      <w:r w:rsidRPr="004B3858">
        <w:rPr>
          <w:rFonts w:ascii="Arial" w:hAnsi="Arial" w:cs="Arial"/>
          <w:sz w:val="24"/>
          <w:szCs w:val="24"/>
        </w:rPr>
        <w:t xml:space="preserve">Lululemon Athletica Inc. (2025) </w:t>
      </w:r>
      <w:r w:rsidRPr="004B3858">
        <w:rPr>
          <w:rFonts w:ascii="Arial" w:hAnsi="Arial" w:cs="Arial"/>
          <w:i/>
          <w:iCs/>
          <w:sz w:val="24"/>
          <w:szCs w:val="24"/>
        </w:rPr>
        <w:t>2024 Annual Report</w:t>
      </w:r>
      <w:r w:rsidRPr="004B3858">
        <w:rPr>
          <w:rFonts w:ascii="Arial" w:hAnsi="Arial" w:cs="Arial"/>
          <w:sz w:val="24"/>
          <w:szCs w:val="24"/>
        </w:rPr>
        <w:t>. Vancouver: Lululemon Investor Relations.</w:t>
      </w:r>
    </w:p>
    <w:p w14:paraId="1746C916" w14:textId="77777777" w:rsidR="004B3858" w:rsidRPr="004B3858" w:rsidRDefault="004B3858" w:rsidP="004B3858">
      <w:pPr>
        <w:spacing w:line="360" w:lineRule="auto"/>
        <w:rPr>
          <w:rFonts w:ascii="Arial" w:hAnsi="Arial" w:cs="Arial"/>
          <w:sz w:val="24"/>
          <w:szCs w:val="24"/>
        </w:rPr>
      </w:pPr>
      <w:r w:rsidRPr="004B3858">
        <w:rPr>
          <w:rFonts w:ascii="Arial" w:hAnsi="Arial" w:cs="Arial"/>
          <w:sz w:val="24"/>
          <w:szCs w:val="24"/>
        </w:rPr>
        <w:t xml:space="preserve">Lululemon Athletica Inc. (2025) </w:t>
      </w:r>
      <w:r w:rsidRPr="004B3858">
        <w:rPr>
          <w:rFonts w:ascii="Arial" w:hAnsi="Arial" w:cs="Arial"/>
          <w:i/>
          <w:iCs/>
          <w:sz w:val="24"/>
          <w:szCs w:val="24"/>
        </w:rPr>
        <w:t>Q4 FY24 Earnings Infographic: Power of Three × 2</w:t>
      </w:r>
      <w:r w:rsidRPr="004B3858">
        <w:rPr>
          <w:rFonts w:ascii="Arial" w:hAnsi="Arial" w:cs="Arial"/>
          <w:sz w:val="24"/>
          <w:szCs w:val="24"/>
        </w:rPr>
        <w:t>, 27 March.</w:t>
      </w:r>
    </w:p>
    <w:p w14:paraId="119D1C86" w14:textId="77777777" w:rsidR="004B3858" w:rsidRPr="004B3858" w:rsidRDefault="004B3858" w:rsidP="004B3858">
      <w:pPr>
        <w:spacing w:line="360" w:lineRule="auto"/>
        <w:rPr>
          <w:rFonts w:ascii="Arial" w:hAnsi="Arial" w:cs="Arial"/>
          <w:sz w:val="24"/>
          <w:szCs w:val="24"/>
        </w:rPr>
      </w:pPr>
      <w:r w:rsidRPr="004B3858">
        <w:rPr>
          <w:rFonts w:ascii="Arial" w:hAnsi="Arial" w:cs="Arial"/>
          <w:sz w:val="24"/>
          <w:szCs w:val="24"/>
        </w:rPr>
        <w:t xml:space="preserve">Nageswaran, V.A. (2025) ‘India on track to cross USD 4 trillion GDP in FY26’, </w:t>
      </w:r>
      <w:r w:rsidRPr="004B3858">
        <w:rPr>
          <w:rFonts w:ascii="Arial" w:hAnsi="Arial" w:cs="Arial"/>
          <w:i/>
          <w:iCs/>
          <w:sz w:val="24"/>
          <w:szCs w:val="24"/>
        </w:rPr>
        <w:t>Economic Times</w:t>
      </w:r>
      <w:r w:rsidRPr="004B3858">
        <w:rPr>
          <w:rFonts w:ascii="Arial" w:hAnsi="Arial" w:cs="Arial"/>
          <w:sz w:val="24"/>
          <w:szCs w:val="24"/>
        </w:rPr>
        <w:t>, 25 November.</w:t>
      </w:r>
    </w:p>
    <w:p w14:paraId="535BF7C0" w14:textId="77777777" w:rsidR="004B3858" w:rsidRPr="004B3858" w:rsidRDefault="004B3858" w:rsidP="004B3858">
      <w:pPr>
        <w:spacing w:line="360" w:lineRule="auto"/>
        <w:rPr>
          <w:rFonts w:ascii="Arial" w:hAnsi="Arial" w:cs="Arial"/>
          <w:sz w:val="24"/>
          <w:szCs w:val="24"/>
        </w:rPr>
      </w:pPr>
      <w:r w:rsidRPr="004B3858">
        <w:rPr>
          <w:rFonts w:ascii="Arial" w:hAnsi="Arial" w:cs="Arial"/>
          <w:sz w:val="24"/>
          <w:szCs w:val="24"/>
        </w:rPr>
        <w:lastRenderedPageBreak/>
        <w:t xml:space="preserve">OC&amp;C Strategy Consultants (2025) </w:t>
      </w:r>
      <w:r w:rsidRPr="004B3858">
        <w:rPr>
          <w:rFonts w:ascii="Arial" w:hAnsi="Arial" w:cs="Arial"/>
          <w:i/>
          <w:iCs/>
          <w:sz w:val="24"/>
          <w:szCs w:val="24"/>
        </w:rPr>
        <w:t>Fashion Forward: Winning in India’s Fast-Growth Apparel Market</w:t>
      </w:r>
      <w:r w:rsidRPr="004B3858">
        <w:rPr>
          <w:rFonts w:ascii="Arial" w:hAnsi="Arial" w:cs="Arial"/>
          <w:sz w:val="24"/>
          <w:szCs w:val="24"/>
        </w:rPr>
        <w:t>.</w:t>
      </w:r>
    </w:p>
    <w:p w14:paraId="0A3C6E00" w14:textId="77777777" w:rsidR="004B3858" w:rsidRPr="004B3858" w:rsidRDefault="004B3858" w:rsidP="004B3858">
      <w:pPr>
        <w:spacing w:line="360" w:lineRule="auto"/>
        <w:rPr>
          <w:rFonts w:ascii="Arial" w:hAnsi="Arial" w:cs="Arial"/>
          <w:sz w:val="24"/>
          <w:szCs w:val="24"/>
        </w:rPr>
      </w:pPr>
      <w:r w:rsidRPr="004B3858">
        <w:rPr>
          <w:rFonts w:ascii="Arial" w:hAnsi="Arial" w:cs="Arial"/>
          <w:sz w:val="24"/>
          <w:szCs w:val="24"/>
        </w:rPr>
        <w:t xml:space="preserve">Porter, M.E. (1980) </w:t>
      </w:r>
      <w:r w:rsidRPr="004B3858">
        <w:rPr>
          <w:rFonts w:ascii="Arial" w:hAnsi="Arial" w:cs="Arial"/>
          <w:i/>
          <w:iCs/>
          <w:sz w:val="24"/>
          <w:szCs w:val="24"/>
        </w:rPr>
        <w:t xml:space="preserve">Competitive Strategy: Techniques for </w:t>
      </w:r>
      <w:proofErr w:type="spellStart"/>
      <w:r w:rsidRPr="004B3858">
        <w:rPr>
          <w:rFonts w:ascii="Arial" w:hAnsi="Arial" w:cs="Arial"/>
          <w:i/>
          <w:iCs/>
          <w:sz w:val="24"/>
          <w:szCs w:val="24"/>
        </w:rPr>
        <w:t>Analyzing</w:t>
      </w:r>
      <w:proofErr w:type="spellEnd"/>
      <w:r w:rsidRPr="004B3858">
        <w:rPr>
          <w:rFonts w:ascii="Arial" w:hAnsi="Arial" w:cs="Arial"/>
          <w:i/>
          <w:iCs/>
          <w:sz w:val="24"/>
          <w:szCs w:val="24"/>
        </w:rPr>
        <w:t xml:space="preserve"> Industries and Competitors</w:t>
      </w:r>
      <w:r w:rsidRPr="004B3858">
        <w:rPr>
          <w:rFonts w:ascii="Arial" w:hAnsi="Arial" w:cs="Arial"/>
          <w:sz w:val="24"/>
          <w:szCs w:val="24"/>
        </w:rPr>
        <w:t>. New York: Free Press.</w:t>
      </w:r>
    </w:p>
    <w:p w14:paraId="08FF4A1E" w14:textId="77777777" w:rsidR="004B3858" w:rsidRPr="004B3858" w:rsidRDefault="004B3858" w:rsidP="004B3858">
      <w:pPr>
        <w:spacing w:line="360" w:lineRule="auto"/>
        <w:rPr>
          <w:rFonts w:ascii="Arial" w:hAnsi="Arial" w:cs="Arial"/>
          <w:sz w:val="24"/>
          <w:szCs w:val="24"/>
        </w:rPr>
      </w:pPr>
      <w:proofErr w:type="spellStart"/>
      <w:r w:rsidRPr="004B3858">
        <w:rPr>
          <w:rFonts w:ascii="Arial" w:hAnsi="Arial" w:cs="Arial"/>
          <w:sz w:val="24"/>
          <w:szCs w:val="24"/>
        </w:rPr>
        <w:t>Redseer</w:t>
      </w:r>
      <w:proofErr w:type="spellEnd"/>
      <w:r w:rsidRPr="004B3858">
        <w:rPr>
          <w:rFonts w:ascii="Arial" w:hAnsi="Arial" w:cs="Arial"/>
          <w:sz w:val="24"/>
          <w:szCs w:val="24"/>
        </w:rPr>
        <w:t xml:space="preserve"> Strategy Consultants (2024) ‘E-commerce is redefining India’s fast-growing fashion market’, 13 July.</w:t>
      </w:r>
    </w:p>
    <w:p w14:paraId="44CB1D11" w14:textId="77777777" w:rsidR="004B3858" w:rsidRPr="004B3858" w:rsidRDefault="004B3858" w:rsidP="004B3858">
      <w:pPr>
        <w:spacing w:line="360" w:lineRule="auto"/>
        <w:rPr>
          <w:rFonts w:ascii="Arial" w:hAnsi="Arial" w:cs="Arial"/>
          <w:sz w:val="24"/>
          <w:szCs w:val="24"/>
        </w:rPr>
      </w:pPr>
      <w:r w:rsidRPr="004B3858">
        <w:rPr>
          <w:rFonts w:ascii="Arial" w:hAnsi="Arial" w:cs="Arial"/>
          <w:sz w:val="24"/>
          <w:szCs w:val="24"/>
        </w:rPr>
        <w:t xml:space="preserve">S&amp;P Global Ratings (2025) ‘India’s GDP to grow 6.5% this fiscal year’, </w:t>
      </w:r>
      <w:r w:rsidRPr="004B3858">
        <w:rPr>
          <w:rFonts w:ascii="Arial" w:hAnsi="Arial" w:cs="Arial"/>
          <w:i/>
          <w:iCs/>
          <w:sz w:val="24"/>
          <w:szCs w:val="24"/>
        </w:rPr>
        <w:t>Times of India</w:t>
      </w:r>
      <w:r w:rsidRPr="004B3858">
        <w:rPr>
          <w:rFonts w:ascii="Arial" w:hAnsi="Arial" w:cs="Arial"/>
          <w:sz w:val="24"/>
          <w:szCs w:val="24"/>
        </w:rPr>
        <w:t>, 25 November.</w:t>
      </w:r>
    </w:p>
    <w:p w14:paraId="3F26E98C" w14:textId="77777777" w:rsidR="004B3858" w:rsidRPr="004B3858" w:rsidRDefault="004B3858" w:rsidP="004B3858">
      <w:pPr>
        <w:spacing w:line="360" w:lineRule="auto"/>
        <w:rPr>
          <w:rFonts w:ascii="Arial" w:hAnsi="Arial" w:cs="Arial"/>
          <w:sz w:val="24"/>
          <w:szCs w:val="24"/>
        </w:rPr>
      </w:pPr>
      <w:r w:rsidRPr="004B3858">
        <w:rPr>
          <w:rFonts w:ascii="Arial" w:hAnsi="Arial" w:cs="Arial"/>
          <w:sz w:val="24"/>
          <w:szCs w:val="24"/>
        </w:rPr>
        <w:t>Times of India (2021) ‘Canada’s Lululemon Athletica opens tech centre in Bengaluru’, 29 April.</w:t>
      </w:r>
    </w:p>
    <w:p w14:paraId="52DA6791" w14:textId="77777777" w:rsidR="004B3858" w:rsidRPr="004B3858" w:rsidRDefault="004B3858" w:rsidP="004B3858">
      <w:pPr>
        <w:spacing w:line="360" w:lineRule="auto"/>
        <w:rPr>
          <w:rFonts w:ascii="Arial" w:hAnsi="Arial" w:cs="Arial"/>
          <w:sz w:val="24"/>
          <w:szCs w:val="24"/>
        </w:rPr>
      </w:pPr>
      <w:r w:rsidRPr="004B3858">
        <w:rPr>
          <w:rFonts w:ascii="Arial" w:hAnsi="Arial" w:cs="Arial"/>
          <w:sz w:val="24"/>
          <w:szCs w:val="24"/>
        </w:rPr>
        <w:t>Times of India (2025) ‘Canada’s Lululemon to enter India in partnership with Tata CLiQ’, 16 July.</w:t>
      </w:r>
    </w:p>
    <w:p w14:paraId="403BB586" w14:textId="77777777" w:rsidR="004B3858" w:rsidRPr="003627DF" w:rsidRDefault="004B3858" w:rsidP="003627DF">
      <w:pPr>
        <w:spacing w:line="360" w:lineRule="auto"/>
        <w:rPr>
          <w:rFonts w:ascii="Arial" w:hAnsi="Arial" w:cs="Arial"/>
          <w:sz w:val="24"/>
          <w:szCs w:val="24"/>
        </w:rPr>
      </w:pPr>
    </w:p>
    <w:sectPr w:rsidR="004B3858" w:rsidRPr="003627D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31B0A8" w14:textId="77777777" w:rsidR="00A32000" w:rsidRDefault="00A32000" w:rsidP="009F4657">
      <w:pPr>
        <w:spacing w:after="0" w:line="240" w:lineRule="auto"/>
      </w:pPr>
      <w:r>
        <w:separator/>
      </w:r>
    </w:p>
  </w:endnote>
  <w:endnote w:type="continuationSeparator" w:id="0">
    <w:p w14:paraId="5DF97536" w14:textId="77777777" w:rsidR="00A32000" w:rsidRDefault="00A32000" w:rsidP="009F46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232978"/>
      <w:docPartObj>
        <w:docPartGallery w:val="Page Numbers (Bottom of Page)"/>
        <w:docPartUnique/>
      </w:docPartObj>
    </w:sdtPr>
    <w:sdtEndPr>
      <w:rPr>
        <w:noProof/>
      </w:rPr>
    </w:sdtEndPr>
    <w:sdtContent>
      <w:p w14:paraId="41B54B3E" w14:textId="058478C6" w:rsidR="009F4657" w:rsidRDefault="009F46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24AFFE" w14:textId="77777777" w:rsidR="009F4657" w:rsidRDefault="009F46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26FF39" w14:textId="77777777" w:rsidR="00A32000" w:rsidRDefault="00A32000" w:rsidP="009F4657">
      <w:pPr>
        <w:spacing w:after="0" w:line="240" w:lineRule="auto"/>
      </w:pPr>
      <w:r>
        <w:separator/>
      </w:r>
    </w:p>
  </w:footnote>
  <w:footnote w:type="continuationSeparator" w:id="0">
    <w:p w14:paraId="1916323B" w14:textId="77777777" w:rsidR="00A32000" w:rsidRDefault="00A32000" w:rsidP="009F46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C7CE0"/>
    <w:multiLevelType w:val="multilevel"/>
    <w:tmpl w:val="EDA2D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176219"/>
    <w:multiLevelType w:val="multilevel"/>
    <w:tmpl w:val="6A72F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310976"/>
    <w:multiLevelType w:val="multilevel"/>
    <w:tmpl w:val="588C7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0668A8"/>
    <w:multiLevelType w:val="multilevel"/>
    <w:tmpl w:val="8612D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D778E7"/>
    <w:multiLevelType w:val="multilevel"/>
    <w:tmpl w:val="2696B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A57DD4"/>
    <w:multiLevelType w:val="multilevel"/>
    <w:tmpl w:val="13282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B92A40"/>
    <w:multiLevelType w:val="multilevel"/>
    <w:tmpl w:val="113EC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503A90"/>
    <w:multiLevelType w:val="multilevel"/>
    <w:tmpl w:val="BF20A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6366CE"/>
    <w:multiLevelType w:val="multilevel"/>
    <w:tmpl w:val="888CC5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0706C1"/>
    <w:multiLevelType w:val="multilevel"/>
    <w:tmpl w:val="8632A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564593"/>
    <w:multiLevelType w:val="multilevel"/>
    <w:tmpl w:val="C9E27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F1043F"/>
    <w:multiLevelType w:val="multilevel"/>
    <w:tmpl w:val="0798D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5961239">
    <w:abstractNumId w:val="10"/>
  </w:num>
  <w:num w:numId="2" w16cid:durableId="2017340743">
    <w:abstractNumId w:val="9"/>
  </w:num>
  <w:num w:numId="3" w16cid:durableId="711729567">
    <w:abstractNumId w:val="5"/>
  </w:num>
  <w:num w:numId="4" w16cid:durableId="848565496">
    <w:abstractNumId w:val="1"/>
  </w:num>
  <w:num w:numId="5" w16cid:durableId="1642882249">
    <w:abstractNumId w:val="2"/>
  </w:num>
  <w:num w:numId="6" w16cid:durableId="245921910">
    <w:abstractNumId w:val="8"/>
  </w:num>
  <w:num w:numId="7" w16cid:durableId="70321475">
    <w:abstractNumId w:val="4"/>
  </w:num>
  <w:num w:numId="8" w16cid:durableId="234626703">
    <w:abstractNumId w:val="11"/>
  </w:num>
  <w:num w:numId="9" w16cid:durableId="338313111">
    <w:abstractNumId w:val="0"/>
  </w:num>
  <w:num w:numId="10" w16cid:durableId="462233996">
    <w:abstractNumId w:val="7"/>
  </w:num>
  <w:num w:numId="11" w16cid:durableId="405037607">
    <w:abstractNumId w:val="3"/>
  </w:num>
  <w:num w:numId="12" w16cid:durableId="2037543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578"/>
    <w:rsid w:val="001A6BF4"/>
    <w:rsid w:val="001B4A37"/>
    <w:rsid w:val="002C0002"/>
    <w:rsid w:val="00326C70"/>
    <w:rsid w:val="003627DF"/>
    <w:rsid w:val="00424DCD"/>
    <w:rsid w:val="004B3858"/>
    <w:rsid w:val="004E1B5B"/>
    <w:rsid w:val="00505F48"/>
    <w:rsid w:val="0053300B"/>
    <w:rsid w:val="005618A0"/>
    <w:rsid w:val="00620C38"/>
    <w:rsid w:val="00646C15"/>
    <w:rsid w:val="00717134"/>
    <w:rsid w:val="00763CEF"/>
    <w:rsid w:val="00782976"/>
    <w:rsid w:val="00785578"/>
    <w:rsid w:val="00793EBF"/>
    <w:rsid w:val="008823FD"/>
    <w:rsid w:val="008E3EA0"/>
    <w:rsid w:val="008F5504"/>
    <w:rsid w:val="0093181F"/>
    <w:rsid w:val="009E5550"/>
    <w:rsid w:val="009F4657"/>
    <w:rsid w:val="009F7595"/>
    <w:rsid w:val="00A32000"/>
    <w:rsid w:val="00A34FCC"/>
    <w:rsid w:val="00A45A1B"/>
    <w:rsid w:val="00A4724D"/>
    <w:rsid w:val="00AE7D41"/>
    <w:rsid w:val="00B3464F"/>
    <w:rsid w:val="00B35093"/>
    <w:rsid w:val="00B86CBC"/>
    <w:rsid w:val="00C55A48"/>
    <w:rsid w:val="00D45695"/>
    <w:rsid w:val="00D56E0E"/>
    <w:rsid w:val="00D66E20"/>
    <w:rsid w:val="00DE01D2"/>
    <w:rsid w:val="00FE405E"/>
    <w:rsid w:val="00FF7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D77B4"/>
  <w15:chartTrackingRefBased/>
  <w15:docId w15:val="{48B07681-9CD0-4098-81B1-856ACBED4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55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855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855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55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55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55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55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55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55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55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855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855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55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55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55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55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55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5578"/>
    <w:rPr>
      <w:rFonts w:eastAsiaTheme="majorEastAsia" w:cstheme="majorBidi"/>
      <w:color w:val="272727" w:themeColor="text1" w:themeTint="D8"/>
    </w:rPr>
  </w:style>
  <w:style w:type="paragraph" w:styleId="Title">
    <w:name w:val="Title"/>
    <w:basedOn w:val="Normal"/>
    <w:next w:val="Normal"/>
    <w:link w:val="TitleChar"/>
    <w:uiPriority w:val="10"/>
    <w:qFormat/>
    <w:rsid w:val="007855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55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55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55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5578"/>
    <w:pPr>
      <w:spacing w:before="160"/>
      <w:jc w:val="center"/>
    </w:pPr>
    <w:rPr>
      <w:i/>
      <w:iCs/>
      <w:color w:val="404040" w:themeColor="text1" w:themeTint="BF"/>
    </w:rPr>
  </w:style>
  <w:style w:type="character" w:customStyle="1" w:styleId="QuoteChar">
    <w:name w:val="Quote Char"/>
    <w:basedOn w:val="DefaultParagraphFont"/>
    <w:link w:val="Quote"/>
    <w:uiPriority w:val="29"/>
    <w:rsid w:val="00785578"/>
    <w:rPr>
      <w:i/>
      <w:iCs/>
      <w:color w:val="404040" w:themeColor="text1" w:themeTint="BF"/>
    </w:rPr>
  </w:style>
  <w:style w:type="paragraph" w:styleId="ListParagraph">
    <w:name w:val="List Paragraph"/>
    <w:basedOn w:val="Normal"/>
    <w:uiPriority w:val="34"/>
    <w:qFormat/>
    <w:rsid w:val="00785578"/>
    <w:pPr>
      <w:ind w:left="720"/>
      <w:contextualSpacing/>
    </w:pPr>
  </w:style>
  <w:style w:type="character" w:styleId="IntenseEmphasis">
    <w:name w:val="Intense Emphasis"/>
    <w:basedOn w:val="DefaultParagraphFont"/>
    <w:uiPriority w:val="21"/>
    <w:qFormat/>
    <w:rsid w:val="00785578"/>
    <w:rPr>
      <w:i/>
      <w:iCs/>
      <w:color w:val="0F4761" w:themeColor="accent1" w:themeShade="BF"/>
    </w:rPr>
  </w:style>
  <w:style w:type="paragraph" w:styleId="IntenseQuote">
    <w:name w:val="Intense Quote"/>
    <w:basedOn w:val="Normal"/>
    <w:next w:val="Normal"/>
    <w:link w:val="IntenseQuoteChar"/>
    <w:uiPriority w:val="30"/>
    <w:qFormat/>
    <w:rsid w:val="007855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5578"/>
    <w:rPr>
      <w:i/>
      <w:iCs/>
      <w:color w:val="0F4761" w:themeColor="accent1" w:themeShade="BF"/>
    </w:rPr>
  </w:style>
  <w:style w:type="character" w:styleId="IntenseReference">
    <w:name w:val="Intense Reference"/>
    <w:basedOn w:val="DefaultParagraphFont"/>
    <w:uiPriority w:val="32"/>
    <w:qFormat/>
    <w:rsid w:val="00785578"/>
    <w:rPr>
      <w:b/>
      <w:bCs/>
      <w:smallCaps/>
      <w:color w:val="0F4761" w:themeColor="accent1" w:themeShade="BF"/>
      <w:spacing w:val="5"/>
    </w:rPr>
  </w:style>
  <w:style w:type="paragraph" w:styleId="TOC1">
    <w:name w:val="toc 1"/>
    <w:basedOn w:val="Normal"/>
    <w:next w:val="Normal"/>
    <w:autoRedefine/>
    <w:uiPriority w:val="39"/>
    <w:unhideWhenUsed/>
    <w:rsid w:val="00717134"/>
    <w:pPr>
      <w:spacing w:after="100"/>
    </w:pPr>
  </w:style>
  <w:style w:type="paragraph" w:styleId="TOC2">
    <w:name w:val="toc 2"/>
    <w:basedOn w:val="Normal"/>
    <w:next w:val="Normal"/>
    <w:autoRedefine/>
    <w:uiPriority w:val="39"/>
    <w:unhideWhenUsed/>
    <w:rsid w:val="00717134"/>
    <w:pPr>
      <w:spacing w:after="100"/>
      <w:ind w:left="220"/>
    </w:pPr>
  </w:style>
  <w:style w:type="paragraph" w:styleId="TOC3">
    <w:name w:val="toc 3"/>
    <w:basedOn w:val="Normal"/>
    <w:next w:val="Normal"/>
    <w:autoRedefine/>
    <w:uiPriority w:val="39"/>
    <w:unhideWhenUsed/>
    <w:rsid w:val="00717134"/>
    <w:pPr>
      <w:spacing w:after="100"/>
      <w:ind w:left="440"/>
    </w:pPr>
  </w:style>
  <w:style w:type="character" w:styleId="Hyperlink">
    <w:name w:val="Hyperlink"/>
    <w:basedOn w:val="DefaultParagraphFont"/>
    <w:uiPriority w:val="99"/>
    <w:unhideWhenUsed/>
    <w:rsid w:val="00717134"/>
    <w:rPr>
      <w:color w:val="467886" w:themeColor="hyperlink"/>
      <w:u w:val="single"/>
    </w:rPr>
  </w:style>
  <w:style w:type="paragraph" w:styleId="Header">
    <w:name w:val="header"/>
    <w:basedOn w:val="Normal"/>
    <w:link w:val="HeaderChar"/>
    <w:uiPriority w:val="99"/>
    <w:unhideWhenUsed/>
    <w:rsid w:val="009F46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4657"/>
  </w:style>
  <w:style w:type="paragraph" w:styleId="Footer">
    <w:name w:val="footer"/>
    <w:basedOn w:val="Normal"/>
    <w:link w:val="FooterChar"/>
    <w:uiPriority w:val="99"/>
    <w:unhideWhenUsed/>
    <w:rsid w:val="009F46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657"/>
  </w:style>
  <w:style w:type="character" w:styleId="UnresolvedMention">
    <w:name w:val="Unresolved Mention"/>
    <w:basedOn w:val="DefaultParagraphFont"/>
    <w:uiPriority w:val="99"/>
    <w:semiHidden/>
    <w:unhideWhenUsed/>
    <w:rsid w:val="0053300B"/>
    <w:rPr>
      <w:color w:val="605E5C"/>
      <w:shd w:val="clear" w:color="auto" w:fill="E1DFDD"/>
    </w:rPr>
  </w:style>
  <w:style w:type="character" w:styleId="FollowedHyperlink">
    <w:name w:val="FollowedHyperlink"/>
    <w:basedOn w:val="DefaultParagraphFont"/>
    <w:uiPriority w:val="99"/>
    <w:semiHidden/>
    <w:unhideWhenUsed/>
    <w:rsid w:val="00D4569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307</TotalTime>
  <Pages>22</Pages>
  <Words>6049</Words>
  <Characters>34482</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Silviu Mircea Moisa (2014968)</dc:creator>
  <cp:keywords/>
  <dc:description/>
  <cp:lastModifiedBy>Silviu Mircea Moisa (2014968)</cp:lastModifiedBy>
  <cp:revision>9</cp:revision>
  <dcterms:created xsi:type="dcterms:W3CDTF">2025-11-16T20:41:00Z</dcterms:created>
  <dcterms:modified xsi:type="dcterms:W3CDTF">2025-11-26T21:47:00Z</dcterms:modified>
</cp:coreProperties>
</file>