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14E73"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6"/>
          <w:szCs w:val="26"/>
        </w:rPr>
      </w:pPr>
    </w:p>
    <w:p w14:paraId="479B8AC9"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6"/>
          <w:szCs w:val="26"/>
        </w:rPr>
      </w:pPr>
    </w:p>
    <w:p w14:paraId="35282846"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26"/>
          <w:szCs w:val="26"/>
        </w:rPr>
      </w:pPr>
    </w:p>
    <w:p w14:paraId="609DC471"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sz w:val="32"/>
          <w:szCs w:val="32"/>
        </w:rPr>
      </w:pPr>
    </w:p>
    <w:p w14:paraId="1F861A0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6"/>
          <w:szCs w:val="26"/>
        </w:rPr>
      </w:pPr>
      <w:r>
        <w:rPr>
          <w:rFonts w:ascii="Times New Roman" w:hAnsi="Times New Roman" w:cs="Times New Roman"/>
          <w:b/>
          <w:sz w:val="32"/>
          <w:szCs w:val="32"/>
        </w:rPr>
        <w:t>Planning and Delivering an International Meeting/Event</w:t>
      </w:r>
    </w:p>
    <w:p w14:paraId="76A1B63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7ED08342" wp14:editId="20486C7F">
            <wp:extent cx="2684780" cy="2684780"/>
            <wp:effectExtent l="0" t="0" r="0" b="0"/>
            <wp:docPr id="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pic:cNvPicPr>
                      <a:picLocks noChangeAspect="1"/>
                    </pic:cNvPicPr>
                  </pic:nvPicPr>
                  <pic:blipFill>
                    <a:blip r:embed="rId7"/>
                    <a:srcRect/>
                    <a:stretch>
                      <a:fillRect/>
                    </a:stretch>
                  </pic:blipFill>
                  <pic:spPr>
                    <a:xfrm>
                      <a:off x="0" y="0"/>
                      <a:ext cx="2684780" cy="2684780"/>
                    </a:xfrm>
                    <a:prstGeom prst="rect">
                      <a:avLst/>
                    </a:prstGeom>
                  </pic:spPr>
                </pic:pic>
              </a:graphicData>
            </a:graphic>
          </wp:inline>
        </w:drawing>
      </w:r>
    </w:p>
    <w:p w14:paraId="34D7575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b/>
          <w:sz w:val="26"/>
          <w:szCs w:val="26"/>
        </w:rPr>
        <w:t>Equality, Diversity, and Inclusion Summit 2025</w:t>
      </w:r>
    </w:p>
    <w:p w14:paraId="443F2B14"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sz w:val="20"/>
          <w:szCs w:val="20"/>
        </w:rPr>
      </w:pPr>
      <w:r>
        <w:rPr>
          <w:rFonts w:ascii="Times New Roman" w:hAnsi="Times New Roman" w:cs="Times New Roman"/>
          <w:b/>
          <w:sz w:val="20"/>
          <w:szCs w:val="20"/>
        </w:rPr>
        <w:t xml:space="preserve">Name: </w:t>
      </w:r>
      <w:r>
        <w:rPr>
          <w:rFonts w:ascii="Times New Roman" w:hAnsi="Times New Roman" w:cs="Times New Roman"/>
          <w:sz w:val="20"/>
          <w:szCs w:val="20"/>
        </w:rPr>
        <w:t>Andreea Crozolo</w:t>
      </w:r>
    </w:p>
    <w:p w14:paraId="4664831E" w14:textId="3BA6D280"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sz w:val="20"/>
          <w:szCs w:val="20"/>
        </w:rPr>
      </w:pPr>
      <w:r>
        <w:rPr>
          <w:rFonts w:ascii="Times New Roman" w:hAnsi="Times New Roman" w:cs="Times New Roman"/>
          <w:b/>
          <w:sz w:val="20"/>
          <w:szCs w:val="20"/>
        </w:rPr>
        <w:t>Student Number:</w:t>
      </w:r>
      <w:r w:rsidR="00D423A9">
        <w:rPr>
          <w:rFonts w:ascii="Times New Roman" w:hAnsi="Times New Roman" w:cs="Times New Roman"/>
          <w:b/>
          <w:sz w:val="20"/>
          <w:szCs w:val="20"/>
        </w:rPr>
        <w:t xml:space="preserve"> 2226837</w:t>
      </w:r>
    </w:p>
    <w:p w14:paraId="1907027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sz w:val="20"/>
          <w:szCs w:val="20"/>
        </w:rPr>
      </w:pPr>
      <w:r>
        <w:rPr>
          <w:rFonts w:ascii="Times New Roman" w:hAnsi="Times New Roman" w:cs="Times New Roman"/>
          <w:b/>
          <w:sz w:val="20"/>
          <w:szCs w:val="20"/>
        </w:rPr>
        <w:t xml:space="preserve">Assignment Title: </w:t>
      </w:r>
      <w:r>
        <w:rPr>
          <w:rFonts w:ascii="Times New Roman" w:hAnsi="Times New Roman" w:cs="Times New Roman"/>
          <w:sz w:val="20"/>
          <w:szCs w:val="20"/>
        </w:rPr>
        <w:t>Planning and Delivering an International Meeting/Event</w:t>
      </w:r>
    </w:p>
    <w:p w14:paraId="3CF6970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sz w:val="20"/>
          <w:szCs w:val="20"/>
        </w:rPr>
      </w:pPr>
      <w:r>
        <w:rPr>
          <w:rFonts w:ascii="Times New Roman" w:hAnsi="Times New Roman" w:cs="Times New Roman"/>
          <w:b/>
          <w:sz w:val="20"/>
          <w:szCs w:val="20"/>
        </w:rPr>
        <w:t xml:space="preserve">Module Title: </w:t>
      </w:r>
      <w:r>
        <w:rPr>
          <w:rFonts w:ascii="Times New Roman" w:hAnsi="Times New Roman" w:cs="Times New Roman"/>
          <w:sz w:val="20"/>
          <w:szCs w:val="20"/>
        </w:rPr>
        <w:t>International Meetings Management BMIH6007</w:t>
      </w:r>
    </w:p>
    <w:p w14:paraId="62B1AA77" w14:textId="77777777" w:rsidR="00D423A9" w:rsidRDefault="00000000" w:rsidP="00D423A9">
      <w:pPr>
        <w:numPr>
          <w:ilvl w:val="0"/>
          <w:numId w:val="11"/>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center"/>
        <w:rPr>
          <w:rFonts w:ascii="Times New Roman" w:hAnsi="Times New Roman" w:cs="Times New Roman"/>
          <w:sz w:val="20"/>
          <w:szCs w:val="20"/>
        </w:rPr>
      </w:pPr>
      <w:r>
        <w:rPr>
          <w:rFonts w:ascii="Times New Roman" w:hAnsi="Times New Roman" w:cs="Times New Roman"/>
          <w:b/>
          <w:sz w:val="20"/>
          <w:szCs w:val="20"/>
        </w:rPr>
        <w:t xml:space="preserve">Lecturer’s Name:  </w:t>
      </w:r>
      <w:r w:rsidR="00D423A9" w:rsidRPr="003F06F5">
        <w:rPr>
          <w:rFonts w:ascii="Times New Roman" w:hAnsi="Times New Roman" w:cs="Times New Roman"/>
          <w:b/>
          <w:sz w:val="20"/>
          <w:szCs w:val="20"/>
        </w:rPr>
        <w:t>Kathryn Flynn</w:t>
      </w:r>
    </w:p>
    <w:p w14:paraId="5B0BB9EF" w14:textId="54E57C88"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sz w:val="20"/>
          <w:szCs w:val="20"/>
        </w:rPr>
      </w:pPr>
    </w:p>
    <w:p w14:paraId="487D9F95" w14:textId="77777777" w:rsidR="00D423A9" w:rsidRDefault="00D423A9">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sz w:val="20"/>
          <w:szCs w:val="20"/>
        </w:rPr>
      </w:pPr>
    </w:p>
    <w:p w14:paraId="7C892AC9" w14:textId="77777777" w:rsidR="00D423A9" w:rsidRDefault="00D423A9">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sz w:val="20"/>
          <w:szCs w:val="20"/>
        </w:rPr>
      </w:pPr>
    </w:p>
    <w:p w14:paraId="6BE8E4FB" w14:textId="77777777" w:rsidR="00A36743" w:rsidRDefault="00A36743">
      <w:pPr>
        <w:spacing w:line="360" w:lineRule="auto"/>
        <w:jc w:val="center"/>
        <w:rPr>
          <w:rFonts w:ascii="Times New Roman" w:hAnsi="Times New Roman" w:cs="Times New Roman"/>
          <w:sz w:val="20"/>
          <w:szCs w:val="20"/>
        </w:rPr>
      </w:pPr>
    </w:p>
    <w:p w14:paraId="60A5653F" w14:textId="77777777" w:rsidR="00A36743" w:rsidRDefault="00A36743">
      <w:pPr>
        <w:spacing w:line="360" w:lineRule="auto"/>
        <w:jc w:val="center"/>
        <w:rPr>
          <w:rFonts w:ascii="Times New Roman" w:hAnsi="Times New Roman" w:cs="Times New Roman"/>
          <w:sz w:val="20"/>
          <w:szCs w:val="20"/>
        </w:rPr>
      </w:pPr>
    </w:p>
    <w:p w14:paraId="442A09AA" w14:textId="77777777" w:rsidR="00A36743" w:rsidRDefault="00A36743">
      <w:pPr>
        <w:spacing w:line="360" w:lineRule="auto"/>
        <w:jc w:val="center"/>
        <w:rPr>
          <w:rFonts w:ascii="Times New Roman" w:hAnsi="Times New Roman" w:cs="Times New Roman"/>
          <w:sz w:val="20"/>
          <w:szCs w:val="20"/>
        </w:rPr>
      </w:pPr>
    </w:p>
    <w:p w14:paraId="1BC18831" w14:textId="77777777" w:rsidR="00A36743" w:rsidRDefault="00A36743">
      <w:pPr>
        <w:spacing w:line="360" w:lineRule="auto"/>
        <w:jc w:val="center"/>
        <w:rPr>
          <w:rFonts w:ascii="Times New Roman" w:hAnsi="Times New Roman" w:cs="Times New Roman"/>
          <w:sz w:val="20"/>
          <w:szCs w:val="20"/>
        </w:rPr>
      </w:pPr>
    </w:p>
    <w:p w14:paraId="6A927393" w14:textId="77777777" w:rsidR="00A36743" w:rsidRDefault="00A36743">
      <w:pPr>
        <w:spacing w:line="360" w:lineRule="auto"/>
        <w:jc w:val="center"/>
        <w:rPr>
          <w:rFonts w:ascii="Times New Roman" w:hAnsi="Times New Roman" w:cs="Times New Roman"/>
          <w:sz w:val="20"/>
          <w:szCs w:val="20"/>
        </w:rPr>
      </w:pPr>
    </w:p>
    <w:p w14:paraId="0F68BBF3" w14:textId="77777777" w:rsidR="00A36743" w:rsidRDefault="00A36743">
      <w:pPr>
        <w:spacing w:line="360" w:lineRule="auto"/>
        <w:jc w:val="center"/>
        <w:rPr>
          <w:rFonts w:ascii="Times New Roman" w:hAnsi="Times New Roman" w:cs="Times New Roman"/>
          <w:sz w:val="20"/>
          <w:szCs w:val="20"/>
        </w:rPr>
      </w:pPr>
    </w:p>
    <w:p w14:paraId="3FFF222F" w14:textId="77777777" w:rsidR="00A36743" w:rsidRDefault="00A36743">
      <w:pPr>
        <w:spacing w:line="360" w:lineRule="auto"/>
        <w:jc w:val="both"/>
        <w:rPr>
          <w:rFonts w:ascii="Times New Roman" w:hAnsi="Times New Roman" w:cs="Times New Roman"/>
          <w:sz w:val="20"/>
          <w:szCs w:val="20"/>
        </w:rPr>
      </w:pPr>
    </w:p>
    <w:p w14:paraId="353B51B6" w14:textId="77777777" w:rsidR="00D423A9" w:rsidRDefault="00D423A9" w:rsidP="00D423A9">
      <w:r w:rsidRPr="00DF4EB9">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9CF34CC" w14:textId="77777777" w:rsidR="00A36743" w:rsidRDefault="00A36743">
      <w:pPr>
        <w:spacing w:line="360" w:lineRule="auto"/>
        <w:jc w:val="both"/>
        <w:rPr>
          <w:rFonts w:ascii="Times New Roman" w:hAnsi="Times New Roman" w:cs="Times New Roman"/>
          <w:sz w:val="20"/>
          <w:szCs w:val="20"/>
        </w:rPr>
      </w:pPr>
    </w:p>
    <w:p w14:paraId="5D295A23" w14:textId="77777777" w:rsidR="00A36743" w:rsidRDefault="00A36743">
      <w:pPr>
        <w:spacing w:line="360" w:lineRule="auto"/>
        <w:jc w:val="both"/>
        <w:rPr>
          <w:rFonts w:ascii="Times New Roman" w:hAnsi="Times New Roman" w:cs="Times New Roman"/>
          <w:sz w:val="20"/>
          <w:szCs w:val="20"/>
        </w:rPr>
      </w:pPr>
    </w:p>
    <w:p w14:paraId="1673DD5D" w14:textId="77777777" w:rsidR="00A36743" w:rsidRDefault="00A36743">
      <w:pPr>
        <w:spacing w:line="360" w:lineRule="auto"/>
        <w:jc w:val="both"/>
        <w:rPr>
          <w:rFonts w:ascii="Times New Roman" w:hAnsi="Times New Roman" w:cs="Times New Roman"/>
          <w:sz w:val="20"/>
          <w:szCs w:val="20"/>
        </w:rPr>
      </w:pPr>
    </w:p>
    <w:p w14:paraId="75FFFACB" w14:textId="77777777" w:rsidR="00A36743" w:rsidRDefault="00A36743">
      <w:pPr>
        <w:spacing w:line="360" w:lineRule="auto"/>
        <w:jc w:val="both"/>
        <w:rPr>
          <w:rFonts w:ascii="Times New Roman" w:hAnsi="Times New Roman" w:cs="Times New Roman"/>
          <w:sz w:val="20"/>
          <w:szCs w:val="20"/>
        </w:rPr>
      </w:pPr>
    </w:p>
    <w:p w14:paraId="78453EEB" w14:textId="77777777" w:rsidR="00A36743" w:rsidRDefault="00A36743">
      <w:pPr>
        <w:spacing w:line="360" w:lineRule="auto"/>
        <w:jc w:val="both"/>
        <w:rPr>
          <w:rFonts w:ascii="Times New Roman" w:hAnsi="Times New Roman" w:cs="Times New Roman"/>
          <w:sz w:val="20"/>
          <w:szCs w:val="20"/>
        </w:rPr>
      </w:pPr>
    </w:p>
    <w:p w14:paraId="138BC345" w14:textId="77777777" w:rsidR="00A36743" w:rsidRDefault="00000000">
      <w:pPr>
        <w:pStyle w:val="TOCHeading"/>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fldChar w:fldCharType="begin"/>
      </w:r>
      <w:r>
        <w:rPr>
          <w:rFonts w:ascii="Times New Roman" w:hAnsi="Times New Roman" w:cs="Times New Roman"/>
          <w:b/>
          <w:bCs/>
          <w:sz w:val="20"/>
          <w:szCs w:val="20"/>
        </w:rPr>
        <w:instrText>TOC \o "1 - 3" \h \u</w:instrText>
      </w:r>
      <w:r>
        <w:rPr>
          <w:rFonts w:ascii="Times New Roman" w:hAnsi="Times New Roman" w:cs="Times New Roman"/>
          <w:b/>
          <w:bCs/>
          <w:sz w:val="20"/>
          <w:szCs w:val="20"/>
        </w:rPr>
        <w:fldChar w:fldCharType="separate"/>
      </w:r>
      <w:r>
        <w:rPr>
          <w:rFonts w:ascii="Times New Roman" w:hAnsi="Times New Roman" w:cs="Times New Roman"/>
          <w:b/>
          <w:bCs/>
          <w:sz w:val="20"/>
          <w:szCs w:val="20"/>
        </w:rPr>
        <w:t>TABLE OF CONTENTS</w:t>
      </w:r>
    </w:p>
    <w:p w14:paraId="73CEF851"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1" w:history="1">
        <w:r>
          <w:rPr>
            <w:rStyle w:val="Hyperlink"/>
            <w:rFonts w:ascii="Times New Roman" w:hAnsi="Times New Roman" w:cs="Times New Roman"/>
            <w:sz w:val="20"/>
            <w:szCs w:val="20"/>
          </w:rPr>
          <w:t>Introduction</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_Toc1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3</w:t>
        </w:r>
        <w:r>
          <w:rPr>
            <w:rFonts w:ascii="Times New Roman" w:hAnsi="Times New Roman" w:cs="Times New Roman"/>
            <w:sz w:val="20"/>
            <w:szCs w:val="20"/>
          </w:rPr>
          <w:fldChar w:fldCharType="end"/>
        </w:r>
      </w:hyperlink>
    </w:p>
    <w:p w14:paraId="66193BDA"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2" w:history="1">
        <w:r>
          <w:rPr>
            <w:rStyle w:val="Hyperlink"/>
            <w:rFonts w:ascii="Times New Roman" w:hAnsi="Times New Roman" w:cs="Times New Roman"/>
            <w:sz w:val="20"/>
            <w:szCs w:val="20"/>
          </w:rPr>
          <w:t>The Event Cycle</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_Toc2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4</w:t>
        </w:r>
        <w:r>
          <w:rPr>
            <w:rFonts w:ascii="Times New Roman" w:hAnsi="Times New Roman" w:cs="Times New Roman"/>
            <w:sz w:val="20"/>
            <w:szCs w:val="20"/>
          </w:rPr>
          <w:fldChar w:fldCharType="end"/>
        </w:r>
      </w:hyperlink>
    </w:p>
    <w:p w14:paraId="711A00EB"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3" w:history="1">
        <w:r>
          <w:rPr>
            <w:rStyle w:val="Hyperlink"/>
            <w:rFonts w:ascii="Times New Roman" w:hAnsi="Times New Roman" w:cs="Times New Roman"/>
            <w:sz w:val="20"/>
            <w:szCs w:val="20"/>
          </w:rPr>
          <w:t>Event Concept</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_Toc3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4</w:t>
        </w:r>
        <w:r>
          <w:rPr>
            <w:rFonts w:ascii="Times New Roman" w:hAnsi="Times New Roman" w:cs="Times New Roman"/>
            <w:sz w:val="20"/>
            <w:szCs w:val="20"/>
          </w:rPr>
          <w:fldChar w:fldCharType="end"/>
        </w:r>
      </w:hyperlink>
    </w:p>
    <w:p w14:paraId="0DA238B3"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4" w:history="1">
        <w:r>
          <w:rPr>
            <w:rStyle w:val="Hyperlink"/>
            <w:rFonts w:ascii="Times New Roman" w:hAnsi="Times New Roman" w:cs="Times New Roman"/>
            <w:sz w:val="20"/>
            <w:szCs w:val="20"/>
          </w:rPr>
          <w:t>Aim and Objectives of the Meeting/Event</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_Toc4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5</w:t>
        </w:r>
        <w:r>
          <w:rPr>
            <w:rFonts w:ascii="Times New Roman" w:hAnsi="Times New Roman" w:cs="Times New Roman"/>
            <w:sz w:val="20"/>
            <w:szCs w:val="20"/>
          </w:rPr>
          <w:fldChar w:fldCharType="end"/>
        </w:r>
      </w:hyperlink>
    </w:p>
    <w:p w14:paraId="2365F249"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14" w:history="1">
        <w:r>
          <w:rPr>
            <w:rStyle w:val="Hyperlink"/>
            <w:rFonts w:ascii="Times New Roman" w:hAnsi="Times New Roman" w:cs="Times New Roman"/>
            <w:sz w:val="20"/>
            <w:szCs w:val="20"/>
          </w:rPr>
          <w:t>Event Management and EMBOK Theory Model</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_Toc14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6</w:t>
        </w:r>
        <w:r>
          <w:rPr>
            <w:rFonts w:ascii="Times New Roman" w:hAnsi="Times New Roman" w:cs="Times New Roman"/>
            <w:sz w:val="20"/>
            <w:szCs w:val="20"/>
          </w:rPr>
          <w:fldChar w:fldCharType="end"/>
        </w:r>
      </w:hyperlink>
    </w:p>
    <w:p w14:paraId="190CAA65" w14:textId="77777777" w:rsidR="00A36743" w:rsidRDefault="00000000">
      <w:pPr>
        <w:pStyle w:val="TOC2"/>
        <w:tabs>
          <w:tab w:val="right" w:leader="dot" w:pos="9016"/>
        </w:tabs>
        <w:spacing w:line="360" w:lineRule="auto"/>
        <w:rPr>
          <w:rFonts w:ascii="Times New Roman" w:hAnsi="Times New Roman" w:cs="Times New Roman"/>
          <w:sz w:val="20"/>
          <w:szCs w:val="20"/>
        </w:rPr>
      </w:pPr>
      <w:hyperlink w:anchor="_Toc15" w:history="1">
        <w:r>
          <w:rPr>
            <w:rStyle w:val="Hyperlink"/>
            <w:rFonts w:ascii="Times New Roman" w:hAnsi="Times New Roman" w:cs="Times New Roman"/>
            <w:sz w:val="20"/>
            <w:szCs w:val="20"/>
          </w:rPr>
          <w:t>Event Management</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_Toc15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6</w:t>
        </w:r>
        <w:r>
          <w:rPr>
            <w:rFonts w:ascii="Times New Roman" w:hAnsi="Times New Roman" w:cs="Times New Roman"/>
            <w:sz w:val="20"/>
            <w:szCs w:val="20"/>
          </w:rPr>
          <w:fldChar w:fldCharType="end"/>
        </w:r>
      </w:hyperlink>
    </w:p>
    <w:p w14:paraId="15F1B04C" w14:textId="77777777" w:rsidR="00A36743" w:rsidRDefault="00000000">
      <w:pPr>
        <w:pStyle w:val="TOC2"/>
        <w:tabs>
          <w:tab w:val="right" w:leader="dot" w:pos="9016"/>
        </w:tabs>
        <w:spacing w:line="360" w:lineRule="auto"/>
        <w:rPr>
          <w:rFonts w:ascii="Times New Roman" w:hAnsi="Times New Roman" w:cs="Times New Roman"/>
          <w:sz w:val="20"/>
          <w:szCs w:val="20"/>
        </w:rPr>
      </w:pPr>
      <w:hyperlink w:anchor="_Toc16" w:history="1">
        <w:r>
          <w:rPr>
            <w:rStyle w:val="Hyperlink"/>
            <w:rFonts w:ascii="Times New Roman" w:hAnsi="Times New Roman" w:cs="Times New Roman"/>
            <w:sz w:val="20"/>
            <w:szCs w:val="20"/>
            <w:lang w:val="en-US"/>
          </w:rPr>
          <w:t>EMBOK Model</w:t>
        </w:r>
        <w:r>
          <w:rPr>
            <w:rStyle w:val="Hyperlink"/>
            <w:rFonts w:ascii="Times New Roman" w:hAnsi="Times New Roman" w:cs="Times New Roman"/>
            <w:sz w:val="20"/>
            <w:szCs w:val="20"/>
            <w:lang w:val="en-US"/>
          </w:rPr>
          <w:tab/>
        </w:r>
        <w:r>
          <w:rPr>
            <w:rFonts w:ascii="Times New Roman" w:hAnsi="Times New Roman" w:cs="Times New Roman"/>
            <w:sz w:val="20"/>
            <w:szCs w:val="20"/>
            <w:lang w:val="en-US"/>
          </w:rPr>
          <w:fldChar w:fldCharType="begin"/>
        </w:r>
        <w:r>
          <w:rPr>
            <w:rFonts w:ascii="Times New Roman" w:hAnsi="Times New Roman" w:cs="Times New Roman"/>
            <w:sz w:val="20"/>
            <w:szCs w:val="20"/>
            <w:lang w:val="en-US"/>
          </w:rPr>
          <w:instrText>PAGEREF _Toc16 \h</w:instrText>
        </w:r>
        <w:r>
          <w:rPr>
            <w:rFonts w:ascii="Times New Roman" w:hAnsi="Times New Roman" w:cs="Times New Roman"/>
            <w:sz w:val="20"/>
            <w:szCs w:val="20"/>
            <w:lang w:val="en-US"/>
          </w:rPr>
        </w:r>
        <w:r>
          <w:rPr>
            <w:rFonts w:ascii="Times New Roman" w:hAnsi="Times New Roman" w:cs="Times New Roman"/>
            <w:sz w:val="20"/>
            <w:szCs w:val="20"/>
            <w:lang w:val="en-US"/>
          </w:rPr>
          <w:fldChar w:fldCharType="separate"/>
        </w:r>
        <w:r>
          <w:rPr>
            <w:rFonts w:ascii="Times New Roman" w:hAnsi="Times New Roman" w:cs="Times New Roman"/>
            <w:sz w:val="20"/>
            <w:szCs w:val="20"/>
            <w:lang w:val="en-US"/>
          </w:rPr>
          <w:t>6</w:t>
        </w:r>
        <w:r>
          <w:rPr>
            <w:rFonts w:ascii="Times New Roman" w:hAnsi="Times New Roman" w:cs="Times New Roman"/>
            <w:sz w:val="20"/>
            <w:szCs w:val="20"/>
          </w:rPr>
          <w:fldChar w:fldCharType="end"/>
        </w:r>
      </w:hyperlink>
    </w:p>
    <w:p w14:paraId="740511A6"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6" w:history="1">
        <w:r>
          <w:rPr>
            <w:rStyle w:val="Hyperlink"/>
            <w:rFonts w:ascii="Times New Roman" w:hAnsi="Times New Roman" w:cs="Times New Roman"/>
            <w:sz w:val="20"/>
            <w:szCs w:val="20"/>
          </w:rPr>
          <w:t>Event Budget</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_Toc6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7</w:t>
        </w:r>
        <w:r>
          <w:rPr>
            <w:rFonts w:ascii="Times New Roman" w:hAnsi="Times New Roman" w:cs="Times New Roman"/>
            <w:sz w:val="20"/>
            <w:szCs w:val="20"/>
          </w:rPr>
          <w:fldChar w:fldCharType="end"/>
        </w:r>
      </w:hyperlink>
    </w:p>
    <w:p w14:paraId="0182F66F"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13" w:history="1">
        <w:r>
          <w:rPr>
            <w:rStyle w:val="Hyperlink"/>
            <w:rFonts w:ascii="Times New Roman" w:hAnsi="Times New Roman" w:cs="Times New Roman"/>
            <w:sz w:val="20"/>
            <w:szCs w:val="20"/>
          </w:rPr>
          <w:t>Event Feasibility Analysis</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_Toc13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8</w:t>
        </w:r>
        <w:r>
          <w:rPr>
            <w:rFonts w:ascii="Times New Roman" w:hAnsi="Times New Roman" w:cs="Times New Roman"/>
            <w:sz w:val="20"/>
            <w:szCs w:val="20"/>
          </w:rPr>
          <w:fldChar w:fldCharType="end"/>
        </w:r>
      </w:hyperlink>
    </w:p>
    <w:p w14:paraId="1834ADCF"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7" w:history="1">
        <w:r>
          <w:rPr>
            <w:rStyle w:val="Hyperlink"/>
            <w:rFonts w:ascii="Times New Roman" w:hAnsi="Times New Roman" w:cs="Times New Roman"/>
            <w:sz w:val="20"/>
            <w:szCs w:val="20"/>
          </w:rPr>
          <w:t>Industry Trends / Issues / Impacts</w:t>
        </w:r>
        <w:r>
          <w:rPr>
            <w:rStyle w:val="Hyperlink"/>
            <w:rFonts w:ascii="Times New Roman" w:hAnsi="Times New Roman" w:cs="Times New Roman"/>
            <w:sz w:val="20"/>
            <w:szCs w:val="20"/>
          </w:rPr>
          <w:tab/>
        </w:r>
        <w:r>
          <w:rPr>
            <w:rFonts w:ascii="Times New Roman" w:hAnsi="Times New Roman" w:cs="Times New Roman"/>
            <w:sz w:val="20"/>
            <w:szCs w:val="20"/>
          </w:rPr>
          <w:fldChar w:fldCharType="begin"/>
        </w:r>
        <w:r>
          <w:rPr>
            <w:rFonts w:ascii="Times New Roman" w:hAnsi="Times New Roman" w:cs="Times New Roman"/>
            <w:sz w:val="20"/>
            <w:szCs w:val="20"/>
          </w:rPr>
          <w:instrText>PAGEREF _Toc7 \h</w:instrText>
        </w:r>
        <w:r>
          <w:rPr>
            <w:rFonts w:ascii="Times New Roman" w:hAnsi="Times New Roman" w:cs="Times New Roman"/>
            <w:sz w:val="20"/>
            <w:szCs w:val="20"/>
          </w:rPr>
        </w:r>
        <w:r>
          <w:rPr>
            <w:rFonts w:ascii="Times New Roman" w:hAnsi="Times New Roman" w:cs="Times New Roman"/>
            <w:sz w:val="20"/>
            <w:szCs w:val="20"/>
          </w:rPr>
          <w:fldChar w:fldCharType="separate"/>
        </w:r>
        <w:r>
          <w:rPr>
            <w:rFonts w:ascii="Times New Roman" w:hAnsi="Times New Roman" w:cs="Times New Roman"/>
            <w:sz w:val="20"/>
            <w:szCs w:val="20"/>
          </w:rPr>
          <w:t>9</w:t>
        </w:r>
        <w:r>
          <w:rPr>
            <w:rFonts w:ascii="Times New Roman" w:hAnsi="Times New Roman" w:cs="Times New Roman"/>
            <w:sz w:val="20"/>
            <w:szCs w:val="20"/>
          </w:rPr>
          <w:fldChar w:fldCharType="end"/>
        </w:r>
      </w:hyperlink>
    </w:p>
    <w:p w14:paraId="37FC9B7E"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8" w:history="1">
        <w:r>
          <w:rPr>
            <w:rStyle w:val="Hyperlink"/>
            <w:rFonts w:ascii="Times New Roman" w:hAnsi="Times New Roman" w:cs="Times New Roman"/>
            <w:sz w:val="20"/>
            <w:szCs w:val="20"/>
          </w:rPr>
          <w:t>Situational and Cultural Considerations</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_Toc8 \h</w:instrText>
        </w:r>
        <w:r>
          <w:rPr>
            <w:rStyle w:val="Hyperlink"/>
          </w:rPr>
        </w:r>
        <w:r>
          <w:rPr>
            <w:rStyle w:val="Hyperlink"/>
          </w:rPr>
          <w:fldChar w:fldCharType="separate"/>
        </w:r>
        <w:r>
          <w:rPr>
            <w:rStyle w:val="Hyperlink"/>
            <w:rFonts w:ascii="Times New Roman" w:hAnsi="Times New Roman" w:cs="Times New Roman"/>
            <w:sz w:val="20"/>
            <w:szCs w:val="20"/>
          </w:rPr>
          <w:t>11</w:t>
        </w:r>
        <w:r>
          <w:rPr>
            <w:rFonts w:ascii="Times New Roman" w:hAnsi="Times New Roman" w:cs="Times New Roman"/>
            <w:sz w:val="20"/>
            <w:szCs w:val="20"/>
          </w:rPr>
          <w:fldChar w:fldCharType="end"/>
        </w:r>
      </w:hyperlink>
    </w:p>
    <w:p w14:paraId="70E60614" w14:textId="77777777" w:rsidR="00A36743" w:rsidRDefault="00000000">
      <w:pPr>
        <w:pStyle w:val="TOC2"/>
        <w:tabs>
          <w:tab w:val="right" w:leader="dot" w:pos="9016"/>
        </w:tabs>
        <w:spacing w:line="360" w:lineRule="auto"/>
        <w:rPr>
          <w:rFonts w:ascii="Times New Roman" w:hAnsi="Times New Roman" w:cs="Times New Roman"/>
          <w:sz w:val="20"/>
          <w:szCs w:val="20"/>
        </w:rPr>
      </w:pPr>
      <w:hyperlink w:anchor="_Toc9" w:history="1">
        <w:r>
          <w:rPr>
            <w:rStyle w:val="Hyperlink"/>
            <w:rFonts w:ascii="Times New Roman" w:hAnsi="Times New Roman" w:cs="Times New Roman"/>
            <w:sz w:val="20"/>
            <w:szCs w:val="20"/>
          </w:rPr>
          <w:t>SWOT Analysis</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_Toc9 \h</w:instrText>
        </w:r>
        <w:r>
          <w:rPr>
            <w:rStyle w:val="Hyperlink"/>
          </w:rPr>
        </w:r>
        <w:r>
          <w:rPr>
            <w:rStyle w:val="Hyperlink"/>
          </w:rPr>
          <w:fldChar w:fldCharType="separate"/>
        </w:r>
        <w:r>
          <w:rPr>
            <w:rStyle w:val="Hyperlink"/>
            <w:rFonts w:ascii="Times New Roman" w:hAnsi="Times New Roman" w:cs="Times New Roman"/>
            <w:sz w:val="20"/>
            <w:szCs w:val="20"/>
          </w:rPr>
          <w:t>11</w:t>
        </w:r>
        <w:r>
          <w:rPr>
            <w:rFonts w:ascii="Times New Roman" w:hAnsi="Times New Roman" w:cs="Times New Roman"/>
            <w:sz w:val="20"/>
            <w:szCs w:val="20"/>
          </w:rPr>
          <w:fldChar w:fldCharType="end"/>
        </w:r>
      </w:hyperlink>
    </w:p>
    <w:p w14:paraId="43841292" w14:textId="77777777" w:rsidR="00A36743" w:rsidRDefault="00000000">
      <w:pPr>
        <w:pStyle w:val="TOC2"/>
        <w:tabs>
          <w:tab w:val="right" w:leader="dot" w:pos="9016"/>
        </w:tabs>
        <w:spacing w:line="360" w:lineRule="auto"/>
        <w:rPr>
          <w:rFonts w:ascii="Times New Roman" w:hAnsi="Times New Roman" w:cs="Times New Roman"/>
          <w:sz w:val="20"/>
          <w:szCs w:val="20"/>
        </w:rPr>
      </w:pPr>
      <w:hyperlink w:anchor="_Toc10" w:history="1">
        <w:r>
          <w:rPr>
            <w:rStyle w:val="Hyperlink"/>
            <w:rFonts w:ascii="Times New Roman" w:hAnsi="Times New Roman" w:cs="Times New Roman"/>
            <w:sz w:val="20"/>
            <w:szCs w:val="20"/>
          </w:rPr>
          <w:t>PESTEL Analysis</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_Toc10 \h</w:instrText>
        </w:r>
        <w:r>
          <w:rPr>
            <w:rStyle w:val="Hyperlink"/>
          </w:rPr>
        </w:r>
        <w:r>
          <w:rPr>
            <w:rStyle w:val="Hyperlink"/>
          </w:rPr>
          <w:fldChar w:fldCharType="separate"/>
        </w:r>
        <w:r>
          <w:rPr>
            <w:rStyle w:val="Hyperlink"/>
            <w:rFonts w:ascii="Times New Roman" w:hAnsi="Times New Roman" w:cs="Times New Roman"/>
            <w:sz w:val="20"/>
            <w:szCs w:val="20"/>
          </w:rPr>
          <w:t>11</w:t>
        </w:r>
        <w:r>
          <w:rPr>
            <w:rFonts w:ascii="Times New Roman" w:hAnsi="Times New Roman" w:cs="Times New Roman"/>
            <w:sz w:val="20"/>
            <w:szCs w:val="20"/>
          </w:rPr>
          <w:fldChar w:fldCharType="end"/>
        </w:r>
      </w:hyperlink>
    </w:p>
    <w:p w14:paraId="3CC934B2" w14:textId="77777777" w:rsidR="00A36743" w:rsidRDefault="00000000">
      <w:pPr>
        <w:pStyle w:val="TOC1"/>
        <w:tabs>
          <w:tab w:val="right" w:leader="dot" w:pos="9016"/>
        </w:tabs>
        <w:spacing w:line="360" w:lineRule="auto"/>
        <w:rPr>
          <w:rFonts w:ascii="Times New Roman" w:hAnsi="Times New Roman" w:cs="Times New Roman"/>
          <w:sz w:val="20"/>
          <w:szCs w:val="20"/>
        </w:rPr>
      </w:pPr>
      <w:hyperlink w:anchor="_Toc11" w:history="1">
        <w:r>
          <w:rPr>
            <w:rStyle w:val="Hyperlink"/>
            <w:rFonts w:ascii="Times New Roman" w:hAnsi="Times New Roman" w:cs="Times New Roman"/>
            <w:sz w:val="20"/>
            <w:szCs w:val="20"/>
          </w:rPr>
          <w:t>Conclusion</w:t>
        </w:r>
        <w:r>
          <w:rPr>
            <w:rStyle w:val="Hyperlink"/>
            <w:rFonts w:ascii="Times New Roman" w:hAnsi="Times New Roman" w:cs="Times New Roman"/>
            <w:sz w:val="20"/>
            <w:szCs w:val="20"/>
          </w:rPr>
          <w:tab/>
        </w:r>
        <w:r>
          <w:rPr>
            <w:rStyle w:val="Hyperlink"/>
          </w:rPr>
          <w:fldChar w:fldCharType="begin"/>
        </w:r>
        <w:r>
          <w:rPr>
            <w:rStyle w:val="Hyperlink"/>
            <w:rFonts w:ascii="Times New Roman" w:hAnsi="Times New Roman" w:cs="Times New Roman"/>
            <w:sz w:val="20"/>
            <w:szCs w:val="20"/>
          </w:rPr>
          <w:instrText>PAGEREF _Toc11 \h</w:instrText>
        </w:r>
        <w:r>
          <w:rPr>
            <w:rStyle w:val="Hyperlink"/>
          </w:rPr>
        </w:r>
        <w:r>
          <w:rPr>
            <w:rStyle w:val="Hyperlink"/>
          </w:rPr>
          <w:fldChar w:fldCharType="separate"/>
        </w:r>
        <w:r>
          <w:rPr>
            <w:rStyle w:val="Hyperlink"/>
            <w:rFonts w:ascii="Times New Roman" w:hAnsi="Times New Roman" w:cs="Times New Roman"/>
            <w:sz w:val="20"/>
            <w:szCs w:val="20"/>
          </w:rPr>
          <w:t>14</w:t>
        </w:r>
        <w:r>
          <w:rPr>
            <w:rFonts w:ascii="Times New Roman" w:hAnsi="Times New Roman" w:cs="Times New Roman"/>
            <w:sz w:val="20"/>
            <w:szCs w:val="20"/>
          </w:rPr>
          <w:fldChar w:fldCharType="end"/>
        </w:r>
      </w:hyperlink>
    </w:p>
    <w:p w14:paraId="0DF75959" w14:textId="77777777" w:rsidR="00A36743" w:rsidRDefault="00000000">
      <w:pPr>
        <w:pStyle w:val="TOC1"/>
        <w:tabs>
          <w:tab w:val="right" w:leader="dot" w:pos="9016"/>
        </w:tabs>
        <w:spacing w:line="360" w:lineRule="auto"/>
        <w:rPr>
          <w:rFonts w:hint="eastAsia"/>
        </w:rPr>
      </w:pPr>
      <w:hyperlink w:anchor="_Toc12" w:history="1">
        <w:r>
          <w:rPr>
            <w:rStyle w:val="Hyperlink"/>
            <w:rFonts w:ascii="Times New Roman" w:hAnsi="Times New Roman" w:cs="Times New Roman"/>
            <w:sz w:val="20"/>
            <w:szCs w:val="20"/>
          </w:rPr>
          <w:t>References</w:t>
        </w:r>
        <w:r>
          <w:rPr>
            <w:rStyle w:val="Hyperlink"/>
            <w:rFonts w:ascii="Times New Roman" w:hAnsi="Times New Roman" w:cs="Times New Roman"/>
            <w:sz w:val="20"/>
            <w:szCs w:val="20"/>
          </w:rPr>
          <w:tab/>
        </w:r>
        <w:r>
          <w:rPr>
            <w:rStyle w:val="Hyperlink"/>
            <w:rFonts w:ascii="Times New Roman" w:hAnsi="Times New Roman" w:cs="Times New Roman"/>
            <w:sz w:val="20"/>
            <w:szCs w:val="20"/>
          </w:rPr>
          <w:fldChar w:fldCharType="begin"/>
        </w:r>
        <w:r>
          <w:rPr>
            <w:rStyle w:val="Hyperlink"/>
            <w:rFonts w:ascii="Times New Roman" w:hAnsi="Times New Roman" w:cs="Times New Roman"/>
            <w:sz w:val="20"/>
            <w:szCs w:val="20"/>
          </w:rPr>
          <w:instrText>PAGEREF _Toc12 \h</w:instrText>
        </w:r>
        <w:r>
          <w:rPr>
            <w:rStyle w:val="Hyperlink"/>
            <w:rFonts w:ascii="Times New Roman" w:hAnsi="Times New Roman" w:cs="Times New Roman"/>
            <w:sz w:val="20"/>
            <w:szCs w:val="20"/>
          </w:rPr>
        </w:r>
        <w:r>
          <w:rPr>
            <w:rStyle w:val="Hyperlink"/>
            <w:rFonts w:ascii="Times New Roman" w:hAnsi="Times New Roman" w:cs="Times New Roman"/>
            <w:sz w:val="20"/>
            <w:szCs w:val="20"/>
          </w:rPr>
          <w:fldChar w:fldCharType="separate"/>
        </w:r>
        <w:r>
          <w:rPr>
            <w:rStyle w:val="Hyperlink"/>
            <w:rFonts w:ascii="Times New Roman" w:hAnsi="Times New Roman" w:cs="Times New Roman"/>
            <w:sz w:val="20"/>
            <w:szCs w:val="20"/>
          </w:rPr>
          <w:t>15</w:t>
        </w:r>
        <w:r>
          <w:fldChar w:fldCharType="end"/>
        </w:r>
      </w:hyperlink>
    </w:p>
    <w:p w14:paraId="652B6626" w14:textId="77777777" w:rsidR="00A36743" w:rsidRDefault="00A36743">
      <w:pPr>
        <w:tabs>
          <w:tab w:val="right" w:leader="dot" w:pos="9016"/>
        </w:tabs>
        <w:rPr>
          <w:rFonts w:hint="eastAsia"/>
        </w:rPr>
      </w:pPr>
    </w:p>
    <w:p w14:paraId="4CFAB032"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fldChar w:fldCharType="end"/>
      </w:r>
    </w:p>
    <w:p w14:paraId="484659B0" w14:textId="77777777" w:rsidR="00A36743" w:rsidRDefault="00A36743">
      <w:pPr>
        <w:spacing w:line="360" w:lineRule="auto"/>
        <w:jc w:val="both"/>
        <w:rPr>
          <w:rFonts w:ascii="Times New Roman" w:hAnsi="Times New Roman" w:cs="Times New Roman"/>
          <w:sz w:val="20"/>
          <w:szCs w:val="20"/>
        </w:rPr>
      </w:pPr>
    </w:p>
    <w:p w14:paraId="4DEB8184" w14:textId="77777777" w:rsidR="00A36743" w:rsidRDefault="00A36743">
      <w:pPr>
        <w:spacing w:line="360" w:lineRule="auto"/>
        <w:jc w:val="both"/>
        <w:rPr>
          <w:rFonts w:ascii="Times New Roman" w:hAnsi="Times New Roman" w:cs="Times New Roman"/>
          <w:sz w:val="20"/>
          <w:szCs w:val="20"/>
        </w:rPr>
      </w:pPr>
    </w:p>
    <w:p w14:paraId="5ED470DB" w14:textId="77777777" w:rsidR="00A36743" w:rsidRDefault="00A36743">
      <w:pPr>
        <w:spacing w:line="360" w:lineRule="auto"/>
        <w:jc w:val="both"/>
        <w:rPr>
          <w:rFonts w:ascii="Times New Roman" w:hAnsi="Times New Roman" w:cs="Times New Roman"/>
          <w:sz w:val="20"/>
          <w:szCs w:val="20"/>
        </w:rPr>
      </w:pPr>
    </w:p>
    <w:p w14:paraId="16FA5B7A" w14:textId="77777777" w:rsidR="00A36743" w:rsidRDefault="00A36743">
      <w:pPr>
        <w:spacing w:line="360" w:lineRule="auto"/>
        <w:jc w:val="both"/>
        <w:rPr>
          <w:rFonts w:ascii="Times New Roman" w:hAnsi="Times New Roman" w:cs="Times New Roman"/>
          <w:sz w:val="20"/>
          <w:szCs w:val="20"/>
        </w:rPr>
      </w:pPr>
    </w:p>
    <w:p w14:paraId="1D94099A" w14:textId="77777777" w:rsidR="00A36743" w:rsidRDefault="00A36743">
      <w:pPr>
        <w:spacing w:line="360" w:lineRule="auto"/>
        <w:jc w:val="both"/>
        <w:rPr>
          <w:rFonts w:ascii="Times New Roman" w:hAnsi="Times New Roman" w:cs="Times New Roman"/>
          <w:sz w:val="20"/>
          <w:szCs w:val="20"/>
        </w:rPr>
      </w:pPr>
    </w:p>
    <w:p w14:paraId="534107D9" w14:textId="77777777" w:rsidR="00A36743" w:rsidRDefault="00A36743">
      <w:pPr>
        <w:spacing w:line="360" w:lineRule="auto"/>
        <w:jc w:val="both"/>
        <w:rPr>
          <w:rFonts w:ascii="Times New Roman" w:hAnsi="Times New Roman" w:cs="Times New Roman"/>
          <w:sz w:val="20"/>
          <w:szCs w:val="20"/>
        </w:rPr>
      </w:pPr>
    </w:p>
    <w:p w14:paraId="00D704CD" w14:textId="77777777" w:rsidR="00A36743" w:rsidRDefault="00A36743">
      <w:pPr>
        <w:spacing w:line="360" w:lineRule="auto"/>
        <w:jc w:val="both"/>
        <w:rPr>
          <w:rFonts w:ascii="Times New Roman" w:hAnsi="Times New Roman" w:cs="Times New Roman"/>
          <w:sz w:val="20"/>
          <w:szCs w:val="20"/>
        </w:rPr>
      </w:pPr>
    </w:p>
    <w:p w14:paraId="53DFCE57" w14:textId="77777777" w:rsidR="00A36743" w:rsidRDefault="00A36743">
      <w:pPr>
        <w:spacing w:line="360" w:lineRule="auto"/>
        <w:jc w:val="both"/>
        <w:rPr>
          <w:rFonts w:ascii="Times New Roman" w:hAnsi="Times New Roman" w:cs="Times New Roman"/>
          <w:sz w:val="20"/>
          <w:szCs w:val="20"/>
        </w:rPr>
      </w:pPr>
    </w:p>
    <w:p w14:paraId="4BFBBD57" w14:textId="77777777" w:rsidR="00A36743" w:rsidRDefault="00A36743">
      <w:pPr>
        <w:spacing w:line="360" w:lineRule="auto"/>
        <w:jc w:val="both"/>
        <w:rPr>
          <w:rFonts w:ascii="Times New Roman" w:hAnsi="Times New Roman" w:cs="Times New Roman"/>
          <w:sz w:val="20"/>
          <w:szCs w:val="20"/>
        </w:rPr>
      </w:pPr>
    </w:p>
    <w:p w14:paraId="139BA0D4" w14:textId="77777777" w:rsidR="00A36743" w:rsidRDefault="00000000">
      <w:pPr>
        <w:pStyle w:val="Heading1"/>
        <w:spacing w:line="360" w:lineRule="auto"/>
        <w:jc w:val="both"/>
        <w:rPr>
          <w:rFonts w:ascii="Times New Roman" w:hAnsi="Times New Roman" w:cs="Times New Roman"/>
          <w:color w:val="000000"/>
          <w:sz w:val="20"/>
          <w:szCs w:val="20"/>
        </w:rPr>
      </w:pPr>
      <w:bookmarkStart w:id="0" w:name="_Toc1"/>
      <w:r>
        <w:rPr>
          <w:rFonts w:ascii="Times New Roman" w:hAnsi="Times New Roman" w:cs="Times New Roman"/>
          <w:sz w:val="20"/>
          <w:szCs w:val="20"/>
        </w:rPr>
        <w:t>Introduction</w:t>
      </w:r>
      <w:bookmarkEnd w:id="0"/>
    </w:p>
    <w:p w14:paraId="54759FE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Professionally, the Equality, Diversity, and Inclusion Summit 2025 (EDI Summit 2025) is meant to forward inclusive workplace policies and best practices in the hotel sector. Set for March 17, 2025, the London Marriott Hotel Grosvenor Square will host 150–200 professionals including HR experts, diverse officials, and legislators. As companies all around give workplace inclusiveness first priority, the summit will offer a forum for cooperation and practical ideas to create different surroundings.</w:t>
      </w:r>
    </w:p>
    <w:p w14:paraId="3F847EA4"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58FB40F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Regardless development, issues include under-representation in leadership, unfair career growth, and recruiting bias still affect hospitality (CIPD, 2024). By means of seminars, networking events, and expert-led dialogues, the EDI Summit 2025 tackles these challenges. Rising corporate responsibility trends and legal requirements improve its practicality and help to emphasise the need of organised DEI plans. Constructed on models such as the Event Cycle and EMBOK Framework, the summit guarantees a professional, well-managed method to reach its goals.</w:t>
      </w:r>
    </w:p>
    <w:p w14:paraId="39F8AA23"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3A3C919"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D668965"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31B19BD8"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5B47122"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7664D9A6"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5FEAD45"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649DC32"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3A9169D8"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77964AB9"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5BBD9171"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2818E2B"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F37D39A"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BBD7576"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5E502AC0"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484DD65"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382E36C5"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5FF7FD8E"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7C71032"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3AC51F50" w14:textId="77777777" w:rsidR="00A36743" w:rsidRDefault="00000000">
      <w:pPr>
        <w:pStyle w:val="Heading1"/>
        <w:spacing w:line="360" w:lineRule="auto"/>
        <w:jc w:val="both"/>
        <w:rPr>
          <w:rFonts w:ascii="Times New Roman" w:hAnsi="Times New Roman" w:cs="Times New Roman"/>
          <w:color w:val="000000"/>
          <w:sz w:val="20"/>
          <w:szCs w:val="20"/>
        </w:rPr>
      </w:pPr>
      <w:bookmarkStart w:id="1" w:name="_Toc2"/>
      <w:r>
        <w:rPr>
          <w:rFonts w:ascii="Times New Roman" w:hAnsi="Times New Roman" w:cs="Times New Roman"/>
          <w:sz w:val="20"/>
          <w:szCs w:val="20"/>
        </w:rPr>
        <w:lastRenderedPageBreak/>
        <w:t>The Event Cycle</w:t>
      </w:r>
      <w:bookmarkEnd w:id="1"/>
    </w:p>
    <w:p w14:paraId="374F0F0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The event cycle refers to the systematic planning, execution, and evaluation stages of an event. In the context of the EDI Summit 2025, the event cycle aligns with Allen’s (2011) model, which consists of initiation, planning, implementation, event execution, and post-event evaluation. The initiation phase involved identifying the market demand for an inclusivity-focused conference in the hospitality sector. The planning phase incorporated venue booking, financial forecasting, and strategic marketing. The implementation stage includes organizing keynote speakers, workshops, and networking sessions. During the event execution, logistics such as catering, AV support, and security will be managed. Finally, the post-event evaluation will assess attendee feedback and financial outcomes to measure the event's success and areas for improvement.</w:t>
      </w:r>
    </w:p>
    <w:p w14:paraId="6F00B75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0"/>
          <w:szCs w:val="20"/>
        </w:rPr>
      </w:pPr>
      <w:r>
        <w:rPr>
          <w:rFonts w:ascii="Times New Roman" w:hAnsi="Times New Roman" w:cs="Times New Roman"/>
          <w:b/>
          <w:bCs/>
          <w:noProof/>
          <w:sz w:val="20"/>
          <w:szCs w:val="20"/>
        </w:rPr>
        <w:drawing>
          <wp:inline distT="0" distB="0" distL="0" distR="0" wp14:anchorId="1576FECF" wp14:editId="111A074B">
            <wp:extent cx="2859405" cy="2703830"/>
            <wp:effectExtent l="0" t="0" r="0" b="0"/>
            <wp:docPr id="1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8"/>
                    <a:srcRect t="6617" b="1774"/>
                    <a:stretch/>
                  </pic:blipFill>
                  <pic:spPr>
                    <a:xfrm>
                      <a:off x="0" y="0"/>
                      <a:ext cx="2859405" cy="2703830"/>
                    </a:xfrm>
                    <a:prstGeom prst="rect">
                      <a:avLst/>
                    </a:prstGeom>
                  </pic:spPr>
                </pic:pic>
              </a:graphicData>
            </a:graphic>
          </wp:inline>
        </w:drawing>
      </w:r>
    </w:p>
    <w:p w14:paraId="0986741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0"/>
          <w:szCs w:val="20"/>
        </w:rPr>
      </w:pPr>
      <w:r>
        <w:rPr>
          <w:rFonts w:ascii="Times New Roman" w:hAnsi="Times New Roman" w:cs="Times New Roman"/>
          <w:b/>
          <w:bCs/>
          <w:sz w:val="20"/>
          <w:szCs w:val="20"/>
        </w:rPr>
        <w:t>Figure 1 Event Cycle Diagram</w:t>
      </w:r>
    </w:p>
    <w:p w14:paraId="0620C7B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(created by the learner)</w:t>
      </w:r>
    </w:p>
    <w:p w14:paraId="329A68C9" w14:textId="77777777" w:rsidR="00A36743" w:rsidRDefault="00000000">
      <w:pPr>
        <w:pStyle w:val="Heading1"/>
        <w:spacing w:line="360" w:lineRule="auto"/>
        <w:jc w:val="both"/>
        <w:rPr>
          <w:rFonts w:ascii="Times New Roman" w:hAnsi="Times New Roman" w:cs="Times New Roman"/>
          <w:color w:val="000000"/>
          <w:sz w:val="20"/>
          <w:szCs w:val="20"/>
        </w:rPr>
      </w:pPr>
      <w:bookmarkStart w:id="2" w:name="_Toc3"/>
      <w:r>
        <w:rPr>
          <w:rFonts w:ascii="Times New Roman" w:hAnsi="Times New Roman" w:cs="Times New Roman"/>
          <w:sz w:val="20"/>
          <w:szCs w:val="20"/>
        </w:rPr>
        <w:t>Event Concept</w:t>
      </w:r>
      <w:bookmarkEnd w:id="2"/>
    </w:p>
    <w:p w14:paraId="68B2AE6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The EDI Summit 2025 aims to provide attendees with an immersive and informative experience. The itinerary includes:</w:t>
      </w:r>
    </w:p>
    <w:tbl>
      <w:tblPr>
        <w:tblStyle w:val="LightGrid-Accent11"/>
        <w:tblW w:w="8680" w:type="dxa"/>
        <w:tblLayout w:type="fixed"/>
        <w:tblCellMar>
          <w:top w:w="10" w:type="dxa"/>
          <w:left w:w="10" w:type="dxa"/>
          <w:bottom w:w="10" w:type="dxa"/>
          <w:right w:w="10" w:type="dxa"/>
        </w:tblCellMar>
        <w:tblLook w:val="0A30" w:firstRow="1" w:lastRow="0" w:firstColumn="0" w:lastColumn="0" w:noHBand="1" w:noVBand="0"/>
      </w:tblPr>
      <w:tblGrid>
        <w:gridCol w:w="3445"/>
        <w:gridCol w:w="5235"/>
      </w:tblGrid>
      <w:tr w:rsidR="00A36743" w14:paraId="2255CE05" w14:textId="77777777" w:rsidTr="00A36743">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3445" w:type="dxa"/>
          </w:tcPr>
          <w:p w14:paraId="29DA696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Time</w:t>
            </w:r>
          </w:p>
        </w:tc>
        <w:tc>
          <w:tcPr>
            <w:tcW w:w="5235" w:type="dxa"/>
          </w:tcPr>
          <w:p w14:paraId="3B0AA48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Activity</w:t>
            </w:r>
          </w:p>
        </w:tc>
      </w:tr>
      <w:tr w:rsidR="00A36743" w14:paraId="5E55F7BB"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50CD518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09:00 - 09:30</w:t>
            </w:r>
          </w:p>
        </w:tc>
        <w:tc>
          <w:tcPr>
            <w:tcW w:w="5235" w:type="dxa"/>
          </w:tcPr>
          <w:p w14:paraId="6FBDC5B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Registration and Welcome Coffee</w:t>
            </w:r>
          </w:p>
        </w:tc>
      </w:tr>
      <w:tr w:rsidR="00A36743" w14:paraId="536D0D09"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230DB87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09:30 - 10:00</w:t>
            </w:r>
          </w:p>
        </w:tc>
        <w:tc>
          <w:tcPr>
            <w:tcW w:w="5235" w:type="dxa"/>
          </w:tcPr>
          <w:p w14:paraId="6069BC6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Opening Keynote: The Future of Inclusive Workplaces</w:t>
            </w:r>
          </w:p>
        </w:tc>
      </w:tr>
      <w:tr w:rsidR="00A36743" w14:paraId="45612543"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199A01C4"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10:00 - 11:30</w:t>
            </w:r>
          </w:p>
        </w:tc>
        <w:tc>
          <w:tcPr>
            <w:tcW w:w="5235" w:type="dxa"/>
          </w:tcPr>
          <w:p w14:paraId="44427A7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Panel Discussion: Breaking Barriers in Hospitality</w:t>
            </w:r>
          </w:p>
        </w:tc>
      </w:tr>
      <w:tr w:rsidR="00A36743" w14:paraId="6CB9A2E3"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3ADF42B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Cs w:val="18"/>
              </w:rPr>
            </w:pPr>
            <w:r>
              <w:rPr>
                <w:rFonts w:ascii="Times New Roman" w:hAnsi="Times New Roman" w:cs="Times New Roman"/>
                <w:b/>
                <w:bCs/>
                <w:szCs w:val="18"/>
              </w:rPr>
              <w:t>11:30 - 12:00</w:t>
            </w:r>
          </w:p>
        </w:tc>
        <w:tc>
          <w:tcPr>
            <w:tcW w:w="5235" w:type="dxa"/>
          </w:tcPr>
          <w:p w14:paraId="2210773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Cs w:val="18"/>
              </w:rPr>
            </w:pPr>
            <w:r>
              <w:rPr>
                <w:rFonts w:ascii="Times New Roman" w:hAnsi="Times New Roman" w:cs="Times New Roman"/>
                <w:b/>
                <w:bCs/>
                <w:szCs w:val="18"/>
              </w:rPr>
              <w:t>Coffee Break &amp; Networking</w:t>
            </w:r>
          </w:p>
        </w:tc>
      </w:tr>
      <w:tr w:rsidR="00A36743" w14:paraId="61B10D59"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28AAC39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12:00 - 13:30</w:t>
            </w:r>
          </w:p>
        </w:tc>
        <w:tc>
          <w:tcPr>
            <w:tcW w:w="5235" w:type="dxa"/>
          </w:tcPr>
          <w:p w14:paraId="3A1F66A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Workshop: Implementing EDI in Leadership</w:t>
            </w:r>
          </w:p>
        </w:tc>
      </w:tr>
      <w:tr w:rsidR="00A36743" w14:paraId="375902D4"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6059E78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b/>
                <w:bCs/>
                <w:szCs w:val="18"/>
              </w:rPr>
            </w:pPr>
            <w:r>
              <w:rPr>
                <w:rFonts w:ascii="Times New Roman" w:hAnsi="Times New Roman" w:cs="Times New Roman"/>
                <w:b/>
                <w:bCs/>
                <w:szCs w:val="18"/>
              </w:rPr>
              <w:t>13:30 - 14:30</w:t>
            </w:r>
          </w:p>
        </w:tc>
        <w:tc>
          <w:tcPr>
            <w:tcW w:w="5235" w:type="dxa"/>
          </w:tcPr>
          <w:p w14:paraId="7413D18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Cs w:val="18"/>
              </w:rPr>
            </w:pPr>
            <w:r>
              <w:rPr>
                <w:rFonts w:ascii="Times New Roman" w:hAnsi="Times New Roman" w:cs="Times New Roman"/>
                <w:b/>
                <w:bCs/>
                <w:szCs w:val="18"/>
              </w:rPr>
              <w:t>Lunch Break</w:t>
            </w:r>
          </w:p>
        </w:tc>
      </w:tr>
      <w:tr w:rsidR="00A36743" w14:paraId="7539CCD6"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6CCE451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14:30 - 16:00</w:t>
            </w:r>
          </w:p>
        </w:tc>
        <w:tc>
          <w:tcPr>
            <w:tcW w:w="5235" w:type="dxa"/>
          </w:tcPr>
          <w:p w14:paraId="403CBD5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Workshop: Inclusive Hiring and Workforce Diversity</w:t>
            </w:r>
          </w:p>
        </w:tc>
      </w:tr>
      <w:tr w:rsidR="00A36743" w14:paraId="7EA86C98"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45741A1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16:00 - 16:30</w:t>
            </w:r>
          </w:p>
        </w:tc>
        <w:tc>
          <w:tcPr>
            <w:tcW w:w="5235" w:type="dxa"/>
          </w:tcPr>
          <w:p w14:paraId="1219B10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Closing Remarks and Future Strategies</w:t>
            </w:r>
          </w:p>
        </w:tc>
      </w:tr>
      <w:tr w:rsidR="00A36743" w14:paraId="438D8272" w14:textId="77777777" w:rsidTr="00A36743">
        <w:tc>
          <w:tcPr>
            <w:cnfStyle w:val="000010000000" w:firstRow="0" w:lastRow="0" w:firstColumn="0" w:lastColumn="0" w:oddVBand="1" w:evenVBand="0" w:oddHBand="0" w:evenHBand="0" w:firstRowFirstColumn="0" w:firstRowLastColumn="0" w:lastRowFirstColumn="0" w:lastRowLastColumn="0"/>
            <w:tcW w:w="3445" w:type="dxa"/>
          </w:tcPr>
          <w:p w14:paraId="1E5AFF6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16:30 - 17:30</w:t>
            </w:r>
          </w:p>
        </w:tc>
        <w:tc>
          <w:tcPr>
            <w:tcW w:w="5235" w:type="dxa"/>
          </w:tcPr>
          <w:p w14:paraId="2403DEF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Networking Reception</w:t>
            </w:r>
          </w:p>
        </w:tc>
      </w:tr>
    </w:tbl>
    <w:p w14:paraId="26D22BA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i/>
          <w:iCs/>
          <w:sz w:val="20"/>
          <w:szCs w:val="20"/>
        </w:rPr>
      </w:pPr>
      <w:r>
        <w:rPr>
          <w:rFonts w:ascii="Times New Roman" w:hAnsi="Times New Roman" w:cs="Times New Roman"/>
          <w:i/>
          <w:iCs/>
          <w:sz w:val="20"/>
          <w:szCs w:val="20"/>
        </w:rPr>
        <w:t>Source: (created by the learner).</w:t>
      </w:r>
    </w:p>
    <w:p w14:paraId="67E1702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lastRenderedPageBreak/>
        <w:t>The event will provide delegates with opportunities to gain insights from industry leaders, participate in interactive discussions, and engage in networking to foster collaboration.</w:t>
      </w:r>
    </w:p>
    <w:p w14:paraId="4E982A69" w14:textId="77777777" w:rsidR="00A36743" w:rsidRDefault="00000000">
      <w:pPr>
        <w:pStyle w:val="Heading1"/>
        <w:spacing w:line="360" w:lineRule="auto"/>
        <w:jc w:val="both"/>
        <w:rPr>
          <w:rFonts w:ascii="Times New Roman" w:hAnsi="Times New Roman" w:cs="Times New Roman"/>
          <w:color w:val="000000"/>
          <w:sz w:val="20"/>
          <w:szCs w:val="20"/>
        </w:rPr>
      </w:pPr>
      <w:bookmarkStart w:id="3" w:name="_Toc4"/>
      <w:r>
        <w:rPr>
          <w:rFonts w:ascii="Times New Roman" w:hAnsi="Times New Roman" w:cs="Times New Roman"/>
          <w:sz w:val="20"/>
          <w:szCs w:val="20"/>
        </w:rPr>
        <w:t>Aim and Objectives of the Meeting/Event</w:t>
      </w:r>
      <w:bookmarkEnd w:id="3"/>
    </w:p>
    <w:p w14:paraId="3E9FD85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The overarching aim of the EDI Summit 2025 is to promote diversity, equality, and inclusion within the hospitality industry through knowledge sharing and strategic discussions. The event objectives are:</w:t>
      </w:r>
    </w:p>
    <w:p w14:paraId="153C0F93" w14:textId="77777777" w:rsidR="00A36743" w:rsidRDefault="00000000">
      <w:pPr>
        <w:numPr>
          <w:ilvl w:val="0"/>
          <w:numId w:val="2"/>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0"/>
          <w:szCs w:val="20"/>
        </w:rPr>
      </w:pPr>
      <w:r>
        <w:rPr>
          <w:rFonts w:ascii="Times New Roman" w:hAnsi="Times New Roman" w:cs="Times New Roman"/>
          <w:sz w:val="20"/>
          <w:szCs w:val="20"/>
        </w:rPr>
        <w:t>To educate industry professionals on best practices for fostering inclusivity in workplaces by March 2025.</w:t>
      </w:r>
    </w:p>
    <w:p w14:paraId="3C2E3F30" w14:textId="77777777" w:rsidR="00A36743" w:rsidRDefault="00000000">
      <w:pPr>
        <w:numPr>
          <w:ilvl w:val="0"/>
          <w:numId w:val="3"/>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0"/>
          <w:szCs w:val="20"/>
        </w:rPr>
      </w:pPr>
      <w:r>
        <w:rPr>
          <w:rFonts w:ascii="Times New Roman" w:hAnsi="Times New Roman" w:cs="Times New Roman"/>
          <w:sz w:val="20"/>
          <w:szCs w:val="20"/>
        </w:rPr>
        <w:t>To facilitate networking opportunities among at least 80% of the attendees through structured discussions and breakout sessions.</w:t>
      </w:r>
    </w:p>
    <w:p w14:paraId="553AE489" w14:textId="77777777" w:rsidR="00A36743" w:rsidRDefault="00000000">
      <w:pPr>
        <w:numPr>
          <w:ilvl w:val="0"/>
          <w:numId w:val="4"/>
        </w:num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hanging="360"/>
        <w:jc w:val="both"/>
        <w:rPr>
          <w:rFonts w:ascii="Times New Roman" w:hAnsi="Times New Roman" w:cs="Times New Roman"/>
          <w:sz w:val="20"/>
          <w:szCs w:val="20"/>
        </w:rPr>
      </w:pPr>
      <w:r>
        <w:rPr>
          <w:rFonts w:ascii="Times New Roman" w:hAnsi="Times New Roman" w:cs="Times New Roman"/>
          <w:sz w:val="20"/>
          <w:szCs w:val="20"/>
        </w:rPr>
        <w:t>To generate post-event engagement in order to achieve  60% participation rate in follow-up initiatives such as webinars and resource sharing.</w:t>
      </w:r>
    </w:p>
    <w:p w14:paraId="4F5E3C47"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720"/>
        <w:jc w:val="both"/>
        <w:rPr>
          <w:rFonts w:ascii="Times New Roman" w:hAnsi="Times New Roman" w:cs="Times New Roman"/>
          <w:sz w:val="20"/>
          <w:szCs w:val="20"/>
        </w:rPr>
      </w:pPr>
    </w:p>
    <w:p w14:paraId="6D3B47D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SMART Objectives for EDI Summit 2025</w:t>
      </w:r>
    </w:p>
    <w:tbl>
      <w:tblPr>
        <w:tblStyle w:val="LightGrid-Accent5"/>
        <w:tblW w:w="8855" w:type="dxa"/>
        <w:tblLayout w:type="fixed"/>
        <w:tblCellMar>
          <w:top w:w="10" w:type="dxa"/>
          <w:left w:w="10" w:type="dxa"/>
          <w:bottom w:w="10" w:type="dxa"/>
          <w:right w:w="10" w:type="dxa"/>
        </w:tblCellMar>
        <w:tblLook w:val="0A30" w:firstRow="1" w:lastRow="0" w:firstColumn="0" w:lastColumn="0" w:noHBand="1" w:noVBand="0"/>
      </w:tblPr>
      <w:tblGrid>
        <w:gridCol w:w="1897"/>
        <w:gridCol w:w="3881"/>
        <w:gridCol w:w="3077"/>
      </w:tblGrid>
      <w:tr w:rsidR="00A36743" w14:paraId="1B143CE2" w14:textId="77777777" w:rsidTr="00A36743">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897" w:type="dxa"/>
          </w:tcPr>
          <w:p w14:paraId="163FA0A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SMART Criteria</w:t>
            </w:r>
          </w:p>
        </w:tc>
        <w:tc>
          <w:tcPr>
            <w:tcW w:w="3881" w:type="dxa"/>
          </w:tcPr>
          <w:p w14:paraId="220209D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Detailed Objective</w:t>
            </w:r>
          </w:p>
        </w:tc>
        <w:tc>
          <w:tcPr>
            <w:cnfStyle w:val="000010000000" w:firstRow="0" w:lastRow="0" w:firstColumn="0" w:lastColumn="0" w:oddVBand="1" w:evenVBand="0" w:oddHBand="0" w:evenHBand="0" w:firstRowFirstColumn="0" w:firstRowLastColumn="0" w:lastRowFirstColumn="0" w:lastRowLastColumn="0"/>
            <w:tcW w:w="3077" w:type="dxa"/>
          </w:tcPr>
          <w:p w14:paraId="434076A4"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Measurement/Success Indicator</w:t>
            </w:r>
          </w:p>
        </w:tc>
      </w:tr>
      <w:tr w:rsidR="00A36743" w14:paraId="0B3D9858" w14:textId="77777777" w:rsidTr="00A36743">
        <w:tc>
          <w:tcPr>
            <w:cnfStyle w:val="000010000000" w:firstRow="0" w:lastRow="0" w:firstColumn="0" w:lastColumn="0" w:oddVBand="1" w:evenVBand="0" w:oddHBand="0" w:evenHBand="0" w:firstRowFirstColumn="0" w:firstRowLastColumn="0" w:lastRowFirstColumn="0" w:lastRowLastColumn="0"/>
            <w:tcW w:w="1897" w:type="dxa"/>
          </w:tcPr>
          <w:p w14:paraId="727072A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Specific</w:t>
            </w:r>
          </w:p>
        </w:tc>
        <w:tc>
          <w:tcPr>
            <w:tcW w:w="3881" w:type="dxa"/>
          </w:tcPr>
          <w:p w14:paraId="5EEA841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Deliver an industry-focused event aimed at educating hospitality professionals on best practices for implementing equality, diversity, and inclusion (EDI) in the workplace.</w:t>
            </w:r>
          </w:p>
        </w:tc>
        <w:tc>
          <w:tcPr>
            <w:cnfStyle w:val="000010000000" w:firstRow="0" w:lastRow="0" w:firstColumn="0" w:lastColumn="0" w:oddVBand="1" w:evenVBand="0" w:oddHBand="0" w:evenHBand="0" w:firstRowFirstColumn="0" w:firstRowLastColumn="0" w:lastRowFirstColumn="0" w:lastRowLastColumn="0"/>
            <w:tcW w:w="3077" w:type="dxa"/>
          </w:tcPr>
          <w:p w14:paraId="65DA856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A structured conference agenda covering key EDI topics through at least 5 expert-led sessions.</w:t>
            </w:r>
          </w:p>
        </w:tc>
      </w:tr>
      <w:tr w:rsidR="00A36743" w14:paraId="14A398EC" w14:textId="77777777" w:rsidTr="00A36743">
        <w:tc>
          <w:tcPr>
            <w:cnfStyle w:val="000010000000" w:firstRow="0" w:lastRow="0" w:firstColumn="0" w:lastColumn="0" w:oddVBand="1" w:evenVBand="0" w:oddHBand="0" w:evenHBand="0" w:firstRowFirstColumn="0" w:firstRowLastColumn="0" w:lastRowFirstColumn="0" w:lastRowLastColumn="0"/>
            <w:tcW w:w="1897" w:type="dxa"/>
          </w:tcPr>
          <w:p w14:paraId="550A111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Measurable</w:t>
            </w:r>
          </w:p>
        </w:tc>
        <w:tc>
          <w:tcPr>
            <w:tcW w:w="3881" w:type="dxa"/>
          </w:tcPr>
          <w:p w14:paraId="7E3F07EE"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Ensure at least 80% of attendees engage in networking sessions, panel discussions, and interactive workshops.</w:t>
            </w:r>
          </w:p>
        </w:tc>
        <w:tc>
          <w:tcPr>
            <w:cnfStyle w:val="000010000000" w:firstRow="0" w:lastRow="0" w:firstColumn="0" w:lastColumn="0" w:oddVBand="1" w:evenVBand="0" w:oddHBand="0" w:evenHBand="0" w:firstRowFirstColumn="0" w:firstRowLastColumn="0" w:lastRowFirstColumn="0" w:lastRowLastColumn="0"/>
            <w:tcW w:w="3077" w:type="dxa"/>
          </w:tcPr>
          <w:p w14:paraId="53202E7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Post-event attendee engagement survey and QR check-in system for tracking participation in sessions.</w:t>
            </w:r>
          </w:p>
        </w:tc>
      </w:tr>
      <w:tr w:rsidR="00A36743" w14:paraId="7D6A3BBC" w14:textId="77777777" w:rsidTr="00A36743">
        <w:tc>
          <w:tcPr>
            <w:cnfStyle w:val="000010000000" w:firstRow="0" w:lastRow="0" w:firstColumn="0" w:lastColumn="0" w:oddVBand="1" w:evenVBand="0" w:oddHBand="0" w:evenHBand="0" w:firstRowFirstColumn="0" w:firstRowLastColumn="0" w:lastRowFirstColumn="0" w:lastRowLastColumn="0"/>
            <w:tcW w:w="1897" w:type="dxa"/>
          </w:tcPr>
          <w:p w14:paraId="632E5BB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Achievable</w:t>
            </w:r>
          </w:p>
        </w:tc>
        <w:tc>
          <w:tcPr>
            <w:tcW w:w="3881" w:type="dxa"/>
          </w:tcPr>
          <w:p w14:paraId="04816E5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Secure sponsorships and partnerships from at least 10 industry-leading organisations to support the event financially and provide expert speakers.</w:t>
            </w:r>
          </w:p>
        </w:tc>
        <w:tc>
          <w:tcPr>
            <w:cnfStyle w:val="000010000000" w:firstRow="0" w:lastRow="0" w:firstColumn="0" w:lastColumn="0" w:oddVBand="1" w:evenVBand="0" w:oddHBand="0" w:evenHBand="0" w:firstRowFirstColumn="0" w:firstRowLastColumn="0" w:lastRowFirstColumn="0" w:lastRowLastColumn="0"/>
            <w:tcW w:w="3077" w:type="dxa"/>
          </w:tcPr>
          <w:p w14:paraId="7473114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Signed agreements with corporate sponsors, and confirmed speaker line-up including at least 5 keynote speakers.</w:t>
            </w:r>
          </w:p>
        </w:tc>
      </w:tr>
      <w:tr w:rsidR="00A36743" w14:paraId="64094ACE" w14:textId="77777777" w:rsidTr="00A36743">
        <w:tc>
          <w:tcPr>
            <w:cnfStyle w:val="000010000000" w:firstRow="0" w:lastRow="0" w:firstColumn="0" w:lastColumn="0" w:oddVBand="1" w:evenVBand="0" w:oddHBand="0" w:evenHBand="0" w:firstRowFirstColumn="0" w:firstRowLastColumn="0" w:lastRowFirstColumn="0" w:lastRowLastColumn="0"/>
            <w:tcW w:w="1897" w:type="dxa"/>
          </w:tcPr>
          <w:p w14:paraId="6F8299F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Relevant</w:t>
            </w:r>
          </w:p>
        </w:tc>
        <w:tc>
          <w:tcPr>
            <w:tcW w:w="3881" w:type="dxa"/>
          </w:tcPr>
          <w:p w14:paraId="005AD1D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Address current industry challenges related to inclusivity in hospitality by offering practical solutions and policy discussions.</w:t>
            </w:r>
          </w:p>
        </w:tc>
        <w:tc>
          <w:tcPr>
            <w:cnfStyle w:val="000010000000" w:firstRow="0" w:lastRow="0" w:firstColumn="0" w:lastColumn="0" w:oddVBand="1" w:evenVBand="0" w:oddHBand="0" w:evenHBand="0" w:firstRowFirstColumn="0" w:firstRowLastColumn="0" w:lastRowFirstColumn="0" w:lastRowLastColumn="0"/>
            <w:tcW w:w="3077" w:type="dxa"/>
          </w:tcPr>
          <w:p w14:paraId="3730BE8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Attendee feedback forms indicating that at least 70% found the sessions useful in improving workplace EDI strategies.</w:t>
            </w:r>
          </w:p>
        </w:tc>
      </w:tr>
      <w:tr w:rsidR="00A36743" w14:paraId="6D21166F" w14:textId="77777777" w:rsidTr="00A36743">
        <w:tc>
          <w:tcPr>
            <w:cnfStyle w:val="000010000000" w:firstRow="0" w:lastRow="0" w:firstColumn="0" w:lastColumn="0" w:oddVBand="1" w:evenVBand="0" w:oddHBand="0" w:evenHBand="0" w:firstRowFirstColumn="0" w:firstRowLastColumn="0" w:lastRowFirstColumn="0" w:lastRowLastColumn="0"/>
            <w:tcW w:w="1897" w:type="dxa"/>
          </w:tcPr>
          <w:p w14:paraId="5387B74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Time-bound</w:t>
            </w:r>
          </w:p>
        </w:tc>
        <w:tc>
          <w:tcPr>
            <w:tcW w:w="3881" w:type="dxa"/>
          </w:tcPr>
          <w:p w14:paraId="188FBF1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Achieve at least 60% post-event engagement by encouraging attendees to participate in follow-up initiatives such as webinars, forums, and collaborative projects within three months of the event.</w:t>
            </w:r>
          </w:p>
        </w:tc>
        <w:tc>
          <w:tcPr>
            <w:cnfStyle w:val="000010000000" w:firstRow="0" w:lastRow="0" w:firstColumn="0" w:lastColumn="0" w:oddVBand="1" w:evenVBand="0" w:oddHBand="0" w:evenHBand="0" w:firstRowFirstColumn="0" w:firstRowLastColumn="0" w:lastRowFirstColumn="0" w:lastRowLastColumn="0"/>
            <w:tcW w:w="3077" w:type="dxa"/>
          </w:tcPr>
          <w:p w14:paraId="5DA3B9F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Registration data for follow-up events, attendee engagement on LinkedIn groups, and downloads of post-event resources.</w:t>
            </w:r>
          </w:p>
        </w:tc>
      </w:tr>
    </w:tbl>
    <w:p w14:paraId="29668FE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i/>
          <w:iCs/>
          <w:sz w:val="20"/>
          <w:szCs w:val="20"/>
        </w:rPr>
      </w:pPr>
      <w:r>
        <w:rPr>
          <w:rFonts w:ascii="Times New Roman" w:hAnsi="Times New Roman" w:cs="Times New Roman"/>
          <w:i/>
          <w:iCs/>
          <w:sz w:val="20"/>
          <w:szCs w:val="20"/>
        </w:rPr>
        <w:t>Source: (created by the learner).</w:t>
      </w:r>
    </w:p>
    <w:p w14:paraId="5EAB0980" w14:textId="77777777" w:rsidR="00A36743" w:rsidRDefault="00000000">
      <w:pPr>
        <w:pStyle w:val="Heading1"/>
        <w:spacing w:line="360" w:lineRule="auto"/>
        <w:jc w:val="both"/>
        <w:rPr>
          <w:rFonts w:ascii="Times New Roman" w:hAnsi="Times New Roman" w:cs="Times New Roman"/>
          <w:sz w:val="20"/>
          <w:szCs w:val="20"/>
        </w:rPr>
      </w:pPr>
      <w:bookmarkStart w:id="4" w:name="_Toc14"/>
      <w:bookmarkStart w:id="5" w:name="_Toc5"/>
      <w:r>
        <w:rPr>
          <w:rFonts w:ascii="Times New Roman" w:hAnsi="Times New Roman" w:cs="Times New Roman"/>
          <w:sz w:val="20"/>
          <w:szCs w:val="20"/>
        </w:rPr>
        <w:t>Event Management and EMBOK Theory Model</w:t>
      </w:r>
      <w:bookmarkEnd w:id="4"/>
    </w:p>
    <w:p w14:paraId="62984E03" w14:textId="77777777" w:rsidR="00A36743" w:rsidRDefault="00000000">
      <w:pPr>
        <w:pStyle w:val="Heading2"/>
        <w:spacing w:line="360" w:lineRule="auto"/>
        <w:jc w:val="both"/>
        <w:rPr>
          <w:rFonts w:ascii="Times New Roman" w:hAnsi="Times New Roman" w:cs="Times New Roman"/>
          <w:color w:val="000000"/>
          <w:sz w:val="20"/>
          <w:szCs w:val="20"/>
        </w:rPr>
      </w:pPr>
      <w:bookmarkStart w:id="6" w:name="_Toc15"/>
      <w:r>
        <w:rPr>
          <w:rFonts w:ascii="Times New Roman" w:hAnsi="Times New Roman" w:cs="Times New Roman"/>
          <w:sz w:val="20"/>
          <w:szCs w:val="20"/>
        </w:rPr>
        <w:t>Event Management</w:t>
      </w:r>
      <w:bookmarkEnd w:id="5"/>
      <w:bookmarkEnd w:id="6"/>
    </w:p>
    <w:p w14:paraId="07F5B31E"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The successful execution of the EDI Summit 2025 requires a well-structured event management strategy that encompasses operational, planning, and marketing activities. Operationally, the event will need skilled professionals, including event coordinators, technical AV support, hospitality staff, and security personnel. </w:t>
      </w:r>
      <w:r>
        <w:rPr>
          <w:rFonts w:ascii="Times New Roman" w:hAnsi="Times New Roman" w:cs="Times New Roman"/>
          <w:sz w:val="20"/>
          <w:szCs w:val="20"/>
        </w:rPr>
        <w:lastRenderedPageBreak/>
        <w:t xml:space="preserve">Planning activities will include securing speakers, coordinating logistics, and contingency planning for emergencies (Getz, 2012). Marketing efforts will be executed through digital campaigns on TikTok or/and LinkedIn, partnerships with industry bodies, and targeted newsletters to ensure maximum reach and attendance (Denga, </w:t>
      </w:r>
      <w:proofErr w:type="spellStart"/>
      <w:r>
        <w:rPr>
          <w:rFonts w:ascii="Times New Roman" w:hAnsi="Times New Roman" w:cs="Times New Roman"/>
          <w:sz w:val="20"/>
          <w:szCs w:val="20"/>
        </w:rPr>
        <w:t>Vajjhala</w:t>
      </w:r>
      <w:proofErr w:type="spellEnd"/>
      <w:r>
        <w:rPr>
          <w:rFonts w:ascii="Times New Roman" w:hAnsi="Times New Roman" w:cs="Times New Roman"/>
          <w:sz w:val="20"/>
          <w:szCs w:val="20"/>
        </w:rPr>
        <w:t xml:space="preserve"> and Rakshit, 2022).</w:t>
      </w:r>
    </w:p>
    <w:p w14:paraId="77E53A32" w14:textId="77777777" w:rsidR="00A36743" w:rsidRDefault="00000000">
      <w:pPr>
        <w:pStyle w:val="Heading2"/>
        <w:spacing w:line="360" w:lineRule="auto"/>
        <w:jc w:val="both"/>
        <w:rPr>
          <w:rFonts w:ascii="Times New Roman" w:hAnsi="Times New Roman" w:cs="Times New Roman"/>
          <w:color w:val="000000"/>
          <w:sz w:val="20"/>
          <w:szCs w:val="20"/>
          <w:lang w:val="en-US"/>
        </w:rPr>
      </w:pPr>
      <w:bookmarkStart w:id="7" w:name="_Toc16"/>
      <w:r>
        <w:rPr>
          <w:rFonts w:ascii="Times New Roman" w:hAnsi="Times New Roman" w:cs="Times New Roman"/>
          <w:sz w:val="20"/>
          <w:szCs w:val="20"/>
          <w:lang w:val="en-US"/>
        </w:rPr>
        <w:t>EMBOK Model</w:t>
      </w:r>
      <w:bookmarkEnd w:id="7"/>
    </w:p>
    <w:p w14:paraId="2FF6882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lang w:val="en-US"/>
        </w:rPr>
      </w:pPr>
      <w:r>
        <w:rPr>
          <w:rFonts w:ascii="Times New Roman" w:hAnsi="Times New Roman" w:cs="Times New Roman"/>
          <w:sz w:val="20"/>
          <w:szCs w:val="20"/>
          <w:lang w:val="en-US"/>
        </w:rPr>
        <w:t xml:space="preserve">The successful execution of the EDI Summit 2025 requires a well-structured event management strategy, aligning with the Event Management Body of Knowledge (EMBOK) Model. </w:t>
      </w:r>
      <w:r>
        <w:rPr>
          <w:rFonts w:ascii="Times New Roman" w:hAnsi="Times New Roman" w:cs="Times New Roman"/>
          <w:sz w:val="20"/>
          <w:szCs w:val="20"/>
        </w:rPr>
        <w:t xml:space="preserve">Berridge (2014) suggests that </w:t>
      </w:r>
      <w:r>
        <w:rPr>
          <w:rFonts w:ascii="Times New Roman" w:hAnsi="Times New Roman" w:cs="Times New Roman"/>
          <w:sz w:val="20"/>
          <w:szCs w:val="20"/>
          <w:lang w:val="en-US"/>
        </w:rPr>
        <w:t>EMBOK theory provides a comprehensive, structured framework that categorizes event planning into five domains: Administration, Design, Marketing, Operations, and Risk (Figure 2). Each of these domains plays a fundamental role in ensuring the event's success.</w:t>
      </w:r>
    </w:p>
    <w:p w14:paraId="1FD1062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lang w:val="en-US"/>
        </w:rPr>
      </w:pPr>
      <w:r>
        <w:rPr>
          <w:rFonts w:ascii="Times New Roman" w:hAnsi="Times New Roman" w:cs="Times New Roman"/>
          <w:noProof/>
          <w:sz w:val="20"/>
          <w:szCs w:val="20"/>
          <w:lang w:val="en-US"/>
        </w:rPr>
        <w:drawing>
          <wp:inline distT="0" distB="0" distL="0" distR="0" wp14:anchorId="2E9695A6" wp14:editId="61F7CD21">
            <wp:extent cx="3927475" cy="1185545"/>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ChangeAspect="1"/>
                    </pic:cNvPicPr>
                  </pic:nvPicPr>
                  <pic:blipFill>
                    <a:blip r:embed="rId9"/>
                    <a:srcRect t="50778"/>
                    <a:stretch/>
                  </pic:blipFill>
                  <pic:spPr>
                    <a:xfrm>
                      <a:off x="0" y="0"/>
                      <a:ext cx="3927475" cy="1185545"/>
                    </a:xfrm>
                    <a:prstGeom prst="rect">
                      <a:avLst/>
                    </a:prstGeom>
                  </pic:spPr>
                </pic:pic>
              </a:graphicData>
            </a:graphic>
          </wp:inline>
        </w:drawing>
      </w:r>
    </w:p>
    <w:p w14:paraId="30E4AC94"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0"/>
          <w:szCs w:val="20"/>
          <w:lang w:val="en-US"/>
        </w:rPr>
      </w:pPr>
      <w:r>
        <w:rPr>
          <w:rFonts w:ascii="Times New Roman" w:hAnsi="Times New Roman" w:cs="Times New Roman"/>
          <w:b/>
          <w:bCs/>
          <w:sz w:val="20"/>
          <w:szCs w:val="20"/>
          <w:lang w:val="en-US"/>
        </w:rPr>
        <w:t xml:space="preserve">Figure 2. </w:t>
      </w:r>
      <w:r>
        <w:rPr>
          <w:rFonts w:ascii="Times New Roman" w:hAnsi="Times New Roman" w:cs="Times New Roman"/>
          <w:b/>
          <w:bCs/>
          <w:sz w:val="20"/>
          <w:szCs w:val="20"/>
        </w:rPr>
        <w:t>EMBOK Theory</w:t>
      </w:r>
    </w:p>
    <w:p w14:paraId="4FBD710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lang w:val="en-US"/>
        </w:rPr>
      </w:pPr>
      <w:r>
        <w:rPr>
          <w:rFonts w:ascii="Times New Roman" w:hAnsi="Times New Roman" w:cs="Times New Roman"/>
          <w:sz w:val="20"/>
          <w:szCs w:val="20"/>
          <w:lang w:val="en-US"/>
        </w:rPr>
        <w:t>Source: (created by the author).</w:t>
      </w:r>
    </w:p>
    <w:p w14:paraId="31A5C30E"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lang w:val="en-US"/>
        </w:rPr>
      </w:pPr>
    </w:p>
    <w:p w14:paraId="3F38BBB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lang w:val="en-US"/>
        </w:rPr>
      </w:pPr>
      <w:r>
        <w:rPr>
          <w:rFonts w:ascii="Times New Roman" w:hAnsi="Times New Roman" w:cs="Times New Roman"/>
          <w:b/>
          <w:bCs/>
          <w:sz w:val="20"/>
          <w:szCs w:val="20"/>
          <w:lang w:val="en-US"/>
        </w:rPr>
        <w:t>Administration</w:t>
      </w:r>
      <w:r>
        <w:rPr>
          <w:rFonts w:ascii="Times New Roman" w:hAnsi="Times New Roman" w:cs="Times New Roman"/>
          <w:sz w:val="20"/>
          <w:szCs w:val="20"/>
          <w:lang w:val="en-US"/>
        </w:rPr>
        <w:br/>
        <w:t xml:space="preserve">The administration domain includes finance, HR management, procurement, and stakeholder management. For the EDI Summit 2025, financial planning involves securing revenue through ticket sales, sponsorships, exhibitor fees, and grants, ensuring budget feasibility (Thomas, 2023). The event team consists of event coordinators, marketing specialists, hospitality staff, and security personnel, all coordinated to align with project goals </w:t>
      </w:r>
      <w:r>
        <w:rPr>
          <w:rFonts w:ascii="Times New Roman" w:hAnsi="Times New Roman" w:cs="Times New Roman"/>
          <w:sz w:val="20"/>
          <w:szCs w:val="20"/>
        </w:rPr>
        <w:t>(Bladen et al., 2022)</w:t>
      </w:r>
      <w:r>
        <w:rPr>
          <w:rFonts w:ascii="Times New Roman" w:hAnsi="Times New Roman" w:cs="Times New Roman"/>
          <w:sz w:val="20"/>
          <w:szCs w:val="20"/>
          <w:lang w:val="en-US"/>
        </w:rPr>
        <w:t>.</w:t>
      </w:r>
    </w:p>
    <w:p w14:paraId="7E85335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lang w:val="en-US"/>
        </w:rPr>
      </w:pPr>
      <w:r>
        <w:rPr>
          <w:rFonts w:ascii="Times New Roman" w:hAnsi="Times New Roman" w:cs="Times New Roman"/>
          <w:b/>
          <w:bCs/>
          <w:sz w:val="20"/>
          <w:szCs w:val="20"/>
          <w:lang w:val="en-US"/>
        </w:rPr>
        <w:t>Design</w:t>
      </w:r>
      <w:r>
        <w:rPr>
          <w:rFonts w:ascii="Times New Roman" w:hAnsi="Times New Roman" w:cs="Times New Roman"/>
          <w:sz w:val="20"/>
          <w:szCs w:val="20"/>
          <w:lang w:val="en-US"/>
        </w:rPr>
        <w:br/>
        <w:t xml:space="preserve">This domain covers the experience and engagement aspects of the event </w:t>
      </w:r>
      <w:r>
        <w:rPr>
          <w:rFonts w:ascii="Times New Roman" w:hAnsi="Times New Roman" w:cs="Times New Roman"/>
          <w:sz w:val="20"/>
          <w:szCs w:val="20"/>
        </w:rPr>
        <w:t>(Richards, Marques and Mein, 2014)</w:t>
      </w:r>
      <w:r>
        <w:rPr>
          <w:rFonts w:ascii="Times New Roman" w:hAnsi="Times New Roman" w:cs="Times New Roman"/>
          <w:sz w:val="20"/>
          <w:szCs w:val="20"/>
          <w:lang w:val="en-US"/>
        </w:rPr>
        <w:t>. The EDI Summit 2025 integrates interactive workshops, keynote speeches, and networking sessions to foster inclusivity and collaboration. The selection of London Marriott Hotel Grosvenor Square as the venue aligns with aesthetic, accessibility, and functional needs, providing a high-quality attendee experience.</w:t>
      </w:r>
    </w:p>
    <w:p w14:paraId="570F79B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lang w:val="en-US"/>
        </w:rPr>
      </w:pPr>
      <w:r>
        <w:rPr>
          <w:rFonts w:ascii="Times New Roman" w:hAnsi="Times New Roman" w:cs="Times New Roman"/>
          <w:b/>
          <w:bCs/>
          <w:sz w:val="20"/>
          <w:szCs w:val="20"/>
          <w:lang w:val="en-US"/>
        </w:rPr>
        <w:t>Marketing</w:t>
      </w:r>
      <w:r>
        <w:rPr>
          <w:rFonts w:ascii="Times New Roman" w:hAnsi="Times New Roman" w:cs="Times New Roman"/>
          <w:sz w:val="20"/>
          <w:szCs w:val="20"/>
          <w:lang w:val="en-US"/>
        </w:rPr>
        <w:br/>
        <w:t xml:space="preserve">Effective branding, sponsorship engagement, and audience outreach are key marketing functions </w:t>
      </w:r>
      <w:r>
        <w:rPr>
          <w:rFonts w:ascii="Times New Roman" w:hAnsi="Times New Roman" w:cs="Times New Roman"/>
          <w:sz w:val="20"/>
          <w:szCs w:val="20"/>
        </w:rPr>
        <w:t>(Cameron, 2012)</w:t>
      </w:r>
      <w:r>
        <w:rPr>
          <w:rFonts w:ascii="Times New Roman" w:hAnsi="Times New Roman" w:cs="Times New Roman"/>
          <w:sz w:val="20"/>
          <w:szCs w:val="20"/>
          <w:lang w:val="en-US"/>
        </w:rPr>
        <w:t>. The summit’s promotional strategy includes TikTok and LinkedIn digital campaigns, partnerships with hospitality associations, and direct invitations to industry leaders. Additionally, a targeted PR campaign will improve engagement by emphasizing the event’s alignment with global diversity initiatives.</w:t>
      </w:r>
    </w:p>
    <w:p w14:paraId="07BDCEC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lang w:val="en-US"/>
        </w:rPr>
      </w:pPr>
      <w:r>
        <w:rPr>
          <w:rFonts w:ascii="Times New Roman" w:hAnsi="Times New Roman" w:cs="Times New Roman"/>
          <w:b/>
          <w:bCs/>
          <w:sz w:val="20"/>
          <w:szCs w:val="20"/>
          <w:lang w:val="en-US"/>
        </w:rPr>
        <w:t>Operations</w:t>
      </w:r>
      <w:r>
        <w:rPr>
          <w:rFonts w:ascii="Times New Roman" w:hAnsi="Times New Roman" w:cs="Times New Roman"/>
          <w:sz w:val="20"/>
          <w:szCs w:val="20"/>
          <w:lang w:val="en-US"/>
        </w:rPr>
        <w:br/>
        <w:t xml:space="preserve">The operations domain focuses on event logistics, including venue setup, catering, AV support, </w:t>
      </w:r>
      <w:r>
        <w:rPr>
          <w:rFonts w:ascii="Times New Roman" w:hAnsi="Times New Roman" w:cs="Times New Roman"/>
          <w:sz w:val="20"/>
          <w:szCs w:val="20"/>
        </w:rPr>
        <w:t xml:space="preserve">DJs, entertainers </w:t>
      </w:r>
      <w:r>
        <w:rPr>
          <w:rFonts w:ascii="Times New Roman" w:hAnsi="Times New Roman" w:cs="Times New Roman"/>
          <w:sz w:val="20"/>
          <w:szCs w:val="20"/>
          <w:lang w:val="en-US"/>
        </w:rPr>
        <w:t xml:space="preserve">and security </w:t>
      </w:r>
      <w:r>
        <w:rPr>
          <w:rFonts w:ascii="Times New Roman" w:hAnsi="Times New Roman" w:cs="Times New Roman"/>
          <w:sz w:val="20"/>
          <w:szCs w:val="20"/>
        </w:rPr>
        <w:t>(Bowdin et al., 2024)</w:t>
      </w:r>
      <w:r>
        <w:rPr>
          <w:rFonts w:ascii="Times New Roman" w:hAnsi="Times New Roman" w:cs="Times New Roman"/>
          <w:sz w:val="20"/>
          <w:szCs w:val="20"/>
          <w:lang w:val="en-US"/>
        </w:rPr>
        <w:t xml:space="preserve">. The summit will incorporate hybrid event capabilities, allowing both in-person and virtual participation. This aligns with industry trends in sustainable event planning by reducing the carbon footprint associated with travel </w:t>
      </w:r>
      <w:r>
        <w:rPr>
          <w:rFonts w:ascii="Times New Roman" w:hAnsi="Times New Roman" w:cs="Times New Roman"/>
          <w:sz w:val="20"/>
          <w:szCs w:val="20"/>
        </w:rPr>
        <w:t>(Santos et al., 2024)</w:t>
      </w:r>
      <w:r>
        <w:rPr>
          <w:rFonts w:ascii="Times New Roman" w:hAnsi="Times New Roman" w:cs="Times New Roman"/>
          <w:sz w:val="20"/>
          <w:szCs w:val="20"/>
          <w:lang w:val="en-US"/>
        </w:rPr>
        <w:t>.</w:t>
      </w:r>
    </w:p>
    <w:p w14:paraId="17B28BF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b/>
          <w:bCs/>
          <w:sz w:val="20"/>
          <w:szCs w:val="20"/>
          <w:lang w:val="en-US"/>
        </w:rPr>
      </w:pPr>
      <w:r>
        <w:rPr>
          <w:rFonts w:ascii="Times New Roman" w:hAnsi="Times New Roman" w:cs="Times New Roman"/>
          <w:b/>
          <w:bCs/>
          <w:sz w:val="20"/>
          <w:szCs w:val="20"/>
          <w:lang w:val="en-US"/>
        </w:rPr>
        <w:lastRenderedPageBreak/>
        <w:t>Risk Management</w:t>
      </w:r>
    </w:p>
    <w:p w14:paraId="37AFB31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jc w:val="both"/>
        <w:rPr>
          <w:rFonts w:ascii="Times New Roman" w:hAnsi="Times New Roman" w:cs="Times New Roman"/>
          <w:sz w:val="20"/>
          <w:szCs w:val="20"/>
        </w:rPr>
      </w:pPr>
      <w:r>
        <w:rPr>
          <w:rFonts w:ascii="Times New Roman" w:hAnsi="Times New Roman" w:cs="Times New Roman"/>
          <w:sz w:val="20"/>
          <w:szCs w:val="20"/>
          <w:lang w:val="en-US"/>
        </w:rPr>
        <w:t>The risk domain ensures health, safety, legal compliance, and contingency planning (Getz, 2012). The EDI Summit 2025 will adhere to UK equality legislation, GDPR data protection laws, and venue-specific security measures. A contingency plan is in place to address potential speaker cancellations, technical failures, and emergency evacuations.</w:t>
      </w:r>
    </w:p>
    <w:p w14:paraId="6A76033E" w14:textId="77777777" w:rsidR="00A36743" w:rsidRDefault="00000000">
      <w:pPr>
        <w:pStyle w:val="Heading1"/>
        <w:spacing w:line="360" w:lineRule="auto"/>
        <w:jc w:val="both"/>
        <w:rPr>
          <w:rFonts w:ascii="Times New Roman" w:hAnsi="Times New Roman" w:cs="Times New Roman"/>
          <w:sz w:val="20"/>
          <w:szCs w:val="20"/>
        </w:rPr>
      </w:pPr>
      <w:bookmarkStart w:id="8" w:name="_Toc6"/>
      <w:r>
        <w:rPr>
          <w:rFonts w:ascii="Times New Roman" w:hAnsi="Times New Roman" w:cs="Times New Roman"/>
          <w:sz w:val="20"/>
          <w:szCs w:val="20"/>
        </w:rPr>
        <w:t>Event Budget</w:t>
      </w:r>
      <w:bookmarkEnd w:id="8"/>
    </w:p>
    <w:p w14:paraId="4C6760D3"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The financial structure of the event includes income from ticket sales, sponsorships, and vendor exhibition fees. Below is an estimated breakdown The estimated net profit from the event is projected at GBP 35,000, indicating financial feasibility.</w:t>
      </w:r>
    </w:p>
    <w:p w14:paraId="34FA6FCC"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7A85644B" wp14:editId="6A65945E">
            <wp:extent cx="5731510" cy="3225800"/>
            <wp:effectExtent l="0" t="0" r="0" b="0"/>
            <wp:docPr id="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pic:cNvPicPr>
                      <a:picLocks noChangeAspect="1"/>
                    </pic:cNvPicPr>
                  </pic:nvPicPr>
                  <pic:blipFill>
                    <a:blip r:embed="rId10"/>
                    <a:srcRect/>
                    <a:stretch>
                      <a:fillRect/>
                    </a:stretch>
                  </pic:blipFill>
                  <pic:spPr>
                    <a:xfrm>
                      <a:off x="0" y="0"/>
                      <a:ext cx="5731510" cy="3225800"/>
                    </a:xfrm>
                    <a:prstGeom prst="rect">
                      <a:avLst/>
                    </a:prstGeom>
                  </pic:spPr>
                </pic:pic>
              </a:graphicData>
            </a:graphic>
          </wp:inline>
        </w:drawing>
      </w:r>
    </w:p>
    <w:p w14:paraId="069FA33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i/>
          <w:iCs/>
          <w:sz w:val="20"/>
          <w:szCs w:val="20"/>
        </w:rPr>
      </w:pPr>
      <w:r>
        <w:rPr>
          <w:rFonts w:ascii="Times New Roman" w:hAnsi="Times New Roman" w:cs="Times New Roman"/>
          <w:i/>
          <w:iCs/>
          <w:sz w:val="20"/>
          <w:szCs w:val="20"/>
        </w:rPr>
        <w:t>Source: (created by the learner in A1).</w:t>
      </w:r>
    </w:p>
    <w:p w14:paraId="3545B1CD" w14:textId="77777777" w:rsidR="00A36743" w:rsidRDefault="00000000">
      <w:pPr>
        <w:pStyle w:val="Heading1"/>
        <w:spacing w:line="360" w:lineRule="auto"/>
        <w:jc w:val="both"/>
        <w:rPr>
          <w:rFonts w:ascii="Times New Roman" w:hAnsi="Times New Roman" w:cs="Times New Roman"/>
          <w:color w:val="000000"/>
          <w:sz w:val="20"/>
          <w:szCs w:val="20"/>
        </w:rPr>
      </w:pPr>
      <w:bookmarkStart w:id="9" w:name="_Toc13"/>
      <w:r>
        <w:rPr>
          <w:rFonts w:ascii="Times New Roman" w:hAnsi="Times New Roman" w:cs="Times New Roman"/>
          <w:sz w:val="20"/>
          <w:szCs w:val="20"/>
        </w:rPr>
        <w:t>Event Feasibility Analysis</w:t>
      </w:r>
      <w:bookmarkEnd w:id="9"/>
      <w:r>
        <w:rPr>
          <w:rFonts w:ascii="Times New Roman" w:hAnsi="Times New Roman" w:cs="Times New Roman"/>
          <w:sz w:val="20"/>
          <w:szCs w:val="20"/>
        </w:rPr>
        <w:t xml:space="preserve"> </w:t>
      </w:r>
    </w:p>
    <w:p w14:paraId="4DC2D51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The Equality, Diversity, and Inclusion Summit 2025 (EDI Summit 2025) is designed to be a strategically significant event within the hospitality industry, focusing on workplace inclusivity and best practices. Based on the attached A1 project presentation, the feasibility of this event can be evaluated through key factors including market demand, operational framework, financial sustainability, risk mitigation, and strategic planning.</w:t>
      </w:r>
    </w:p>
    <w:p w14:paraId="4676E353" w14:textId="77777777" w:rsidR="00A36743" w:rsidRDefault="00A36743">
      <w:pPr>
        <w:spacing w:line="360" w:lineRule="auto"/>
        <w:jc w:val="both"/>
        <w:rPr>
          <w:rFonts w:ascii="Times New Roman" w:hAnsi="Times New Roman" w:cs="Times New Roman"/>
          <w:sz w:val="20"/>
          <w:szCs w:val="20"/>
        </w:rPr>
      </w:pPr>
    </w:p>
    <w:p w14:paraId="59FBB18E"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Income and Revenue Sources</w:t>
      </w:r>
    </w:p>
    <w:p w14:paraId="27D77C9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The following revenue sources will contribute to funding the event:</w:t>
      </w:r>
    </w:p>
    <w:tbl>
      <w:tblPr>
        <w:tblStyle w:val="LightGrid-Accent11"/>
        <w:tblW w:w="9023" w:type="dxa"/>
        <w:tblLayout w:type="fixed"/>
        <w:tblCellMar>
          <w:top w:w="10" w:type="dxa"/>
          <w:left w:w="10" w:type="dxa"/>
          <w:bottom w:w="10" w:type="dxa"/>
          <w:right w:w="10" w:type="dxa"/>
        </w:tblCellMar>
        <w:tblLook w:val="0A30" w:firstRow="1" w:lastRow="0" w:firstColumn="0" w:lastColumn="0" w:noHBand="1" w:noVBand="0"/>
      </w:tblPr>
      <w:tblGrid>
        <w:gridCol w:w="2318"/>
        <w:gridCol w:w="1974"/>
        <w:gridCol w:w="4731"/>
      </w:tblGrid>
      <w:tr w:rsidR="00A36743" w14:paraId="7582516C" w14:textId="77777777" w:rsidTr="00A36743">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18" w:type="dxa"/>
          </w:tcPr>
          <w:p w14:paraId="10D364D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Income Source</w:t>
            </w:r>
          </w:p>
        </w:tc>
        <w:tc>
          <w:tcPr>
            <w:tcW w:w="1974" w:type="dxa"/>
          </w:tcPr>
          <w:p w14:paraId="18CFE6C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Estimated Amount (£)</w:t>
            </w:r>
          </w:p>
        </w:tc>
        <w:tc>
          <w:tcPr>
            <w:cnfStyle w:val="000010000000" w:firstRow="0" w:lastRow="0" w:firstColumn="0" w:lastColumn="0" w:oddVBand="1" w:evenVBand="0" w:oddHBand="0" w:evenHBand="0" w:firstRowFirstColumn="0" w:firstRowLastColumn="0" w:lastRowFirstColumn="0" w:lastRowLastColumn="0"/>
            <w:tcW w:w="4731" w:type="dxa"/>
          </w:tcPr>
          <w:p w14:paraId="7AD5C20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Notes</w:t>
            </w:r>
          </w:p>
        </w:tc>
      </w:tr>
      <w:tr w:rsidR="00A36743" w14:paraId="437440A8" w14:textId="77777777" w:rsidTr="00A36743">
        <w:tc>
          <w:tcPr>
            <w:cnfStyle w:val="000010000000" w:firstRow="0" w:lastRow="0" w:firstColumn="0" w:lastColumn="0" w:oddVBand="1" w:evenVBand="0" w:oddHBand="0" w:evenHBand="0" w:firstRowFirstColumn="0" w:firstRowLastColumn="0" w:lastRowFirstColumn="0" w:lastRowLastColumn="0"/>
            <w:tcW w:w="2318" w:type="dxa"/>
          </w:tcPr>
          <w:p w14:paraId="237AA13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Ticket Sales</w:t>
            </w:r>
          </w:p>
        </w:tc>
        <w:tc>
          <w:tcPr>
            <w:tcW w:w="1974" w:type="dxa"/>
          </w:tcPr>
          <w:p w14:paraId="32883E2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£15,000 - £20,000</w:t>
            </w:r>
          </w:p>
        </w:tc>
        <w:tc>
          <w:tcPr>
            <w:cnfStyle w:val="000010000000" w:firstRow="0" w:lastRow="0" w:firstColumn="0" w:lastColumn="0" w:oddVBand="1" w:evenVBand="0" w:oddHBand="0" w:evenHBand="0" w:firstRowFirstColumn="0" w:firstRowLastColumn="0" w:lastRowFirstColumn="0" w:lastRowLastColumn="0"/>
            <w:tcW w:w="4731" w:type="dxa"/>
          </w:tcPr>
          <w:p w14:paraId="2FC569B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Based on an average ticket price of £100-£150 and 150 attendees</w:t>
            </w:r>
          </w:p>
        </w:tc>
      </w:tr>
      <w:tr w:rsidR="00A36743" w14:paraId="00458DD5" w14:textId="77777777" w:rsidTr="00A36743">
        <w:tc>
          <w:tcPr>
            <w:cnfStyle w:val="000010000000" w:firstRow="0" w:lastRow="0" w:firstColumn="0" w:lastColumn="0" w:oddVBand="1" w:evenVBand="0" w:oddHBand="0" w:evenHBand="0" w:firstRowFirstColumn="0" w:firstRowLastColumn="0" w:lastRowFirstColumn="0" w:lastRowLastColumn="0"/>
            <w:tcW w:w="2318" w:type="dxa"/>
          </w:tcPr>
          <w:p w14:paraId="5DE13DF4"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lastRenderedPageBreak/>
              <w:t>Sponsorships</w:t>
            </w:r>
          </w:p>
        </w:tc>
        <w:tc>
          <w:tcPr>
            <w:tcW w:w="1974" w:type="dxa"/>
          </w:tcPr>
          <w:p w14:paraId="25129A1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£20,000 - £30,000</w:t>
            </w:r>
          </w:p>
        </w:tc>
        <w:tc>
          <w:tcPr>
            <w:cnfStyle w:val="000010000000" w:firstRow="0" w:lastRow="0" w:firstColumn="0" w:lastColumn="0" w:oddVBand="1" w:evenVBand="0" w:oddHBand="0" w:evenHBand="0" w:firstRowFirstColumn="0" w:firstRowLastColumn="0" w:lastRowFirstColumn="0" w:lastRowLastColumn="0"/>
            <w:tcW w:w="4731" w:type="dxa"/>
          </w:tcPr>
          <w:p w14:paraId="55AD9BF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Partner organisations and industry leaders funding in exchange for branding</w:t>
            </w:r>
          </w:p>
        </w:tc>
      </w:tr>
      <w:tr w:rsidR="00A36743" w14:paraId="56A7F802" w14:textId="77777777" w:rsidTr="00A36743">
        <w:tc>
          <w:tcPr>
            <w:cnfStyle w:val="000010000000" w:firstRow="0" w:lastRow="0" w:firstColumn="0" w:lastColumn="0" w:oddVBand="1" w:evenVBand="0" w:oddHBand="0" w:evenHBand="0" w:firstRowFirstColumn="0" w:firstRowLastColumn="0" w:lastRowFirstColumn="0" w:lastRowLastColumn="0"/>
            <w:tcW w:w="2318" w:type="dxa"/>
          </w:tcPr>
          <w:p w14:paraId="075EC6D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Exhibition Booths</w:t>
            </w:r>
          </w:p>
        </w:tc>
        <w:tc>
          <w:tcPr>
            <w:tcW w:w="1974" w:type="dxa"/>
          </w:tcPr>
          <w:p w14:paraId="59FF3B9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£10,000 - £15,000</w:t>
            </w:r>
          </w:p>
        </w:tc>
        <w:tc>
          <w:tcPr>
            <w:cnfStyle w:val="000010000000" w:firstRow="0" w:lastRow="0" w:firstColumn="0" w:lastColumn="0" w:oddVBand="1" w:evenVBand="0" w:oddHBand="0" w:evenHBand="0" w:firstRowFirstColumn="0" w:firstRowLastColumn="0" w:lastRowFirstColumn="0" w:lastRowLastColumn="0"/>
            <w:tcW w:w="4731" w:type="dxa"/>
          </w:tcPr>
          <w:p w14:paraId="2F9DE00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Vendor booths (10-15 exhibitors, £1,000 each)</w:t>
            </w:r>
          </w:p>
        </w:tc>
      </w:tr>
      <w:tr w:rsidR="00A36743" w14:paraId="2C1736E3" w14:textId="77777777" w:rsidTr="00A36743">
        <w:tc>
          <w:tcPr>
            <w:cnfStyle w:val="000010000000" w:firstRow="0" w:lastRow="0" w:firstColumn="0" w:lastColumn="0" w:oddVBand="1" w:evenVBand="0" w:oddHBand="0" w:evenHBand="0" w:firstRowFirstColumn="0" w:firstRowLastColumn="0" w:lastRowFirstColumn="0" w:lastRowLastColumn="0"/>
            <w:tcW w:w="2318" w:type="dxa"/>
          </w:tcPr>
          <w:p w14:paraId="04E2368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Grants and Donations</w:t>
            </w:r>
          </w:p>
        </w:tc>
        <w:tc>
          <w:tcPr>
            <w:tcW w:w="1974" w:type="dxa"/>
          </w:tcPr>
          <w:p w14:paraId="7553802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£5,000</w:t>
            </w:r>
          </w:p>
        </w:tc>
        <w:tc>
          <w:tcPr>
            <w:cnfStyle w:val="000010000000" w:firstRow="0" w:lastRow="0" w:firstColumn="0" w:lastColumn="0" w:oddVBand="1" w:evenVBand="0" w:oddHBand="0" w:evenHBand="0" w:firstRowFirstColumn="0" w:firstRowLastColumn="0" w:lastRowFirstColumn="0" w:lastRowLastColumn="0"/>
            <w:tcW w:w="4731" w:type="dxa"/>
          </w:tcPr>
          <w:p w14:paraId="1F69776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EDI-related funding bodies and non-profits</w:t>
            </w:r>
          </w:p>
        </w:tc>
      </w:tr>
      <w:tr w:rsidR="00A36743" w14:paraId="41027644" w14:textId="77777777" w:rsidTr="00A36743">
        <w:tc>
          <w:tcPr>
            <w:cnfStyle w:val="000010000000" w:firstRow="0" w:lastRow="0" w:firstColumn="0" w:lastColumn="0" w:oddVBand="1" w:evenVBand="0" w:oddHBand="0" w:evenHBand="0" w:firstRowFirstColumn="0" w:firstRowLastColumn="0" w:lastRowFirstColumn="0" w:lastRowLastColumn="0"/>
            <w:tcW w:w="2318" w:type="dxa"/>
          </w:tcPr>
          <w:p w14:paraId="11A1755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Advertisement Revenue</w:t>
            </w:r>
          </w:p>
        </w:tc>
        <w:tc>
          <w:tcPr>
            <w:tcW w:w="1974" w:type="dxa"/>
          </w:tcPr>
          <w:p w14:paraId="7A1F3A0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£3,000 - £5,000</w:t>
            </w:r>
          </w:p>
        </w:tc>
        <w:tc>
          <w:tcPr>
            <w:cnfStyle w:val="000010000000" w:firstRow="0" w:lastRow="0" w:firstColumn="0" w:lastColumn="0" w:oddVBand="1" w:evenVBand="0" w:oddHBand="0" w:evenHBand="0" w:firstRowFirstColumn="0" w:firstRowLastColumn="0" w:lastRowFirstColumn="0" w:lastRowLastColumn="0"/>
            <w:tcW w:w="4731" w:type="dxa"/>
          </w:tcPr>
          <w:p w14:paraId="1B02444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Paid promotions in digital event materials and social media</w:t>
            </w:r>
          </w:p>
        </w:tc>
      </w:tr>
      <w:tr w:rsidR="00A36743" w14:paraId="01D99FF6" w14:textId="77777777" w:rsidTr="00A36743">
        <w:trPr>
          <w:trHeight w:val="398"/>
        </w:trPr>
        <w:tc>
          <w:tcPr>
            <w:cnfStyle w:val="000010000000" w:firstRow="0" w:lastRow="0" w:firstColumn="0" w:lastColumn="0" w:oddVBand="1" w:evenVBand="0" w:oddHBand="0" w:evenHBand="0" w:firstRowFirstColumn="0" w:firstRowLastColumn="0" w:lastRowFirstColumn="0" w:lastRowLastColumn="0"/>
            <w:tcW w:w="2318" w:type="dxa"/>
          </w:tcPr>
          <w:p w14:paraId="167FEF1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Miscellaneous Income</w:t>
            </w:r>
          </w:p>
        </w:tc>
        <w:tc>
          <w:tcPr>
            <w:tcW w:w="1974" w:type="dxa"/>
          </w:tcPr>
          <w:p w14:paraId="450302E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£2,000</w:t>
            </w:r>
          </w:p>
        </w:tc>
        <w:tc>
          <w:tcPr>
            <w:cnfStyle w:val="000010000000" w:firstRow="0" w:lastRow="0" w:firstColumn="0" w:lastColumn="0" w:oddVBand="1" w:evenVBand="0" w:oddHBand="0" w:evenHBand="0" w:firstRowFirstColumn="0" w:firstRowLastColumn="0" w:lastRowFirstColumn="0" w:lastRowLastColumn="0"/>
            <w:tcW w:w="4731" w:type="dxa"/>
          </w:tcPr>
          <w:p w14:paraId="1F93BD8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Sale of event merchandise (branded materials)</w:t>
            </w:r>
          </w:p>
        </w:tc>
      </w:tr>
      <w:tr w:rsidR="00A36743" w14:paraId="33861243" w14:textId="77777777" w:rsidTr="00A36743">
        <w:tblPrEx>
          <w:jc w:val="center"/>
        </w:tblPrEx>
        <w:trPr>
          <w:gridAfter w:val="1"/>
          <w:wAfter w:w="4731" w:type="dxa"/>
          <w:jc w:val="center"/>
        </w:trPr>
        <w:tc>
          <w:tcPr>
            <w:cnfStyle w:val="000010000000" w:firstRow="0" w:lastRow="0" w:firstColumn="0" w:lastColumn="0" w:oddVBand="1" w:evenVBand="0" w:oddHBand="0" w:evenHBand="0" w:firstRowFirstColumn="0" w:firstRowLastColumn="0" w:lastRowFirstColumn="0" w:lastRowLastColumn="0"/>
            <w:tcW w:w="2318" w:type="dxa"/>
          </w:tcPr>
          <w:p w14:paraId="14DA464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Total Projected Income</w:t>
            </w:r>
          </w:p>
        </w:tc>
        <w:tc>
          <w:tcPr>
            <w:tcW w:w="1974" w:type="dxa"/>
          </w:tcPr>
          <w:p w14:paraId="14C70E8E"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b/>
                <w:szCs w:val="18"/>
              </w:rPr>
              <w:t>£55,000 - £75,000</w:t>
            </w:r>
          </w:p>
        </w:tc>
      </w:tr>
    </w:tbl>
    <w:p w14:paraId="3977626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i/>
          <w:iCs/>
          <w:sz w:val="20"/>
          <w:szCs w:val="20"/>
        </w:rPr>
      </w:pPr>
      <w:r>
        <w:rPr>
          <w:rFonts w:ascii="Times New Roman" w:hAnsi="Times New Roman" w:cs="Times New Roman"/>
          <w:i/>
          <w:iCs/>
          <w:sz w:val="20"/>
          <w:szCs w:val="20"/>
        </w:rPr>
        <w:t>Source: (created by the learner).</w:t>
      </w:r>
    </w:p>
    <w:p w14:paraId="340760B0"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A15142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Expenditure Breakdown</w:t>
      </w:r>
    </w:p>
    <w:p w14:paraId="35B322A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The event's budgeted expenses cover venue, marketing, staffing, logistics, and miscellaneous costs.</w:t>
      </w:r>
    </w:p>
    <w:tbl>
      <w:tblPr>
        <w:tblStyle w:val="LightGrid-Accent11"/>
        <w:tblW w:w="9022" w:type="dxa"/>
        <w:tblLayout w:type="fixed"/>
        <w:tblCellMar>
          <w:top w:w="10" w:type="dxa"/>
          <w:left w:w="10" w:type="dxa"/>
          <w:bottom w:w="10" w:type="dxa"/>
          <w:right w:w="10" w:type="dxa"/>
        </w:tblCellMar>
        <w:tblLook w:val="0A30" w:firstRow="1" w:lastRow="0" w:firstColumn="0" w:lastColumn="0" w:noHBand="1" w:noVBand="0"/>
      </w:tblPr>
      <w:tblGrid>
        <w:gridCol w:w="2567"/>
        <w:gridCol w:w="1985"/>
        <w:gridCol w:w="4470"/>
      </w:tblGrid>
      <w:tr w:rsidR="00A36743" w14:paraId="581F5C40" w14:textId="77777777" w:rsidTr="00A36743">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567" w:type="dxa"/>
          </w:tcPr>
          <w:p w14:paraId="3445AF5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Expense Category</w:t>
            </w:r>
          </w:p>
        </w:tc>
        <w:tc>
          <w:tcPr>
            <w:tcW w:w="1985" w:type="dxa"/>
          </w:tcPr>
          <w:p w14:paraId="7063B54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Estimated Cost (£)</w:t>
            </w:r>
          </w:p>
        </w:tc>
        <w:tc>
          <w:tcPr>
            <w:cnfStyle w:val="000010000000" w:firstRow="0" w:lastRow="0" w:firstColumn="0" w:lastColumn="0" w:oddVBand="1" w:evenVBand="0" w:oddHBand="0" w:evenHBand="0" w:firstRowFirstColumn="0" w:firstRowLastColumn="0" w:lastRowFirstColumn="0" w:lastRowLastColumn="0"/>
            <w:tcW w:w="4470" w:type="dxa"/>
          </w:tcPr>
          <w:p w14:paraId="3C2E527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Details</w:t>
            </w:r>
          </w:p>
        </w:tc>
      </w:tr>
      <w:tr w:rsidR="00A36743" w14:paraId="30222B30"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4622F11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Venue &amp; Logistics</w:t>
            </w:r>
          </w:p>
        </w:tc>
        <w:tc>
          <w:tcPr>
            <w:tcW w:w="1985" w:type="dxa"/>
          </w:tcPr>
          <w:p w14:paraId="45880A7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£12,000 - £15,000</w:t>
            </w:r>
          </w:p>
        </w:tc>
        <w:tc>
          <w:tcPr>
            <w:cnfStyle w:val="000010000000" w:firstRow="0" w:lastRow="0" w:firstColumn="0" w:lastColumn="0" w:oddVBand="1" w:evenVBand="0" w:oddHBand="0" w:evenHBand="0" w:firstRowFirstColumn="0" w:firstRowLastColumn="0" w:lastRowFirstColumn="0" w:lastRowLastColumn="0"/>
            <w:tcW w:w="4470" w:type="dxa"/>
          </w:tcPr>
          <w:p w14:paraId="0F078FBE"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London Marriott Hotel Grosvenor Square (conference room hire, seating, AV setup)</w:t>
            </w:r>
          </w:p>
        </w:tc>
      </w:tr>
      <w:tr w:rsidR="00A36743" w14:paraId="60DFC3C2"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29DFAF0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Catering</w:t>
            </w:r>
          </w:p>
        </w:tc>
        <w:tc>
          <w:tcPr>
            <w:tcW w:w="1985" w:type="dxa"/>
          </w:tcPr>
          <w:p w14:paraId="05494F5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£8,000 - £10,000</w:t>
            </w:r>
          </w:p>
        </w:tc>
        <w:tc>
          <w:tcPr>
            <w:cnfStyle w:val="000010000000" w:firstRow="0" w:lastRow="0" w:firstColumn="0" w:lastColumn="0" w:oddVBand="1" w:evenVBand="0" w:oddHBand="0" w:evenHBand="0" w:firstRowFirstColumn="0" w:firstRowLastColumn="0" w:lastRowFirstColumn="0" w:lastRowLastColumn="0"/>
            <w:tcW w:w="4470" w:type="dxa"/>
          </w:tcPr>
          <w:p w14:paraId="6874B8B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Eco-friendly catering for attendees, including vegan and gluten-free options</w:t>
            </w:r>
          </w:p>
        </w:tc>
      </w:tr>
      <w:tr w:rsidR="00A36743" w14:paraId="4A309C63"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0365E3E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Marketing &amp; Promotion</w:t>
            </w:r>
          </w:p>
        </w:tc>
        <w:tc>
          <w:tcPr>
            <w:tcW w:w="1985" w:type="dxa"/>
          </w:tcPr>
          <w:p w14:paraId="76E533D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£6,000 - £8,000</w:t>
            </w:r>
          </w:p>
        </w:tc>
        <w:tc>
          <w:tcPr>
            <w:cnfStyle w:val="000010000000" w:firstRow="0" w:lastRow="0" w:firstColumn="0" w:lastColumn="0" w:oddVBand="1" w:evenVBand="0" w:oddHBand="0" w:evenHBand="0" w:firstRowFirstColumn="0" w:firstRowLastColumn="0" w:lastRowFirstColumn="0" w:lastRowLastColumn="0"/>
            <w:tcW w:w="4470" w:type="dxa"/>
          </w:tcPr>
          <w:p w14:paraId="5202A2E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Digital advertising, social media campaigns, printed brochures</w:t>
            </w:r>
          </w:p>
        </w:tc>
      </w:tr>
      <w:tr w:rsidR="00A36743" w14:paraId="35B2079A"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45EC505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 xml:space="preserve">Speakers &amp; </w:t>
            </w:r>
            <w:proofErr w:type="spellStart"/>
            <w:r>
              <w:rPr>
                <w:rFonts w:ascii="Times New Roman" w:hAnsi="Times New Roman" w:cs="Times New Roman"/>
                <w:b/>
                <w:szCs w:val="18"/>
              </w:rPr>
              <w:t>Panelists</w:t>
            </w:r>
            <w:proofErr w:type="spellEnd"/>
          </w:p>
        </w:tc>
        <w:tc>
          <w:tcPr>
            <w:tcW w:w="1985" w:type="dxa"/>
          </w:tcPr>
          <w:p w14:paraId="15D2F34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£10,000 - £15,000</w:t>
            </w:r>
          </w:p>
        </w:tc>
        <w:tc>
          <w:tcPr>
            <w:cnfStyle w:val="000010000000" w:firstRow="0" w:lastRow="0" w:firstColumn="0" w:lastColumn="0" w:oddVBand="1" w:evenVBand="0" w:oddHBand="0" w:evenHBand="0" w:firstRowFirstColumn="0" w:firstRowLastColumn="0" w:lastRowFirstColumn="0" w:lastRowLastColumn="0"/>
            <w:tcW w:w="4470" w:type="dxa"/>
          </w:tcPr>
          <w:p w14:paraId="58CC6E5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Speaker fees, accommodation, and travel reimbursement</w:t>
            </w:r>
          </w:p>
        </w:tc>
      </w:tr>
      <w:tr w:rsidR="00A36743" w14:paraId="0F49EE13"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09DA6C6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Staffing &amp; Security</w:t>
            </w:r>
          </w:p>
        </w:tc>
        <w:tc>
          <w:tcPr>
            <w:tcW w:w="1985" w:type="dxa"/>
          </w:tcPr>
          <w:p w14:paraId="1B7E3E0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£7,000 - £9,000</w:t>
            </w:r>
          </w:p>
        </w:tc>
        <w:tc>
          <w:tcPr>
            <w:cnfStyle w:val="000010000000" w:firstRow="0" w:lastRow="0" w:firstColumn="0" w:lastColumn="0" w:oddVBand="1" w:evenVBand="0" w:oddHBand="0" w:evenHBand="0" w:firstRowFirstColumn="0" w:firstRowLastColumn="0" w:lastRowFirstColumn="0" w:lastRowLastColumn="0"/>
            <w:tcW w:w="4470" w:type="dxa"/>
          </w:tcPr>
          <w:p w14:paraId="551E87B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Event coordinators, technical staff, security personnel</w:t>
            </w:r>
          </w:p>
        </w:tc>
      </w:tr>
      <w:tr w:rsidR="00A36743" w14:paraId="4887A895"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223EF9E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Technology &amp; AV Equipment</w:t>
            </w:r>
          </w:p>
        </w:tc>
        <w:tc>
          <w:tcPr>
            <w:tcW w:w="1985" w:type="dxa"/>
          </w:tcPr>
          <w:p w14:paraId="6506438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£5,000 - £7,000</w:t>
            </w:r>
          </w:p>
        </w:tc>
        <w:tc>
          <w:tcPr>
            <w:cnfStyle w:val="000010000000" w:firstRow="0" w:lastRow="0" w:firstColumn="0" w:lastColumn="0" w:oddVBand="1" w:evenVBand="0" w:oddHBand="0" w:evenHBand="0" w:firstRowFirstColumn="0" w:firstRowLastColumn="0" w:lastRowFirstColumn="0" w:lastRowLastColumn="0"/>
            <w:tcW w:w="4470" w:type="dxa"/>
          </w:tcPr>
          <w:p w14:paraId="3C594A64"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Projectors, microphones, live streaming, translation services</w:t>
            </w:r>
          </w:p>
        </w:tc>
      </w:tr>
      <w:tr w:rsidR="00A36743" w14:paraId="326BFA0E"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175B363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Event Materials</w:t>
            </w:r>
          </w:p>
        </w:tc>
        <w:tc>
          <w:tcPr>
            <w:tcW w:w="1985" w:type="dxa"/>
          </w:tcPr>
          <w:p w14:paraId="213ADC6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£3,000 - £5,000</w:t>
            </w:r>
          </w:p>
        </w:tc>
        <w:tc>
          <w:tcPr>
            <w:cnfStyle w:val="000010000000" w:firstRow="0" w:lastRow="0" w:firstColumn="0" w:lastColumn="0" w:oddVBand="1" w:evenVBand="0" w:oddHBand="0" w:evenHBand="0" w:firstRowFirstColumn="0" w:firstRowLastColumn="0" w:lastRowFirstColumn="0" w:lastRowLastColumn="0"/>
            <w:tcW w:w="4470" w:type="dxa"/>
          </w:tcPr>
          <w:p w14:paraId="6A25424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Digital brochures, interactive event app, branding</w:t>
            </w:r>
          </w:p>
        </w:tc>
      </w:tr>
      <w:tr w:rsidR="00A36743" w14:paraId="7F450976"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7364AC4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Contingency Fund</w:t>
            </w:r>
          </w:p>
        </w:tc>
        <w:tc>
          <w:tcPr>
            <w:tcW w:w="1985" w:type="dxa"/>
          </w:tcPr>
          <w:p w14:paraId="7831D45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£5,000</w:t>
            </w:r>
          </w:p>
        </w:tc>
        <w:tc>
          <w:tcPr>
            <w:cnfStyle w:val="000010000000" w:firstRow="0" w:lastRow="0" w:firstColumn="0" w:lastColumn="0" w:oddVBand="1" w:evenVBand="0" w:oddHBand="0" w:evenHBand="0" w:firstRowFirstColumn="0" w:firstRowLastColumn="0" w:lastRowFirstColumn="0" w:lastRowLastColumn="0"/>
            <w:tcW w:w="4470" w:type="dxa"/>
          </w:tcPr>
          <w:p w14:paraId="2AAB0E0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For unexpected costs such as cancellations, emergencies</w:t>
            </w:r>
          </w:p>
        </w:tc>
      </w:tr>
      <w:tr w:rsidR="00A36743" w14:paraId="2D5B566C" w14:textId="77777777" w:rsidTr="00A36743">
        <w:tc>
          <w:tcPr>
            <w:cnfStyle w:val="000010000000" w:firstRow="0" w:lastRow="0" w:firstColumn="0" w:lastColumn="0" w:oddVBand="1" w:evenVBand="0" w:oddHBand="0" w:evenHBand="0" w:firstRowFirstColumn="0" w:firstRowLastColumn="0" w:lastRowFirstColumn="0" w:lastRowLastColumn="0"/>
            <w:tcW w:w="2567" w:type="dxa"/>
          </w:tcPr>
          <w:p w14:paraId="1688F08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Miscellaneous Costs</w:t>
            </w:r>
          </w:p>
        </w:tc>
        <w:tc>
          <w:tcPr>
            <w:tcW w:w="1985" w:type="dxa"/>
          </w:tcPr>
          <w:p w14:paraId="1E810E4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szCs w:val="18"/>
              </w:rPr>
              <w:t>£2,000</w:t>
            </w:r>
          </w:p>
        </w:tc>
        <w:tc>
          <w:tcPr>
            <w:cnfStyle w:val="000010000000" w:firstRow="0" w:lastRow="0" w:firstColumn="0" w:lastColumn="0" w:oddVBand="1" w:evenVBand="0" w:oddHBand="0" w:evenHBand="0" w:firstRowFirstColumn="0" w:firstRowLastColumn="0" w:lastRowFirstColumn="0" w:lastRowLastColumn="0"/>
            <w:tcW w:w="4470" w:type="dxa"/>
          </w:tcPr>
          <w:p w14:paraId="580E082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szCs w:val="18"/>
              </w:rPr>
              <w:t>Printing, additional seating, travel support for speakers</w:t>
            </w:r>
          </w:p>
        </w:tc>
      </w:tr>
      <w:tr w:rsidR="00A36743" w14:paraId="320C36BF" w14:textId="77777777" w:rsidTr="00A36743">
        <w:tblPrEx>
          <w:jc w:val="center"/>
        </w:tblPrEx>
        <w:trPr>
          <w:gridAfter w:val="1"/>
          <w:wAfter w:w="4470" w:type="dxa"/>
          <w:jc w:val="center"/>
        </w:trPr>
        <w:tc>
          <w:tcPr>
            <w:cnfStyle w:val="000010000000" w:firstRow="0" w:lastRow="0" w:firstColumn="0" w:lastColumn="0" w:oddVBand="1" w:evenVBand="0" w:oddHBand="0" w:evenHBand="0" w:firstRowFirstColumn="0" w:firstRowLastColumn="0" w:lastRowFirstColumn="0" w:lastRowLastColumn="0"/>
            <w:tcW w:w="2567" w:type="dxa"/>
          </w:tcPr>
          <w:p w14:paraId="240F450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szCs w:val="18"/>
              </w:rPr>
            </w:pPr>
            <w:r>
              <w:rPr>
                <w:rFonts w:ascii="Times New Roman" w:hAnsi="Times New Roman" w:cs="Times New Roman"/>
                <w:b/>
                <w:szCs w:val="18"/>
              </w:rPr>
              <w:t>Total Projected Expenditure</w:t>
            </w:r>
          </w:p>
        </w:tc>
        <w:tc>
          <w:tcPr>
            <w:tcW w:w="1985" w:type="dxa"/>
          </w:tcPr>
          <w:p w14:paraId="78D8D91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18"/>
              </w:rPr>
            </w:pPr>
            <w:r>
              <w:rPr>
                <w:rFonts w:ascii="Times New Roman" w:hAnsi="Times New Roman" w:cs="Times New Roman"/>
                <w:b/>
                <w:szCs w:val="18"/>
              </w:rPr>
              <w:t>£58,000 - £74,000</w:t>
            </w:r>
          </w:p>
        </w:tc>
      </w:tr>
    </w:tbl>
    <w:p w14:paraId="199D01A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tabs>
          <w:tab w:val="left" w:pos="720"/>
        </w:tabs>
        <w:spacing w:after="0" w:line="360" w:lineRule="auto"/>
        <w:ind w:left="360"/>
        <w:jc w:val="center"/>
        <w:rPr>
          <w:rFonts w:ascii="Times New Roman" w:hAnsi="Times New Roman" w:cs="Times New Roman"/>
          <w:i/>
          <w:iCs/>
          <w:sz w:val="20"/>
          <w:szCs w:val="20"/>
        </w:rPr>
      </w:pPr>
      <w:r>
        <w:rPr>
          <w:rFonts w:ascii="Times New Roman" w:hAnsi="Times New Roman" w:cs="Times New Roman"/>
          <w:i/>
          <w:iCs/>
          <w:sz w:val="20"/>
          <w:szCs w:val="20"/>
        </w:rPr>
        <w:t>Source: (created by the learner).</w:t>
      </w:r>
    </w:p>
    <w:p w14:paraId="375502FD" w14:textId="77777777" w:rsidR="00A36743" w:rsidRDefault="00A36743">
      <w:pPr>
        <w:spacing w:line="360" w:lineRule="auto"/>
        <w:jc w:val="both"/>
        <w:rPr>
          <w:rFonts w:ascii="Times New Roman" w:hAnsi="Times New Roman" w:cs="Times New Roman"/>
          <w:sz w:val="20"/>
          <w:szCs w:val="20"/>
        </w:rPr>
      </w:pPr>
    </w:p>
    <w:p w14:paraId="53607AE7" w14:textId="77777777" w:rsidR="00A36743" w:rsidRDefault="00000000">
      <w:pPr>
        <w:pStyle w:val="Heading1"/>
        <w:spacing w:line="360" w:lineRule="auto"/>
        <w:jc w:val="both"/>
        <w:rPr>
          <w:rFonts w:ascii="Times New Roman" w:hAnsi="Times New Roman" w:cs="Times New Roman"/>
          <w:color w:val="000000"/>
          <w:sz w:val="20"/>
          <w:szCs w:val="20"/>
        </w:rPr>
      </w:pPr>
      <w:bookmarkStart w:id="10" w:name="_Toc7"/>
      <w:r>
        <w:rPr>
          <w:rFonts w:ascii="Times New Roman" w:hAnsi="Times New Roman" w:cs="Times New Roman"/>
          <w:sz w:val="20"/>
          <w:szCs w:val="20"/>
        </w:rPr>
        <w:t>Industry Trends / Issues / Impacts</w:t>
      </w:r>
      <w:bookmarkEnd w:id="10"/>
    </w:p>
    <w:p w14:paraId="3757C556" w14:textId="77777777" w:rsidR="00A36743" w:rsidRDefault="00000000">
      <w:pP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Industry trends</w:t>
      </w:r>
    </w:p>
    <w:p w14:paraId="3D3A50C7"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The EDI Summit 2025 fits in with important industry trends, like how business responsibility and inclusive leadership are becoming more important. DEI (diversity, equality, and inclusion) is no longer just a legal requirement for many businesses; it is also seen as good for business (Webber, 2025). Studies have shown that companies that put DEI programs at the top of their list of priorities have happier employees, more productive workers, and better financial results (Roberson, 2018). Scepticism and resistance to change remains an industry issue. This shows how important it is to educate, advocate, and adopt policies strategically to make a real difference (</w:t>
      </w:r>
      <w:proofErr w:type="spellStart"/>
      <w:r>
        <w:rPr>
          <w:rFonts w:ascii="Times New Roman" w:hAnsi="Times New Roman" w:cs="Times New Roman"/>
          <w:sz w:val="20"/>
          <w:szCs w:val="20"/>
        </w:rPr>
        <w:t>Damawan</w:t>
      </w:r>
      <w:proofErr w:type="spellEnd"/>
      <w:r>
        <w:rPr>
          <w:rFonts w:ascii="Times New Roman" w:hAnsi="Times New Roman" w:cs="Times New Roman"/>
          <w:sz w:val="20"/>
          <w:szCs w:val="20"/>
        </w:rPr>
        <w:t xml:space="preserve"> and Azizah, 2020).</w:t>
      </w:r>
    </w:p>
    <w:p w14:paraId="0139C8A6" w14:textId="77777777" w:rsidR="00A36743" w:rsidRDefault="00000000">
      <w:pPr>
        <w:spacing w:line="360" w:lineRule="auto"/>
        <w:jc w:val="both"/>
        <w:rPr>
          <w:rFonts w:ascii="Times New Roman" w:hAnsi="Times New Roman" w:cs="Times New Roman"/>
          <w:b/>
          <w:bCs/>
          <w:sz w:val="20"/>
          <w:szCs w:val="20"/>
        </w:rPr>
      </w:pPr>
      <w:r>
        <w:rPr>
          <w:rFonts w:ascii="Times New Roman" w:hAnsi="Times New Roman" w:cs="Times New Roman"/>
          <w:sz w:val="20"/>
          <w:szCs w:val="20"/>
        </w:rPr>
        <w:lastRenderedPageBreak/>
        <w:t>Due to its global workforce and focus on customer service, the hospitality industry needs variety for both moral and business reasons. A diverse team makes the experience of customers better by helping the staff understand and serve a wider group of guests (Sahoo, Mishra and Rout, 2024). In order to meet world`s standards for ethics and sustainability, big hotel chains are making DEI a part of their corporate cultures. Also, issues like pay gaps, unfair hiring and promotion practices, and a lack of minority representation in leadership positions still exist. These issues needs ongoing efforts from the whole business in order to recover  (García-Rodríguez, Dorta-Afonso and González-De-La-Rosa, 2020).</w:t>
      </w:r>
    </w:p>
    <w:p w14:paraId="20D3406E" w14:textId="77777777" w:rsidR="00A36743" w:rsidRDefault="00000000">
      <w:pP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Industry Issues</w:t>
      </w:r>
    </w:p>
    <w:p w14:paraId="635B714F" w14:textId="77777777" w:rsidR="00A36743" w:rsidRDefault="00000000">
      <w:pPr>
        <w:spacing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Skepticism</w:t>
      </w:r>
      <w:proofErr w:type="spellEnd"/>
      <w:r>
        <w:rPr>
          <w:rFonts w:ascii="Times New Roman" w:hAnsi="Times New Roman" w:cs="Times New Roman"/>
          <w:sz w:val="20"/>
          <w:szCs w:val="20"/>
        </w:rPr>
        <w:t xml:space="preserve"> remains a major challenge for DEI initiatives, as some stakeholders view them as secondary to business objectives or merely symbolic (Barnett, 2024). This highlights the need for evidence-based approaches that integrate DEI into measurable business outcomes. Successful implementation requires leadership commitment, structured policies, training programs, and ongoing evaluation .(Foster, 2024)</w:t>
      </w:r>
    </w:p>
    <w:p w14:paraId="4616D5A1"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Companies also face increasing scrutiny regarding their DEI efforts. Failure to deliver on diversity commitments can damage reputations, erode employee trust, and invite regulatory oversight (Murray and Bohannon, 2025). As calls for transparency grow, organizations are expected to track and disclose workforce diversity metrics, with stricter DEI regulations emerging globally. Overall, DEI programs also help attract and retain top talent, especially in high-turnover industries like hospitality. Leigh (2022) highlighted that younger employees prioritize inclusive workplaces, and businesses that embrace diversity benefit from greater employee loyalty, reduced turnover, and higher service standards.</w:t>
      </w:r>
    </w:p>
    <w:p w14:paraId="750E4F43"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Beyond individual efforts, policy advocacy is essential for industry-wide change. Collaboration with government bodies, industry associations, and non-profits can drive systemic progress (Hwang and Suárez, 2019). The EDI Summit 2025 will serve as a key platform for these discussions, fostering long-term partnerships to promote sustainable DEI initiatives.</w:t>
      </w:r>
    </w:p>
    <w:p w14:paraId="4103AC02" w14:textId="77777777" w:rsidR="00A36743" w:rsidRDefault="00000000">
      <w:pPr>
        <w:spacing w:line="360" w:lineRule="auto"/>
        <w:jc w:val="both"/>
        <w:rPr>
          <w:rFonts w:ascii="Times New Roman" w:hAnsi="Times New Roman" w:cs="Times New Roman"/>
          <w:b/>
          <w:bCs/>
          <w:sz w:val="20"/>
          <w:szCs w:val="20"/>
        </w:rPr>
      </w:pPr>
      <w:r>
        <w:rPr>
          <w:rFonts w:ascii="Times New Roman" w:hAnsi="Times New Roman" w:cs="Times New Roman"/>
          <w:b/>
          <w:bCs/>
          <w:sz w:val="20"/>
          <w:szCs w:val="20"/>
        </w:rPr>
        <w:t>Industry Impacts</w:t>
      </w:r>
    </w:p>
    <w:p w14:paraId="44EAAD8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Programs in diversity, equality, and inclusion (DEI) provide great advantages both inside and outside of the hotel industry that affect corporate performance, employee cooperation, client impressions, and society development. These effects will be discussed at the EDI Summit 2025, therefore arming companies with tools to properly use diversity. Studies reveal that businesses with diverse leadership teams make better judgements, increase revenue, and encourage innovation. A report by McKinsey (2020)  indicates that companies with great racial and gender diversity are 36% more likely to show financial success. In the hotel industry, a diverse staff improves customer service, employee happiness, and retention, hence lowering recruitment costs and increasing output.</w:t>
      </w:r>
      <w:r>
        <w:rPr>
          <w:rFonts w:ascii="Times New Roman" w:hAnsi="Times New Roman" w:cs="Times New Roman"/>
          <w:sz w:val="20"/>
          <w:szCs w:val="20"/>
        </w:rPr>
        <w:tab/>
      </w:r>
    </w:p>
    <w:p w14:paraId="7A0F137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55F9D58E" wp14:editId="6C8288A4">
            <wp:extent cx="4217670" cy="2266950"/>
            <wp:effectExtent l="0" t="0" r="0" b="0"/>
            <wp:docPr id="1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
                    <pic:cNvPicPr>
                      <a:picLocks noChangeAspect="1"/>
                    </pic:cNvPicPr>
                  </pic:nvPicPr>
                  <pic:blipFill>
                    <a:blip r:embed="rId11"/>
                    <a:srcRect/>
                    <a:stretch>
                      <a:fillRect/>
                    </a:stretch>
                  </pic:blipFill>
                  <pic:spPr>
                    <a:xfrm>
                      <a:off x="0" y="0"/>
                      <a:ext cx="4217670" cy="2267585"/>
                    </a:xfrm>
                    <a:prstGeom prst="rect">
                      <a:avLst/>
                    </a:prstGeom>
                  </pic:spPr>
                </pic:pic>
              </a:graphicData>
            </a:graphic>
          </wp:inline>
        </w:drawing>
      </w:r>
    </w:p>
    <w:p w14:paraId="2F6AA1C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b/>
          <w:bCs/>
          <w:sz w:val="20"/>
          <w:szCs w:val="20"/>
        </w:rPr>
        <w:t>Figure 3. Financial outperformance by gender and ethnic diversity.</w:t>
      </w:r>
    </w:p>
    <w:p w14:paraId="28CC6E1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(McKinsey, 2020).</w:t>
      </w:r>
    </w:p>
    <w:p w14:paraId="45A911D2"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21D837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DEI policies help companies build their brands and hire new employees, especially younger workers who are actively looking for workplaces that are welcoming to everyone. Hospitality has a high turnover rate, but strong DEI models help keep employees and lower the cost of hiring new ones (</w:t>
      </w:r>
      <w:proofErr w:type="spellStart"/>
      <w:r>
        <w:rPr>
          <w:rFonts w:ascii="Times New Roman" w:hAnsi="Times New Roman" w:cs="Times New Roman"/>
          <w:sz w:val="20"/>
          <w:szCs w:val="20"/>
        </w:rPr>
        <w:t>Okae</w:t>
      </w:r>
      <w:proofErr w:type="spellEnd"/>
      <w:r>
        <w:rPr>
          <w:rFonts w:ascii="Times New Roman" w:hAnsi="Times New Roman" w:cs="Times New Roman"/>
          <w:sz w:val="20"/>
          <w:szCs w:val="20"/>
        </w:rPr>
        <w:t>, 2018). If a company doesn't include everyone, it could lose trust and find it hard to hire the best people in a competitive job market. DEI also affects how people think about brands and how loyal they are to them, especially in businesses that care about doing the right thing. More and more, customers want to buy from companies that are diverse in how they run, sell, and choose leaders. If hospitality companies don not include DEI, they could lose the support of important groups of people and hurt their reputation.</w:t>
      </w:r>
    </w:p>
    <w:p w14:paraId="41499F29"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06BB872"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On the other hand, promoting economic and social justice is another way that DEI changes society as a whole. Programs for inclusive hiring and job development help under-represented groups, close economic gaps, and promote fair growth (</w:t>
      </w:r>
      <w:proofErr w:type="spellStart"/>
      <w:r>
        <w:rPr>
          <w:rFonts w:ascii="Times New Roman" w:hAnsi="Times New Roman" w:cs="Times New Roman"/>
          <w:sz w:val="20"/>
          <w:szCs w:val="20"/>
        </w:rPr>
        <w:t>Pipic</w:t>
      </w:r>
      <w:proofErr w:type="spellEnd"/>
      <w:r>
        <w:rPr>
          <w:rFonts w:ascii="Times New Roman" w:hAnsi="Times New Roman" w:cs="Times New Roman"/>
          <w:sz w:val="20"/>
          <w:szCs w:val="20"/>
        </w:rPr>
        <w:t xml:space="preserve"> and Baller, 2023). Because of this, governments and lawmakers are making policies stricter to make sure workplaces are diverse and fight systemic discrimination..</w:t>
      </w:r>
    </w:p>
    <w:p w14:paraId="7F8FC201"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912A356"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B11078F"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075BF9AE"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E863E15"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2F089C79"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786796B6"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390DAC45"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5C96991F"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87D3419"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64463E6"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58B9269A"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520AB6B0" w14:textId="77777777" w:rsidR="00A36743" w:rsidRDefault="00000000">
      <w:pPr>
        <w:pStyle w:val="Heading1"/>
        <w:spacing w:line="360" w:lineRule="auto"/>
        <w:jc w:val="both"/>
        <w:rPr>
          <w:rFonts w:ascii="Times New Roman" w:hAnsi="Times New Roman" w:cs="Times New Roman"/>
          <w:color w:val="000000"/>
          <w:sz w:val="20"/>
          <w:szCs w:val="20"/>
        </w:rPr>
      </w:pPr>
      <w:bookmarkStart w:id="11" w:name="_Toc8"/>
      <w:r>
        <w:rPr>
          <w:rFonts w:ascii="Times New Roman" w:hAnsi="Times New Roman" w:cs="Times New Roman"/>
          <w:sz w:val="20"/>
          <w:szCs w:val="20"/>
        </w:rPr>
        <w:lastRenderedPageBreak/>
        <w:t>Situational and Cultural Considerations</w:t>
      </w:r>
      <w:bookmarkEnd w:id="11"/>
      <w:r>
        <w:rPr>
          <w:rFonts w:ascii="Times New Roman" w:hAnsi="Times New Roman" w:cs="Times New Roman"/>
          <w:sz w:val="20"/>
          <w:szCs w:val="20"/>
        </w:rPr>
        <w:t xml:space="preserve"> </w:t>
      </w:r>
    </w:p>
    <w:p w14:paraId="000F687D" w14:textId="77777777" w:rsidR="00A36743" w:rsidRDefault="00000000">
      <w:pPr>
        <w:pStyle w:val="Heading2"/>
        <w:spacing w:line="360" w:lineRule="auto"/>
        <w:jc w:val="both"/>
        <w:rPr>
          <w:rFonts w:ascii="Times New Roman" w:hAnsi="Times New Roman" w:cs="Times New Roman"/>
          <w:color w:val="000000"/>
          <w:sz w:val="18"/>
          <w:szCs w:val="18"/>
        </w:rPr>
      </w:pPr>
      <w:bookmarkStart w:id="12" w:name="_Toc9"/>
      <w:r>
        <w:rPr>
          <w:rFonts w:ascii="Times New Roman" w:hAnsi="Times New Roman" w:cs="Times New Roman"/>
          <w:sz w:val="18"/>
          <w:szCs w:val="18"/>
        </w:rPr>
        <w:t>SWOT Analysis</w:t>
      </w:r>
      <w:bookmarkEnd w:id="12"/>
    </w:p>
    <w:tbl>
      <w:tblPr>
        <w:tblStyle w:val="ColorfulShading-Accent1"/>
        <w:tblW w:w="8899" w:type="dxa"/>
        <w:tblLayout w:type="fixed"/>
        <w:tblCellMar>
          <w:top w:w="10" w:type="dxa"/>
          <w:left w:w="10" w:type="dxa"/>
          <w:bottom w:w="10" w:type="dxa"/>
          <w:right w:w="10" w:type="dxa"/>
        </w:tblCellMar>
        <w:tblLook w:val="0A30" w:firstRow="1" w:lastRow="0" w:firstColumn="0" w:lastColumn="0" w:noHBand="1" w:noVBand="0"/>
      </w:tblPr>
      <w:tblGrid>
        <w:gridCol w:w="4701"/>
        <w:gridCol w:w="4198"/>
      </w:tblGrid>
      <w:tr w:rsidR="00A36743" w14:paraId="5F8C5557" w14:textId="77777777" w:rsidTr="00A36743">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4701" w:type="dxa"/>
          </w:tcPr>
          <w:p w14:paraId="6A28421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Strengths</w:t>
            </w:r>
          </w:p>
        </w:tc>
        <w:tc>
          <w:tcPr>
            <w:tcW w:w="4198" w:type="dxa"/>
          </w:tcPr>
          <w:p w14:paraId="257DA0BE"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Weaknesses</w:t>
            </w:r>
          </w:p>
        </w:tc>
      </w:tr>
      <w:tr w:rsidR="00A36743" w14:paraId="625BB206" w14:textId="77777777" w:rsidTr="00A36743">
        <w:tc>
          <w:tcPr>
            <w:cnfStyle w:val="000010000000" w:firstRow="0" w:lastRow="0" w:firstColumn="0" w:lastColumn="0" w:oddVBand="1" w:evenVBand="0" w:oddHBand="0" w:evenHBand="0" w:firstRowFirstColumn="0" w:firstRowLastColumn="0" w:lastRowFirstColumn="0" w:lastRowLastColumn="0"/>
            <w:tcW w:w="4701" w:type="dxa"/>
          </w:tcPr>
          <w:p w14:paraId="25B2CCE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Addresses critical EDI issues in the hospitality industry, aligning with global movements for inclusive workplaces.</w:t>
            </w:r>
          </w:p>
        </w:tc>
        <w:tc>
          <w:tcPr>
            <w:tcW w:w="4198" w:type="dxa"/>
          </w:tcPr>
          <w:p w14:paraId="576BEC7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High costs associated with hosting in a prime London venue may pose financial challenges if sponsorships and ticket sales are insufficient (Edwards et al., 2014).</w:t>
            </w:r>
          </w:p>
        </w:tc>
      </w:tr>
      <w:tr w:rsidR="00A36743" w14:paraId="78BF12F8" w14:textId="77777777" w:rsidTr="00A36743">
        <w:tc>
          <w:tcPr>
            <w:cnfStyle w:val="000010000000" w:firstRow="0" w:lastRow="0" w:firstColumn="0" w:lastColumn="0" w:oddVBand="1" w:evenVBand="0" w:oddHBand="0" w:evenHBand="0" w:firstRowFirstColumn="0" w:firstRowLastColumn="0" w:lastRowFirstColumn="0" w:lastRowLastColumn="0"/>
            <w:tcW w:w="4701" w:type="dxa"/>
          </w:tcPr>
          <w:p w14:paraId="72C988B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Hosting at London Marriott Hotel Grosvenor Square offers prestige and accessibility for both domestic and international attendees.</w:t>
            </w:r>
          </w:p>
        </w:tc>
        <w:tc>
          <w:tcPr>
            <w:tcW w:w="4198" w:type="dxa"/>
          </w:tcPr>
          <w:p w14:paraId="388F9E7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Focusing solely on the hospitality sector may narrow the potential audience, limiting cross-industry insights and collaborations (</w:t>
            </w:r>
            <w:proofErr w:type="spellStart"/>
            <w:r>
              <w:rPr>
                <w:rFonts w:ascii="Times New Roman" w:hAnsi="Times New Roman" w:cs="Times New Roman"/>
                <w:color w:val="000000"/>
                <w:sz w:val="18"/>
                <w:szCs w:val="18"/>
              </w:rPr>
              <w:t>Daraojimba</w:t>
            </w:r>
            <w:proofErr w:type="spellEnd"/>
            <w:r>
              <w:rPr>
                <w:rFonts w:ascii="Times New Roman" w:hAnsi="Times New Roman" w:cs="Times New Roman"/>
                <w:color w:val="000000"/>
                <w:sz w:val="18"/>
                <w:szCs w:val="18"/>
              </w:rPr>
              <w:t xml:space="preserve"> et al., 2023).</w:t>
            </w:r>
          </w:p>
        </w:tc>
      </w:tr>
      <w:tr w:rsidR="00A36743" w14:paraId="53E1AF04" w14:textId="77777777" w:rsidTr="00A36743">
        <w:tc>
          <w:tcPr>
            <w:cnfStyle w:val="000010000000" w:firstRow="0" w:lastRow="0" w:firstColumn="0" w:lastColumn="0" w:oddVBand="1" w:evenVBand="0" w:oddHBand="0" w:evenHBand="0" w:firstRowFirstColumn="0" w:firstRowLastColumn="0" w:lastRowFirstColumn="0" w:lastRowLastColumn="0"/>
            <w:tcW w:w="4701" w:type="dxa"/>
          </w:tcPr>
          <w:p w14:paraId="5547A8D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Features industry leaders providing valuable insights and practical strategies for implementing EDI initiatives (</w:t>
            </w:r>
            <w:proofErr w:type="spellStart"/>
            <w:r>
              <w:rPr>
                <w:rFonts w:ascii="Times New Roman" w:hAnsi="Times New Roman" w:cs="Times New Roman"/>
                <w:color w:val="000000"/>
                <w:sz w:val="18"/>
                <w:szCs w:val="18"/>
              </w:rPr>
              <w:t>Leuhery</w:t>
            </w:r>
            <w:proofErr w:type="spellEnd"/>
            <w:r>
              <w:rPr>
                <w:rFonts w:ascii="Times New Roman" w:hAnsi="Times New Roman" w:cs="Times New Roman"/>
                <w:color w:val="000000"/>
                <w:sz w:val="18"/>
                <w:szCs w:val="18"/>
              </w:rPr>
              <w:t xml:space="preserve"> et al., 2024).</w:t>
            </w:r>
          </w:p>
        </w:tc>
        <w:tc>
          <w:tcPr>
            <w:tcW w:w="4198" w:type="dxa"/>
          </w:tcPr>
          <w:p w14:paraId="3924CD3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Coordinating multiple sessions, speakers, and workshops demands significant time and human resources, potentially straining the organizing team.</w:t>
            </w:r>
          </w:p>
        </w:tc>
      </w:tr>
      <w:tr w:rsidR="00A36743" w14:paraId="7960FDB1" w14:textId="77777777" w:rsidTr="00A36743">
        <w:trPr>
          <w:gridAfter w:val="1"/>
          <w:wAfter w:w="4198" w:type="dxa"/>
        </w:trPr>
        <w:tc>
          <w:tcPr>
            <w:cnfStyle w:val="000010000000" w:firstRow="0" w:lastRow="0" w:firstColumn="0" w:lastColumn="0" w:oddVBand="1" w:evenVBand="0" w:oddHBand="0" w:evenHBand="0" w:firstRowFirstColumn="0" w:firstRowLastColumn="0" w:lastRowFirstColumn="0" w:lastRowLastColumn="0"/>
            <w:tcW w:w="4701" w:type="dxa"/>
          </w:tcPr>
          <w:p w14:paraId="140405D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Structured sessions facilitate collaboration and the exchange of best practices among professionals committed to fostering inclusivity (</w:t>
            </w:r>
            <w:proofErr w:type="spellStart"/>
            <w:r>
              <w:rPr>
                <w:rFonts w:ascii="Times New Roman" w:hAnsi="Times New Roman" w:cs="Times New Roman"/>
                <w:color w:val="000000"/>
                <w:sz w:val="18"/>
                <w:szCs w:val="18"/>
              </w:rPr>
              <w:t>Afridah</w:t>
            </w:r>
            <w:proofErr w:type="spellEnd"/>
            <w:r>
              <w:rPr>
                <w:rFonts w:ascii="Times New Roman" w:hAnsi="Times New Roman" w:cs="Times New Roman"/>
                <w:color w:val="000000"/>
                <w:sz w:val="18"/>
                <w:szCs w:val="18"/>
              </w:rPr>
              <w:t xml:space="preserve"> and Lubis, 2024).</w:t>
            </w:r>
          </w:p>
        </w:tc>
      </w:tr>
    </w:tbl>
    <w:p w14:paraId="18F1616B"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Cs w:val="18"/>
        </w:rPr>
      </w:pPr>
    </w:p>
    <w:tbl>
      <w:tblPr>
        <w:tblStyle w:val="ColorfulShading-Accent1"/>
        <w:tblW w:w="8961" w:type="dxa"/>
        <w:tblLayout w:type="fixed"/>
        <w:tblCellMar>
          <w:top w:w="10" w:type="dxa"/>
          <w:left w:w="10" w:type="dxa"/>
          <w:bottom w:w="10" w:type="dxa"/>
          <w:right w:w="10" w:type="dxa"/>
        </w:tblCellMar>
        <w:tblLook w:val="0A30" w:firstRow="1" w:lastRow="0" w:firstColumn="0" w:lastColumn="0" w:noHBand="1" w:noVBand="0"/>
      </w:tblPr>
      <w:tblGrid>
        <w:gridCol w:w="4648"/>
        <w:gridCol w:w="4313"/>
      </w:tblGrid>
      <w:tr w:rsidR="00A36743" w14:paraId="678FB50A" w14:textId="77777777" w:rsidTr="00A36743">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4648" w:type="dxa"/>
          </w:tcPr>
          <w:p w14:paraId="7F3311EB"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Opportunities</w:t>
            </w:r>
          </w:p>
        </w:tc>
        <w:tc>
          <w:tcPr>
            <w:tcW w:w="4313" w:type="dxa"/>
          </w:tcPr>
          <w:p w14:paraId="6543729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Threats</w:t>
            </w:r>
          </w:p>
        </w:tc>
      </w:tr>
      <w:tr w:rsidR="00A36743" w14:paraId="6BC6821D" w14:textId="77777777" w:rsidTr="00A36743">
        <w:trPr>
          <w:trHeight w:val="913"/>
        </w:trPr>
        <w:tc>
          <w:tcPr>
            <w:cnfStyle w:val="000010000000" w:firstRow="0" w:lastRow="0" w:firstColumn="0" w:lastColumn="0" w:oddVBand="1" w:evenVBand="0" w:oddHBand="0" w:evenHBand="0" w:firstRowFirstColumn="0" w:firstRowLastColumn="0" w:lastRowFirstColumn="0" w:lastRowLastColumn="0"/>
            <w:tcW w:w="4648" w:type="dxa"/>
          </w:tcPr>
          <w:p w14:paraId="0F21249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Increasing recognition of the importance of diversity and inclusion in the workplace leads to higher demand for events offering actionable insights (</w:t>
            </w:r>
            <w:proofErr w:type="spellStart"/>
            <w:r>
              <w:rPr>
                <w:rFonts w:ascii="Times New Roman" w:hAnsi="Times New Roman" w:cs="Times New Roman"/>
                <w:color w:val="000000"/>
                <w:sz w:val="18"/>
                <w:szCs w:val="18"/>
              </w:rPr>
              <w:t>Leuhery</w:t>
            </w:r>
            <w:proofErr w:type="spellEnd"/>
            <w:r>
              <w:rPr>
                <w:rFonts w:ascii="Times New Roman" w:hAnsi="Times New Roman" w:cs="Times New Roman"/>
                <w:color w:val="000000"/>
                <w:sz w:val="18"/>
                <w:szCs w:val="18"/>
              </w:rPr>
              <w:t xml:space="preserve"> et al., 2024)..</w:t>
            </w:r>
          </w:p>
        </w:tc>
        <w:tc>
          <w:tcPr>
            <w:tcW w:w="4313" w:type="dxa"/>
          </w:tcPr>
          <w:p w14:paraId="0585742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 xml:space="preserve">Shifts in political climates and legal frameworks, such as changes in policies related to diversity and inclusion, could impact the perception and support of EDI initiatives (O’Donovan, 2017). </w:t>
            </w:r>
          </w:p>
        </w:tc>
      </w:tr>
      <w:tr w:rsidR="00A36743" w14:paraId="13A07B44" w14:textId="77777777" w:rsidTr="00A36743">
        <w:tc>
          <w:tcPr>
            <w:cnfStyle w:val="000010000000" w:firstRow="0" w:lastRow="0" w:firstColumn="0" w:lastColumn="0" w:oddVBand="1" w:evenVBand="0" w:oddHBand="0" w:evenHBand="0" w:firstRowFirstColumn="0" w:firstRowLastColumn="0" w:lastRowFirstColumn="0" w:lastRowLastColumn="0"/>
            <w:tcW w:w="4648" w:type="dxa"/>
          </w:tcPr>
          <w:p w14:paraId="397A935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Companies committed to EDI values may seek sponsorship opportunities to improve their corporate social responsibility profiles.</w:t>
            </w:r>
          </w:p>
        </w:tc>
        <w:tc>
          <w:tcPr>
            <w:tcW w:w="4313" w:type="dxa"/>
          </w:tcPr>
          <w:p w14:paraId="2E732D6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Economic downturns or organizational budget cuts may reduce spending on professional development, affecting attendance and sponsorship opportunities.</w:t>
            </w:r>
          </w:p>
        </w:tc>
      </w:tr>
      <w:tr w:rsidR="00A36743" w14:paraId="1AE1889A" w14:textId="77777777" w:rsidTr="00A36743">
        <w:tc>
          <w:tcPr>
            <w:cnfStyle w:val="000010000000" w:firstRow="0" w:lastRow="0" w:firstColumn="0" w:lastColumn="0" w:oddVBand="1" w:evenVBand="0" w:oddHBand="0" w:evenHBand="0" w:firstRowFirstColumn="0" w:firstRowLastColumn="0" w:lastRowFirstColumn="0" w:lastRowLastColumn="0"/>
            <w:tcW w:w="4648" w:type="dxa"/>
          </w:tcPr>
          <w:p w14:paraId="0EA5ACCF"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rPr>
                <w:rFonts w:ascii="Times New Roman" w:hAnsi="Times New Roman" w:cs="Times New Roman"/>
                <w:color w:val="000000"/>
                <w:sz w:val="18"/>
                <w:szCs w:val="18"/>
              </w:rPr>
            </w:pPr>
            <w:r>
              <w:rPr>
                <w:rFonts w:ascii="Times New Roman" w:hAnsi="Times New Roman" w:cs="Times New Roman"/>
                <w:color w:val="000000"/>
                <w:sz w:val="18"/>
                <w:szCs w:val="18"/>
              </w:rPr>
              <w:t>Incorporating virtual attendance options can broaden the event's reach, allowing global participation and accommodating those unable to attend in person (Doran et al., 2024).</w:t>
            </w:r>
          </w:p>
        </w:tc>
        <w:tc>
          <w:tcPr>
            <w:tcW w:w="4313" w:type="dxa"/>
          </w:tcPr>
          <w:p w14:paraId="04E3312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18"/>
                <w:szCs w:val="18"/>
              </w:rPr>
            </w:pPr>
            <w:r>
              <w:rPr>
                <w:rFonts w:ascii="Times New Roman" w:hAnsi="Times New Roman" w:cs="Times New Roman"/>
                <w:color w:val="000000"/>
                <w:sz w:val="18"/>
                <w:szCs w:val="18"/>
              </w:rPr>
              <w:t>The proliferation of EDI-focused conferences and workshops may lead to market saturation, making it challenging to attract attendees and distinguish the summit from other events.</w:t>
            </w:r>
          </w:p>
        </w:tc>
      </w:tr>
    </w:tbl>
    <w:p w14:paraId="594230D8"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i/>
          <w:sz w:val="20"/>
          <w:szCs w:val="20"/>
        </w:rPr>
      </w:pPr>
    </w:p>
    <w:p w14:paraId="5B58B17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i/>
          <w:sz w:val="20"/>
          <w:szCs w:val="20"/>
        </w:rPr>
      </w:pPr>
      <w:r>
        <w:rPr>
          <w:rFonts w:ascii="Times New Roman" w:hAnsi="Times New Roman" w:cs="Times New Roman"/>
          <w:i/>
          <w:sz w:val="20"/>
          <w:szCs w:val="20"/>
        </w:rPr>
        <w:t>Source: (created by the learner).</w:t>
      </w:r>
    </w:p>
    <w:p w14:paraId="749C6097" w14:textId="77777777" w:rsidR="00A36743" w:rsidRDefault="00000000">
      <w:pPr>
        <w:pStyle w:val="Heading2"/>
        <w:spacing w:line="360" w:lineRule="auto"/>
        <w:jc w:val="both"/>
        <w:rPr>
          <w:rFonts w:ascii="Times New Roman" w:hAnsi="Times New Roman" w:cs="Times New Roman"/>
          <w:color w:val="000000"/>
          <w:sz w:val="20"/>
          <w:szCs w:val="20"/>
        </w:rPr>
      </w:pPr>
      <w:bookmarkStart w:id="13" w:name="_Toc10"/>
      <w:r>
        <w:rPr>
          <w:rFonts w:ascii="Times New Roman" w:hAnsi="Times New Roman" w:cs="Times New Roman"/>
          <w:sz w:val="20"/>
          <w:szCs w:val="20"/>
        </w:rPr>
        <w:t>PESTEL Analysis</w:t>
      </w:r>
      <w:bookmarkEnd w:id="13"/>
    </w:p>
    <w:p w14:paraId="2E327C9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Political Factors</w:t>
      </w:r>
    </w:p>
    <w:p w14:paraId="61E175F4"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As stated by Starmer (2024) the Labour Party took over government leadership in the United Kingdom in 2024, therefore causing a notable political upheaval. Particularly in the public sector, this change has focused attention once more on equality, diversity, and inclusion. The Labour government is trying to strengthen relevant processes and is actively pushing public institutions to show the success of EDI projects (CIPD, 2024). Particularly those aiming at public sector involvement, this political atmosphere creates a favourable setting for events like the EDI Summit 2025. Private sector companies less dependent on government contracts, on the other hand, would exercise more caution and maybe reduce their EDI operations. </w:t>
      </w:r>
    </w:p>
    <w:p w14:paraId="21770316"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6DBE169E"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30768B02"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EBF9CE0"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Economic Factors</w:t>
      </w:r>
    </w:p>
    <w:p w14:paraId="27F20C5A"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High inflation, slow development, and global trade disruptions—which resulted in stagnation in important industries such retail and hospitality created major issues for the UK economy in 2024 (Figure 4). These economic times could restrict business resources for professional growth, therefore influencing sponsorship and participation for the EDI Summit 2025. Businesses could be careful when allocating fundings for such activities, giving cost-cutting initiatives top priority over industry conferences. Still, funding EDI projects offers great financial benefits. While companies with diverse staff report up to 19% higher innovation revenue, closing the disability employment gap alone may bring £17 billion yearly to the UK economy (Lorenzo et al., 2018). These financial gains confirm the strategic value of diversity and inspire companies to help and take part in the EDI Summit 2025 in order to propel long-term corporate competitiveness and development.</w:t>
      </w:r>
    </w:p>
    <w:p w14:paraId="0BD09D68"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p>
    <w:p w14:paraId="5D3367E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66C0F689" wp14:editId="13BEC275">
            <wp:extent cx="4610100" cy="235140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ChangeAspect="1"/>
                    </pic:cNvPicPr>
                  </pic:nvPicPr>
                  <pic:blipFill>
                    <a:blip r:embed="rId12"/>
                    <a:srcRect t="9375"/>
                    <a:stretch/>
                  </pic:blipFill>
                  <pic:spPr>
                    <a:xfrm>
                      <a:off x="0" y="0"/>
                      <a:ext cx="4610100" cy="2351405"/>
                    </a:xfrm>
                    <a:prstGeom prst="rect">
                      <a:avLst/>
                    </a:prstGeom>
                  </pic:spPr>
                </pic:pic>
              </a:graphicData>
            </a:graphic>
          </wp:inline>
        </w:drawing>
      </w:r>
    </w:p>
    <w:p w14:paraId="18263A47"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b/>
          <w:bCs/>
          <w:sz w:val="20"/>
          <w:szCs w:val="20"/>
        </w:rPr>
      </w:pPr>
      <w:r>
        <w:rPr>
          <w:rFonts w:ascii="Times New Roman" w:hAnsi="Times New Roman" w:cs="Times New Roman"/>
          <w:b/>
          <w:bCs/>
          <w:sz w:val="20"/>
          <w:szCs w:val="20"/>
        </w:rPr>
        <w:t>Figure 4 UK  price index inflation on the rise.</w:t>
      </w:r>
    </w:p>
    <w:p w14:paraId="0D966719"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r>
        <w:rPr>
          <w:rFonts w:ascii="Times New Roman" w:hAnsi="Times New Roman" w:cs="Times New Roman"/>
          <w:sz w:val="20"/>
          <w:szCs w:val="20"/>
        </w:rPr>
        <w:t>Source: (ICAEW, 2025).</w:t>
      </w:r>
    </w:p>
    <w:p w14:paraId="5DFDF17D"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center"/>
        <w:rPr>
          <w:rFonts w:ascii="Times New Roman" w:hAnsi="Times New Roman" w:cs="Times New Roman"/>
          <w:sz w:val="20"/>
          <w:szCs w:val="20"/>
        </w:rPr>
      </w:pPr>
    </w:p>
    <w:p w14:paraId="7226263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Social Factors</w:t>
      </w:r>
    </w:p>
    <w:p w14:paraId="3C951C11"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As a result of global efforts for social justice, individuals are becoming more aware of and demanding equality, diversity, and inclusion. There is a growing expectation in the UK for businesses to adhere to EDI standards. A study found that 53% of Britons think it would be bad for UK companies to cut back on their DEI efforts (Ralph, 2025). Individuals of working age and younger generations are especially against such cuts. This social pressure makes the EDI Summit 2025 a good idea because workers are looking for ways to get involved with and move forward with EDI projects.  However, such as scepticism about EDI projects and unwillingness to change in some organisational cultures. For the summit to be a success, these problems must be dealt with through focused education and policy advocacy.</w:t>
      </w:r>
    </w:p>
    <w:p w14:paraId="3F629D67"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453D6178"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Technological Factors</w:t>
      </w:r>
    </w:p>
    <w:p w14:paraId="5ED10565"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Technological development has changed the scene of professional events. The spread of virtual conference tools lets hybrid event models possible, therefore enabling more participation outside of geographical limitations (Karis, Wildman and Mané, 2014). Given the economic uncertainty, this technology capacity is especially </w:t>
      </w:r>
      <w:r>
        <w:rPr>
          <w:rFonts w:ascii="Times New Roman" w:hAnsi="Times New Roman" w:cs="Times New Roman"/>
          <w:sz w:val="20"/>
          <w:szCs w:val="20"/>
        </w:rPr>
        <w:lastRenderedPageBreak/>
        <w:t>helpful since it provides reasonably affordable substitutes for attendance and planners. Depending more on digital platforms calls for strong cybersecurity policies to guard private attendee data and guarantee adherence to data protection laws (Khando et al., 2021). The EDI Summit 2025 will depend on investments in safe and user-friendly technology if it is to give every participant a flawless and reliable experience.</w:t>
      </w:r>
    </w:p>
    <w:p w14:paraId="13C8D480"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1A8D000E"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Environmental Factors</w:t>
      </w:r>
    </w:p>
    <w:p w14:paraId="2E47CC7D"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Planning an event now gives environmental sustainability top attention. Events are expected by attendees and stakeholders more and more to follow environmentally friendly policies including waste reduction, low carbon footprint development, and sustainable resource usage promotion .(</w:t>
      </w:r>
      <w:proofErr w:type="spellStart"/>
      <w:r>
        <w:rPr>
          <w:rFonts w:ascii="Times New Roman" w:hAnsi="Times New Roman" w:cs="Times New Roman"/>
          <w:sz w:val="20"/>
          <w:szCs w:val="20"/>
        </w:rPr>
        <w:t>Seočanac</w:t>
      </w:r>
      <w:proofErr w:type="spellEnd"/>
      <w:r>
        <w:rPr>
          <w:rFonts w:ascii="Times New Roman" w:hAnsi="Times New Roman" w:cs="Times New Roman"/>
          <w:sz w:val="20"/>
          <w:szCs w:val="20"/>
        </w:rPr>
        <w:t xml:space="preserve">, 2023) In order to implement green initiatives which can include choosing sites dedicated to environmental sustainability and providing virtual attendance choices to lower travel-related emissions the EDI Summit 2025 can appeal more. Furthermore, underlined by the Climate Change Act 2008's ambition of the UK to reach net-zero emissions by 2050, is the need of matching events with national environmental objectives. Showing environmental responsibility helps the summit's standing and draws ecologically minded attendees (UK Government, 2023). </w:t>
      </w:r>
    </w:p>
    <w:p w14:paraId="137CA21E"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p>
    <w:p w14:paraId="2F64100C"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b/>
          <w:sz w:val="20"/>
          <w:szCs w:val="20"/>
        </w:rPr>
        <w:t>Legal Factors</w:t>
      </w:r>
    </w:p>
    <w:p w14:paraId="2CC86A36"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With notable changes in equality and diversity laws, the legal system of the UK keeps changing. Particularly in the public sector, the Labour government presented extensive ideas in 2024 meant to improve EDI obligations (GOV.UK, 2024). These legislative changes could entail extra compliance obligations for companies, therefore affecting their involvement with EDI projects and activities. Furthermore, advised are financial authorities to compel the financial services sector's workers' socioeconomic backgrounds be reported. This action seeks to foster social inclusion and may set a standard for other sectors, therefore influencing the emphasis and debates of the EDI Summit 2025. </w:t>
      </w:r>
    </w:p>
    <w:p w14:paraId="1F9F68E5" w14:textId="77777777" w:rsidR="00A36743" w:rsidRDefault="00A36743">
      <w:pPr>
        <w:spacing w:line="360" w:lineRule="auto"/>
        <w:jc w:val="both"/>
        <w:rPr>
          <w:rFonts w:ascii="Times New Roman" w:hAnsi="Times New Roman" w:cs="Times New Roman"/>
          <w:i/>
          <w:iCs/>
          <w:sz w:val="20"/>
          <w:szCs w:val="20"/>
        </w:rPr>
      </w:pPr>
    </w:p>
    <w:p w14:paraId="4187D369" w14:textId="77777777" w:rsidR="00A36743" w:rsidRDefault="00A36743">
      <w:pPr>
        <w:spacing w:line="360" w:lineRule="auto"/>
        <w:jc w:val="both"/>
        <w:rPr>
          <w:rFonts w:ascii="Times New Roman" w:hAnsi="Times New Roman" w:cs="Times New Roman"/>
          <w:i/>
          <w:iCs/>
          <w:sz w:val="20"/>
          <w:szCs w:val="20"/>
        </w:rPr>
      </w:pPr>
    </w:p>
    <w:p w14:paraId="12C64228" w14:textId="77777777" w:rsidR="00A36743" w:rsidRDefault="00A36743">
      <w:pPr>
        <w:spacing w:line="360" w:lineRule="auto"/>
        <w:jc w:val="both"/>
        <w:rPr>
          <w:rFonts w:ascii="Times New Roman" w:hAnsi="Times New Roman" w:cs="Times New Roman"/>
          <w:i/>
          <w:iCs/>
          <w:sz w:val="20"/>
          <w:szCs w:val="20"/>
        </w:rPr>
      </w:pPr>
    </w:p>
    <w:p w14:paraId="5AE4B84B" w14:textId="77777777" w:rsidR="00A36743" w:rsidRDefault="00A36743">
      <w:pPr>
        <w:spacing w:line="360" w:lineRule="auto"/>
        <w:jc w:val="both"/>
        <w:rPr>
          <w:rFonts w:ascii="Times New Roman" w:hAnsi="Times New Roman" w:cs="Times New Roman"/>
          <w:i/>
          <w:iCs/>
          <w:sz w:val="20"/>
          <w:szCs w:val="20"/>
        </w:rPr>
      </w:pPr>
    </w:p>
    <w:p w14:paraId="137F0531" w14:textId="77777777" w:rsidR="00A36743" w:rsidRDefault="00A36743">
      <w:pPr>
        <w:spacing w:line="360" w:lineRule="auto"/>
        <w:jc w:val="both"/>
        <w:rPr>
          <w:rFonts w:ascii="Times New Roman" w:hAnsi="Times New Roman" w:cs="Times New Roman"/>
          <w:i/>
          <w:iCs/>
          <w:sz w:val="20"/>
          <w:szCs w:val="20"/>
        </w:rPr>
      </w:pPr>
    </w:p>
    <w:p w14:paraId="0AF6EA84" w14:textId="77777777" w:rsidR="00A36743" w:rsidRDefault="00A36743">
      <w:pPr>
        <w:spacing w:line="360" w:lineRule="auto"/>
        <w:jc w:val="both"/>
        <w:rPr>
          <w:rFonts w:ascii="Times New Roman" w:hAnsi="Times New Roman" w:cs="Times New Roman"/>
          <w:i/>
          <w:iCs/>
          <w:sz w:val="20"/>
          <w:szCs w:val="20"/>
        </w:rPr>
      </w:pPr>
    </w:p>
    <w:p w14:paraId="3D8F88E5" w14:textId="77777777" w:rsidR="00A36743" w:rsidRDefault="00A36743">
      <w:pPr>
        <w:spacing w:line="360" w:lineRule="auto"/>
        <w:jc w:val="both"/>
        <w:rPr>
          <w:rFonts w:ascii="Times New Roman" w:hAnsi="Times New Roman" w:cs="Times New Roman"/>
          <w:i/>
          <w:iCs/>
          <w:sz w:val="20"/>
          <w:szCs w:val="20"/>
        </w:rPr>
      </w:pPr>
    </w:p>
    <w:p w14:paraId="468382D9" w14:textId="77777777" w:rsidR="00A36743" w:rsidRDefault="00A36743">
      <w:pPr>
        <w:spacing w:line="360" w:lineRule="auto"/>
        <w:jc w:val="both"/>
        <w:rPr>
          <w:rFonts w:ascii="Times New Roman" w:hAnsi="Times New Roman" w:cs="Times New Roman"/>
          <w:i/>
          <w:iCs/>
          <w:sz w:val="20"/>
          <w:szCs w:val="20"/>
        </w:rPr>
      </w:pPr>
    </w:p>
    <w:p w14:paraId="3E3F8783" w14:textId="77777777" w:rsidR="00A36743" w:rsidRDefault="00A36743">
      <w:pPr>
        <w:spacing w:line="360" w:lineRule="auto"/>
        <w:jc w:val="both"/>
        <w:rPr>
          <w:rFonts w:ascii="Times New Roman" w:hAnsi="Times New Roman" w:cs="Times New Roman"/>
          <w:i/>
          <w:iCs/>
          <w:sz w:val="20"/>
          <w:szCs w:val="20"/>
        </w:rPr>
      </w:pPr>
    </w:p>
    <w:p w14:paraId="263E8DC6" w14:textId="77777777" w:rsidR="00A36743" w:rsidRDefault="00A36743">
      <w:pPr>
        <w:spacing w:line="360" w:lineRule="auto"/>
        <w:jc w:val="both"/>
        <w:rPr>
          <w:rFonts w:ascii="Times New Roman" w:hAnsi="Times New Roman" w:cs="Times New Roman"/>
          <w:i/>
          <w:iCs/>
          <w:sz w:val="20"/>
          <w:szCs w:val="20"/>
        </w:rPr>
      </w:pPr>
    </w:p>
    <w:p w14:paraId="48D1AEF5" w14:textId="77777777" w:rsidR="00A36743" w:rsidRDefault="00A36743">
      <w:pPr>
        <w:spacing w:line="360" w:lineRule="auto"/>
        <w:jc w:val="both"/>
        <w:rPr>
          <w:rFonts w:ascii="Times New Roman" w:hAnsi="Times New Roman" w:cs="Times New Roman"/>
          <w:i/>
          <w:iCs/>
          <w:sz w:val="20"/>
          <w:szCs w:val="20"/>
        </w:rPr>
      </w:pPr>
    </w:p>
    <w:p w14:paraId="2F31D887" w14:textId="77777777" w:rsidR="00A36743" w:rsidRDefault="00000000">
      <w:pPr>
        <w:pStyle w:val="Heading1"/>
        <w:spacing w:line="360" w:lineRule="auto"/>
        <w:jc w:val="both"/>
        <w:rPr>
          <w:rFonts w:ascii="Times New Roman" w:hAnsi="Times New Roman" w:cs="Times New Roman"/>
          <w:sz w:val="20"/>
          <w:szCs w:val="20"/>
        </w:rPr>
      </w:pPr>
      <w:bookmarkStart w:id="14" w:name="_Toc11"/>
      <w:r>
        <w:rPr>
          <w:rFonts w:ascii="Times New Roman" w:hAnsi="Times New Roman" w:cs="Times New Roman"/>
          <w:sz w:val="20"/>
          <w:szCs w:val="20"/>
        </w:rPr>
        <w:lastRenderedPageBreak/>
        <w:t>Conclusion</w:t>
      </w:r>
      <w:bookmarkEnd w:id="14"/>
    </w:p>
    <w:p w14:paraId="264C7F9F"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The Equality, Diversity, and Inclusion Summit 2025 systematically addresses the hospitality industry's demand for inclusive workplace rules. This event will shape sector EDI strategies due to political, economic, and social variables driving diversity initiative demand. This thorough planning strategy, guided by industry best practices, strategic management theories, and stakeholder participation, delivers a high-quality event experience. SWOT analysis shows the event's industrial importance and strategic partnerships, as well as financial limits and political impacts on EDI policies. Meanwhile, PESTLE research reveals macro-environmental elements, keeping the event flexible.</w:t>
      </w:r>
    </w:p>
    <w:p w14:paraId="5FC8C2AA" w14:textId="77777777" w:rsidR="00A36743" w:rsidRDefault="00000000">
      <w:pPr>
        <w:spacing w:line="360" w:lineRule="auto"/>
        <w:jc w:val="both"/>
        <w:rPr>
          <w:rFonts w:ascii="Times New Roman" w:hAnsi="Times New Roman" w:cs="Times New Roman"/>
          <w:sz w:val="20"/>
          <w:szCs w:val="20"/>
        </w:rPr>
      </w:pPr>
      <w:r>
        <w:rPr>
          <w:rFonts w:ascii="Times New Roman" w:hAnsi="Times New Roman" w:cs="Times New Roman"/>
          <w:sz w:val="20"/>
          <w:szCs w:val="20"/>
        </w:rPr>
        <w:t>The event's ticket sales, sponsorships, and exhibitor participation should boost its financial viability. Hybrid event models will also allow the summit to reach more people, boosting its effect. As the global workforce evolves, companies that prioritise diversity, equity, and inclusion will have an advantage in talent acquisition, employee retention, and innovation. The EDI Summit 2025 will educate professionals and empower organisations to create inclusive workplaces. This event will inspire lasting change in the hospitality sector and beyond by combining practical solutions, policy discussions, and networking.</w:t>
      </w:r>
    </w:p>
    <w:p w14:paraId="33E0CDAC" w14:textId="77777777" w:rsidR="00A36743" w:rsidRDefault="00A36743">
      <w:pPr>
        <w:spacing w:line="360" w:lineRule="auto"/>
        <w:jc w:val="both"/>
        <w:rPr>
          <w:rFonts w:ascii="Times New Roman" w:hAnsi="Times New Roman" w:cs="Times New Roman"/>
          <w:sz w:val="20"/>
          <w:szCs w:val="20"/>
        </w:rPr>
      </w:pPr>
    </w:p>
    <w:p w14:paraId="523F1820" w14:textId="77777777" w:rsidR="00A36743" w:rsidRDefault="00A36743">
      <w:pPr>
        <w:spacing w:line="360" w:lineRule="auto"/>
        <w:jc w:val="both"/>
        <w:rPr>
          <w:rFonts w:ascii="Times New Roman" w:hAnsi="Times New Roman" w:cs="Times New Roman"/>
          <w:sz w:val="20"/>
          <w:szCs w:val="20"/>
        </w:rPr>
      </w:pPr>
    </w:p>
    <w:p w14:paraId="598D58E4" w14:textId="77777777" w:rsidR="00A36743" w:rsidRDefault="00A36743">
      <w:pPr>
        <w:spacing w:line="360" w:lineRule="auto"/>
        <w:jc w:val="both"/>
        <w:rPr>
          <w:rFonts w:ascii="Times New Roman" w:hAnsi="Times New Roman" w:cs="Times New Roman"/>
          <w:sz w:val="20"/>
          <w:szCs w:val="20"/>
        </w:rPr>
      </w:pPr>
    </w:p>
    <w:p w14:paraId="1E9817CB" w14:textId="77777777" w:rsidR="00A36743" w:rsidRDefault="00A36743">
      <w:pPr>
        <w:spacing w:line="360" w:lineRule="auto"/>
        <w:jc w:val="both"/>
        <w:rPr>
          <w:rFonts w:ascii="Times New Roman" w:hAnsi="Times New Roman" w:cs="Times New Roman"/>
          <w:sz w:val="20"/>
          <w:szCs w:val="20"/>
        </w:rPr>
      </w:pPr>
    </w:p>
    <w:p w14:paraId="4BD58EFA" w14:textId="77777777" w:rsidR="00A36743" w:rsidRDefault="00A36743">
      <w:pPr>
        <w:spacing w:line="360" w:lineRule="auto"/>
        <w:jc w:val="both"/>
        <w:rPr>
          <w:rFonts w:ascii="Times New Roman" w:hAnsi="Times New Roman" w:cs="Times New Roman"/>
          <w:sz w:val="20"/>
          <w:szCs w:val="20"/>
        </w:rPr>
      </w:pPr>
    </w:p>
    <w:p w14:paraId="5ADAEA8E" w14:textId="77777777" w:rsidR="00A36743" w:rsidRDefault="00A36743">
      <w:pPr>
        <w:spacing w:line="360" w:lineRule="auto"/>
        <w:jc w:val="both"/>
        <w:rPr>
          <w:rFonts w:ascii="Times New Roman" w:hAnsi="Times New Roman" w:cs="Times New Roman"/>
          <w:sz w:val="20"/>
          <w:szCs w:val="20"/>
        </w:rPr>
      </w:pPr>
    </w:p>
    <w:p w14:paraId="1B652C58" w14:textId="77777777" w:rsidR="00A36743" w:rsidRDefault="00A36743">
      <w:pPr>
        <w:spacing w:line="360" w:lineRule="auto"/>
        <w:jc w:val="both"/>
        <w:rPr>
          <w:rFonts w:ascii="Times New Roman" w:hAnsi="Times New Roman" w:cs="Times New Roman"/>
          <w:sz w:val="20"/>
          <w:szCs w:val="20"/>
        </w:rPr>
      </w:pPr>
    </w:p>
    <w:p w14:paraId="1362EEE2" w14:textId="77777777" w:rsidR="00A36743" w:rsidRDefault="00A36743">
      <w:pPr>
        <w:spacing w:line="360" w:lineRule="auto"/>
        <w:jc w:val="both"/>
        <w:rPr>
          <w:rFonts w:ascii="Times New Roman" w:hAnsi="Times New Roman" w:cs="Times New Roman"/>
          <w:sz w:val="20"/>
          <w:szCs w:val="20"/>
        </w:rPr>
      </w:pPr>
    </w:p>
    <w:p w14:paraId="55730F72" w14:textId="77777777" w:rsidR="00A36743" w:rsidRDefault="00A36743">
      <w:pPr>
        <w:spacing w:line="360" w:lineRule="auto"/>
        <w:jc w:val="both"/>
        <w:rPr>
          <w:rFonts w:ascii="Times New Roman" w:hAnsi="Times New Roman" w:cs="Times New Roman"/>
          <w:sz w:val="20"/>
          <w:szCs w:val="20"/>
        </w:rPr>
      </w:pPr>
    </w:p>
    <w:p w14:paraId="3A245CDC" w14:textId="77777777" w:rsidR="00A36743" w:rsidRDefault="00A36743">
      <w:pPr>
        <w:spacing w:line="360" w:lineRule="auto"/>
        <w:jc w:val="both"/>
        <w:rPr>
          <w:rFonts w:ascii="Times New Roman" w:hAnsi="Times New Roman" w:cs="Times New Roman"/>
          <w:sz w:val="20"/>
          <w:szCs w:val="20"/>
        </w:rPr>
      </w:pPr>
    </w:p>
    <w:p w14:paraId="200B3299" w14:textId="77777777" w:rsidR="00A36743" w:rsidRDefault="00A36743">
      <w:pPr>
        <w:spacing w:line="360" w:lineRule="auto"/>
        <w:jc w:val="both"/>
        <w:rPr>
          <w:rFonts w:ascii="Times New Roman" w:hAnsi="Times New Roman" w:cs="Times New Roman"/>
          <w:sz w:val="20"/>
          <w:szCs w:val="20"/>
        </w:rPr>
      </w:pPr>
    </w:p>
    <w:p w14:paraId="68A0E6C7" w14:textId="77777777" w:rsidR="00A36743" w:rsidRDefault="00A36743">
      <w:pPr>
        <w:spacing w:line="360" w:lineRule="auto"/>
        <w:jc w:val="both"/>
        <w:rPr>
          <w:rFonts w:ascii="Times New Roman" w:hAnsi="Times New Roman" w:cs="Times New Roman"/>
          <w:sz w:val="20"/>
          <w:szCs w:val="20"/>
        </w:rPr>
      </w:pPr>
    </w:p>
    <w:p w14:paraId="7FC26044" w14:textId="77777777" w:rsidR="00A36743" w:rsidRDefault="00A36743">
      <w:pPr>
        <w:spacing w:line="360" w:lineRule="auto"/>
        <w:jc w:val="both"/>
        <w:rPr>
          <w:rFonts w:ascii="Times New Roman" w:hAnsi="Times New Roman" w:cs="Times New Roman"/>
          <w:sz w:val="20"/>
          <w:szCs w:val="20"/>
        </w:rPr>
      </w:pPr>
    </w:p>
    <w:p w14:paraId="5EF41A32" w14:textId="77777777" w:rsidR="00A36743" w:rsidRDefault="00A36743">
      <w:pPr>
        <w:spacing w:line="360" w:lineRule="auto"/>
        <w:jc w:val="both"/>
        <w:rPr>
          <w:rFonts w:ascii="Times New Roman" w:hAnsi="Times New Roman" w:cs="Times New Roman"/>
          <w:sz w:val="20"/>
          <w:szCs w:val="20"/>
        </w:rPr>
      </w:pPr>
    </w:p>
    <w:p w14:paraId="559DD5FE" w14:textId="77777777" w:rsidR="00A36743" w:rsidRDefault="00A36743">
      <w:pPr>
        <w:spacing w:line="360" w:lineRule="auto"/>
        <w:jc w:val="both"/>
        <w:rPr>
          <w:rFonts w:ascii="Times New Roman" w:hAnsi="Times New Roman" w:cs="Times New Roman"/>
          <w:sz w:val="20"/>
          <w:szCs w:val="20"/>
        </w:rPr>
      </w:pPr>
    </w:p>
    <w:p w14:paraId="23274558" w14:textId="77777777" w:rsidR="00A36743" w:rsidRDefault="00A36743">
      <w:pPr>
        <w:spacing w:line="360" w:lineRule="auto"/>
        <w:jc w:val="both"/>
        <w:rPr>
          <w:rFonts w:ascii="Times New Roman" w:hAnsi="Times New Roman" w:cs="Times New Roman"/>
          <w:sz w:val="20"/>
          <w:szCs w:val="20"/>
        </w:rPr>
      </w:pPr>
    </w:p>
    <w:p w14:paraId="349C132B" w14:textId="77777777" w:rsidR="00A36743" w:rsidRDefault="00000000">
      <w:pPr>
        <w:pStyle w:val="Heading1"/>
        <w:spacing w:line="360" w:lineRule="auto"/>
        <w:jc w:val="both"/>
        <w:rPr>
          <w:rFonts w:ascii="Times New Roman" w:hAnsi="Times New Roman" w:cs="Times New Roman"/>
          <w:sz w:val="20"/>
          <w:szCs w:val="20"/>
        </w:rPr>
      </w:pPr>
      <w:bookmarkStart w:id="15" w:name="_Toc12"/>
      <w:r>
        <w:rPr>
          <w:rFonts w:ascii="Times New Roman" w:hAnsi="Times New Roman" w:cs="Times New Roman"/>
          <w:sz w:val="20"/>
          <w:szCs w:val="20"/>
        </w:rPr>
        <w:lastRenderedPageBreak/>
        <w:t>References</w:t>
      </w:r>
      <w:bookmarkEnd w:id="15"/>
    </w:p>
    <w:p w14:paraId="6298160F" w14:textId="77777777" w:rsidR="00A36743"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Afridah</w:t>
      </w:r>
      <w:proofErr w:type="spellEnd"/>
      <w:r>
        <w:rPr>
          <w:rFonts w:ascii="Times New Roman" w:hAnsi="Times New Roman" w:cs="Times New Roman"/>
          <w:sz w:val="20"/>
          <w:szCs w:val="20"/>
        </w:rPr>
        <w:t xml:space="preserve">, N. and Lubis, N.M. (2024) The role of communication and employee engagement in Promoting Inclusion in the workplace: a case study in the creative industry, </w:t>
      </w:r>
      <w:r>
        <w:rPr>
          <w:rFonts w:ascii="Times New Roman" w:hAnsi="Times New Roman" w:cs="Times New Roman"/>
          <w:i/>
          <w:iCs/>
          <w:sz w:val="20"/>
          <w:szCs w:val="20"/>
        </w:rPr>
        <w:t>Deleted Journal</w:t>
      </w:r>
      <w:r>
        <w:rPr>
          <w:rFonts w:ascii="Times New Roman" w:hAnsi="Times New Roman" w:cs="Times New Roman"/>
          <w:sz w:val="20"/>
          <w:szCs w:val="20"/>
        </w:rPr>
        <w:t>, 1(1), pp. 1–15. https://doi.org/10.62569/fijc.v1i1.8.</w:t>
      </w:r>
    </w:p>
    <w:p w14:paraId="7F933B8D"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Barnett, J. (2024) The </w:t>
      </w:r>
      <w:proofErr w:type="spellStart"/>
      <w:r>
        <w:rPr>
          <w:rFonts w:ascii="Times New Roman" w:hAnsi="Times New Roman" w:cs="Times New Roman"/>
          <w:sz w:val="20"/>
          <w:szCs w:val="20"/>
        </w:rPr>
        <w:t>Skeptic’s</w:t>
      </w:r>
      <w:proofErr w:type="spellEnd"/>
      <w:r>
        <w:rPr>
          <w:rFonts w:ascii="Times New Roman" w:hAnsi="Times New Roman" w:cs="Times New Roman"/>
          <w:sz w:val="20"/>
          <w:szCs w:val="20"/>
        </w:rPr>
        <w:t xml:space="preserve"> guide to the importance of diversity &amp; belonging, </w:t>
      </w:r>
      <w:r>
        <w:rPr>
          <w:rFonts w:ascii="Times New Roman" w:hAnsi="Times New Roman" w:cs="Times New Roman"/>
          <w:i/>
          <w:iCs/>
          <w:sz w:val="20"/>
          <w:szCs w:val="20"/>
        </w:rPr>
        <w:t>Medium</w:t>
      </w:r>
      <w:r>
        <w:rPr>
          <w:rFonts w:ascii="Times New Roman" w:hAnsi="Times New Roman" w:cs="Times New Roman"/>
          <w:sz w:val="20"/>
          <w:szCs w:val="20"/>
        </w:rPr>
        <w:t>, 23 November. https://medium.com/@redheadjessica/the-importance-of-diversity-belonging-in-creating-high-performing-teams-136c74c1bd4b.</w:t>
      </w:r>
    </w:p>
    <w:p w14:paraId="4E6084F6"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Berridge, G. (2014) </w:t>
      </w:r>
      <w:r>
        <w:rPr>
          <w:rFonts w:ascii="Times New Roman" w:hAnsi="Times New Roman" w:cs="Times New Roman"/>
          <w:i/>
          <w:iCs/>
          <w:sz w:val="20"/>
          <w:szCs w:val="20"/>
        </w:rPr>
        <w:t>Event Experiences: design, management and impact</w:t>
      </w:r>
      <w:r>
        <w:rPr>
          <w:rFonts w:ascii="Times New Roman" w:hAnsi="Times New Roman" w:cs="Times New Roman"/>
          <w:sz w:val="20"/>
          <w:szCs w:val="20"/>
        </w:rPr>
        <w:t>. https://core.ac.uk/download/pdf/46597414.pdf.</w:t>
      </w:r>
    </w:p>
    <w:p w14:paraId="67D9AB34"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Bladen, C. </w:t>
      </w:r>
      <w:r>
        <w:rPr>
          <w:rFonts w:ascii="Times New Roman" w:hAnsi="Times New Roman" w:cs="Times New Roman"/>
          <w:i/>
          <w:iCs/>
          <w:sz w:val="20"/>
          <w:szCs w:val="20"/>
        </w:rPr>
        <w:t>et al.</w:t>
      </w:r>
      <w:r>
        <w:rPr>
          <w:rFonts w:ascii="Times New Roman" w:hAnsi="Times New Roman" w:cs="Times New Roman"/>
          <w:sz w:val="20"/>
          <w:szCs w:val="20"/>
        </w:rPr>
        <w:t xml:space="preserve"> (2022) </w:t>
      </w:r>
      <w:r>
        <w:rPr>
          <w:rFonts w:ascii="Times New Roman" w:hAnsi="Times New Roman" w:cs="Times New Roman"/>
          <w:i/>
          <w:iCs/>
          <w:sz w:val="20"/>
          <w:szCs w:val="20"/>
        </w:rPr>
        <w:t>Events management</w:t>
      </w:r>
      <w:r>
        <w:rPr>
          <w:rFonts w:ascii="Times New Roman" w:hAnsi="Times New Roman" w:cs="Times New Roman"/>
          <w:sz w:val="20"/>
          <w:szCs w:val="20"/>
        </w:rPr>
        <w:t>. https://doi.org/10.4324/9781003102878.</w:t>
      </w:r>
    </w:p>
    <w:p w14:paraId="2489E1EE"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Bowdin, G. a. J. </w:t>
      </w:r>
      <w:r>
        <w:rPr>
          <w:rFonts w:ascii="Times New Roman" w:hAnsi="Times New Roman" w:cs="Times New Roman"/>
          <w:i/>
          <w:iCs/>
          <w:sz w:val="20"/>
          <w:szCs w:val="20"/>
        </w:rPr>
        <w:t>et al.</w:t>
      </w:r>
      <w:r>
        <w:rPr>
          <w:rFonts w:ascii="Times New Roman" w:hAnsi="Times New Roman" w:cs="Times New Roman"/>
          <w:sz w:val="20"/>
          <w:szCs w:val="20"/>
        </w:rPr>
        <w:t xml:space="preserve"> (2024) </w:t>
      </w:r>
      <w:r>
        <w:rPr>
          <w:rFonts w:ascii="Times New Roman" w:hAnsi="Times New Roman" w:cs="Times New Roman"/>
          <w:i/>
          <w:iCs/>
          <w:sz w:val="20"/>
          <w:szCs w:val="20"/>
        </w:rPr>
        <w:t>Events management</w:t>
      </w:r>
      <w:r>
        <w:rPr>
          <w:rFonts w:ascii="Times New Roman" w:hAnsi="Times New Roman" w:cs="Times New Roman"/>
          <w:sz w:val="20"/>
          <w:szCs w:val="20"/>
        </w:rPr>
        <w:t>. Routledge. https://www.routledge.com/Events-Management/book-series/EM.</w:t>
      </w:r>
    </w:p>
    <w:p w14:paraId="58AD1A7C"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Cameron, N. (2012) </w:t>
      </w:r>
      <w:r>
        <w:rPr>
          <w:rFonts w:ascii="Times New Roman" w:hAnsi="Times New Roman" w:cs="Times New Roman"/>
          <w:i/>
          <w:iCs/>
          <w:sz w:val="20"/>
          <w:szCs w:val="20"/>
        </w:rPr>
        <w:t>Beyond awareness and recall: rethinking sponsorship measurement</w:t>
      </w:r>
      <w:r>
        <w:rPr>
          <w:rFonts w:ascii="Times New Roman" w:hAnsi="Times New Roman" w:cs="Times New Roman"/>
          <w:sz w:val="20"/>
          <w:szCs w:val="20"/>
        </w:rPr>
        <w:t>. https://www.quirks.com/articles/beyond-awareness-and-recall-rethinking-sponsorship-measurement.</w:t>
      </w:r>
    </w:p>
    <w:p w14:paraId="03DDFBA4"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CIPD (2024) </w:t>
      </w:r>
      <w:r>
        <w:rPr>
          <w:rFonts w:ascii="Times New Roman" w:hAnsi="Times New Roman" w:cs="Times New Roman"/>
          <w:i/>
          <w:iCs/>
          <w:sz w:val="20"/>
          <w:szCs w:val="20"/>
        </w:rPr>
        <w:t>CIPD | Equality, Diversity and Inclusion in the Workplace | Factsheets</w:t>
      </w:r>
      <w:r>
        <w:rPr>
          <w:rFonts w:ascii="Times New Roman" w:hAnsi="Times New Roman" w:cs="Times New Roman"/>
          <w:sz w:val="20"/>
          <w:szCs w:val="20"/>
        </w:rPr>
        <w:t>. https://www.cipd.org/en/knowledge/factsheets/diversity-factsheet/.</w:t>
      </w:r>
    </w:p>
    <w:p w14:paraId="760B67F7" w14:textId="77777777" w:rsidR="00A36743"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Damawan</w:t>
      </w:r>
      <w:proofErr w:type="spellEnd"/>
      <w:r>
        <w:rPr>
          <w:rFonts w:ascii="Times New Roman" w:hAnsi="Times New Roman" w:cs="Times New Roman"/>
          <w:sz w:val="20"/>
          <w:szCs w:val="20"/>
        </w:rPr>
        <w:t xml:space="preserve">, A.H. and Azizah, S. (2020) Resistance to Change: Causes and Strategies as an Organizational challenge, </w:t>
      </w:r>
      <w:r>
        <w:rPr>
          <w:rFonts w:ascii="Times New Roman" w:hAnsi="Times New Roman" w:cs="Times New Roman"/>
          <w:i/>
          <w:iCs/>
          <w:sz w:val="20"/>
          <w:szCs w:val="20"/>
        </w:rPr>
        <w:t>Proceedings of the 4th ASEAN Conference on Psychology, Counselling, and Humanities (ACPCH 2018)</w:t>
      </w:r>
      <w:r>
        <w:rPr>
          <w:rFonts w:ascii="Times New Roman" w:hAnsi="Times New Roman" w:cs="Times New Roman"/>
          <w:sz w:val="20"/>
          <w:szCs w:val="20"/>
        </w:rPr>
        <w:t xml:space="preserve"> [Preprint]. https://doi.org/10.2991/assehr.k.200120.010.</w:t>
      </w:r>
    </w:p>
    <w:p w14:paraId="2EA06113" w14:textId="77777777" w:rsidR="00A36743"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Daraojimba</w:t>
      </w:r>
      <w:proofErr w:type="spellEnd"/>
      <w:r>
        <w:rPr>
          <w:rFonts w:ascii="Times New Roman" w:hAnsi="Times New Roman" w:cs="Times New Roman"/>
          <w:sz w:val="20"/>
          <w:szCs w:val="20"/>
        </w:rPr>
        <w:t xml:space="preserve">, C. </w:t>
      </w:r>
      <w:r>
        <w:rPr>
          <w:rFonts w:ascii="Times New Roman" w:hAnsi="Times New Roman" w:cs="Times New Roman"/>
          <w:i/>
          <w:iCs/>
          <w:sz w:val="20"/>
          <w:szCs w:val="20"/>
        </w:rPr>
        <w:t>et al.</w:t>
      </w:r>
      <w:r>
        <w:rPr>
          <w:rFonts w:ascii="Times New Roman" w:hAnsi="Times New Roman" w:cs="Times New Roman"/>
          <w:sz w:val="20"/>
          <w:szCs w:val="20"/>
        </w:rPr>
        <w:t xml:space="preserve"> (2023) CROSS-INDUSTRY INSIGHTS: A COMPREHENSIVE REVIEW OF EFFECTIVE STAKEHOLDER MANAGEMENT BENEFITS, </w:t>
      </w:r>
      <w:r>
        <w:rPr>
          <w:rFonts w:ascii="Times New Roman" w:hAnsi="Times New Roman" w:cs="Times New Roman"/>
          <w:i/>
          <w:iCs/>
          <w:sz w:val="20"/>
          <w:szCs w:val="20"/>
        </w:rPr>
        <w:t>Materials and Corrosion Engineering Management</w:t>
      </w:r>
      <w:r>
        <w:rPr>
          <w:rFonts w:ascii="Times New Roman" w:hAnsi="Times New Roman" w:cs="Times New Roman"/>
          <w:sz w:val="20"/>
          <w:szCs w:val="20"/>
        </w:rPr>
        <w:t>, 4(1), pp. 12–19. https://doi.org/10.26480/macem.01.2023.12.19.</w:t>
      </w:r>
    </w:p>
    <w:p w14:paraId="59B8D092"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Denga, E.M., </w:t>
      </w:r>
      <w:proofErr w:type="spellStart"/>
      <w:r>
        <w:rPr>
          <w:rFonts w:ascii="Times New Roman" w:hAnsi="Times New Roman" w:cs="Times New Roman"/>
          <w:sz w:val="20"/>
          <w:szCs w:val="20"/>
        </w:rPr>
        <w:t>Vajjhala</w:t>
      </w:r>
      <w:proofErr w:type="spellEnd"/>
      <w:r>
        <w:rPr>
          <w:rFonts w:ascii="Times New Roman" w:hAnsi="Times New Roman" w:cs="Times New Roman"/>
          <w:sz w:val="20"/>
          <w:szCs w:val="20"/>
        </w:rPr>
        <w:t xml:space="preserve">, N.R. and Rakshit, S. (2022) The role of digital marketing in achieving sustainable competitive advantage, in </w:t>
      </w:r>
      <w:r>
        <w:rPr>
          <w:rFonts w:ascii="Times New Roman" w:hAnsi="Times New Roman" w:cs="Times New Roman"/>
          <w:i/>
          <w:iCs/>
          <w:sz w:val="20"/>
          <w:szCs w:val="20"/>
        </w:rPr>
        <w:t>Advances in business strategy and competitive advantage book series</w:t>
      </w:r>
      <w:r>
        <w:rPr>
          <w:rFonts w:ascii="Times New Roman" w:hAnsi="Times New Roman" w:cs="Times New Roman"/>
          <w:sz w:val="20"/>
          <w:szCs w:val="20"/>
        </w:rPr>
        <w:t>, pp. 44–60. https://doi.org/10.4018/978-1-7998-8169-8.ch003.</w:t>
      </w:r>
    </w:p>
    <w:p w14:paraId="2226537F"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Doran, A.L. </w:t>
      </w:r>
      <w:r>
        <w:rPr>
          <w:rFonts w:ascii="Times New Roman" w:hAnsi="Times New Roman" w:cs="Times New Roman"/>
          <w:i/>
          <w:iCs/>
          <w:sz w:val="20"/>
          <w:szCs w:val="20"/>
        </w:rPr>
        <w:t>et al.</w:t>
      </w:r>
      <w:r>
        <w:rPr>
          <w:rFonts w:ascii="Times New Roman" w:hAnsi="Times New Roman" w:cs="Times New Roman"/>
          <w:sz w:val="20"/>
          <w:szCs w:val="20"/>
        </w:rPr>
        <w:t xml:space="preserve"> (2024) Planning virtual and hybrid events: steps to improve inclusion and accessibility, </w:t>
      </w:r>
      <w:r>
        <w:rPr>
          <w:rFonts w:ascii="Times New Roman" w:hAnsi="Times New Roman" w:cs="Times New Roman"/>
          <w:i/>
          <w:iCs/>
          <w:sz w:val="20"/>
          <w:szCs w:val="20"/>
        </w:rPr>
        <w:t>Geoscience Communication</w:t>
      </w:r>
      <w:r>
        <w:rPr>
          <w:rFonts w:ascii="Times New Roman" w:hAnsi="Times New Roman" w:cs="Times New Roman"/>
          <w:sz w:val="20"/>
          <w:szCs w:val="20"/>
        </w:rPr>
        <w:t>, 7(4), pp. 227–244. https://doi.org/10.5194/gc-7-227-2024.</w:t>
      </w:r>
    </w:p>
    <w:p w14:paraId="335DFC8A"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Edwards, D. </w:t>
      </w:r>
      <w:r>
        <w:rPr>
          <w:rFonts w:ascii="Times New Roman" w:hAnsi="Times New Roman" w:cs="Times New Roman"/>
          <w:i/>
          <w:iCs/>
          <w:sz w:val="20"/>
          <w:szCs w:val="20"/>
        </w:rPr>
        <w:t>et al.</w:t>
      </w:r>
      <w:r>
        <w:rPr>
          <w:rFonts w:ascii="Times New Roman" w:hAnsi="Times New Roman" w:cs="Times New Roman"/>
          <w:sz w:val="20"/>
          <w:szCs w:val="20"/>
        </w:rPr>
        <w:t xml:space="preserve"> (2014) Evaluating the economic contribution of a large indoor entertainment venue: An </w:t>
      </w:r>
      <w:proofErr w:type="spellStart"/>
      <w:r>
        <w:rPr>
          <w:rFonts w:ascii="Times New Roman" w:hAnsi="Times New Roman" w:cs="Times New Roman"/>
          <w:sz w:val="20"/>
          <w:szCs w:val="20"/>
        </w:rPr>
        <w:t>Inscope</w:t>
      </w:r>
      <w:proofErr w:type="spellEnd"/>
      <w:r>
        <w:rPr>
          <w:rFonts w:ascii="Times New Roman" w:hAnsi="Times New Roman" w:cs="Times New Roman"/>
          <w:sz w:val="20"/>
          <w:szCs w:val="20"/>
        </w:rPr>
        <w:t xml:space="preserve"> Expenditure study, </w:t>
      </w:r>
      <w:r>
        <w:rPr>
          <w:rFonts w:ascii="Times New Roman" w:hAnsi="Times New Roman" w:cs="Times New Roman"/>
          <w:i/>
          <w:iCs/>
          <w:sz w:val="20"/>
          <w:szCs w:val="20"/>
        </w:rPr>
        <w:t>Event Management</w:t>
      </w:r>
      <w:r>
        <w:rPr>
          <w:rFonts w:ascii="Times New Roman" w:hAnsi="Times New Roman" w:cs="Times New Roman"/>
          <w:sz w:val="20"/>
          <w:szCs w:val="20"/>
        </w:rPr>
        <w:t>, 18(4), pp. 407–420. https://doi.org/10.3727/152599514x14143427352076.</w:t>
      </w:r>
    </w:p>
    <w:p w14:paraId="37AE05F6"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Foster, D. (2024) </w:t>
      </w:r>
      <w:r>
        <w:rPr>
          <w:rFonts w:ascii="Times New Roman" w:hAnsi="Times New Roman" w:cs="Times New Roman"/>
          <w:i/>
          <w:iCs/>
          <w:sz w:val="20"/>
          <w:szCs w:val="20"/>
        </w:rPr>
        <w:t>How to create a successful leadership development Program</w:t>
      </w:r>
      <w:r>
        <w:rPr>
          <w:rFonts w:ascii="Times New Roman" w:hAnsi="Times New Roman" w:cs="Times New Roman"/>
          <w:sz w:val="20"/>
          <w:szCs w:val="20"/>
        </w:rPr>
        <w:t>. https://www.harvardbusiness.org/how-to-create-a-successful-leadership-development-program/.</w:t>
      </w:r>
    </w:p>
    <w:p w14:paraId="2A278151"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lastRenderedPageBreak/>
        <w:t xml:space="preserve">García-Rodríguez, F.J., Dorta-Afonso, D. and González-De-La-Rosa, M. (2020) Hospitality diversity management and job satisfaction: The mediating role of organizational commitment across individual differences, </w:t>
      </w:r>
      <w:r>
        <w:rPr>
          <w:rFonts w:ascii="Times New Roman" w:hAnsi="Times New Roman" w:cs="Times New Roman"/>
          <w:i/>
          <w:iCs/>
          <w:sz w:val="20"/>
          <w:szCs w:val="20"/>
        </w:rPr>
        <w:t>International Journal of Hospitality Management</w:t>
      </w:r>
      <w:r>
        <w:rPr>
          <w:rFonts w:ascii="Times New Roman" w:hAnsi="Times New Roman" w:cs="Times New Roman"/>
          <w:sz w:val="20"/>
          <w:szCs w:val="20"/>
        </w:rPr>
        <w:t>, 91, p. 102698. https://doi.org/10.1016/j.ijhm.2020.102698.</w:t>
      </w:r>
    </w:p>
    <w:p w14:paraId="4898B6D3" w14:textId="77777777" w:rsidR="00A36743" w:rsidRDefault="00000000">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Times New Roman" w:hAnsi="Times New Roman" w:cs="Times New Roman"/>
          <w:sz w:val="20"/>
          <w:szCs w:val="20"/>
        </w:rPr>
      </w:pPr>
      <w:r>
        <w:rPr>
          <w:rFonts w:ascii="Times New Roman" w:hAnsi="Times New Roman" w:cs="Times New Roman"/>
          <w:sz w:val="20"/>
          <w:szCs w:val="20"/>
          <w:lang w:val="en-US"/>
        </w:rPr>
        <w:t xml:space="preserve">Getz, D. (2012)  </w:t>
      </w:r>
      <w:r>
        <w:rPr>
          <w:rFonts w:ascii="Times New Roman" w:hAnsi="Times New Roman" w:cs="Times New Roman"/>
          <w:i/>
          <w:sz w:val="20"/>
          <w:szCs w:val="20"/>
          <w:lang w:val="en-US"/>
        </w:rPr>
        <w:t>Event Management and Event Tourism.</w:t>
      </w:r>
      <w:r>
        <w:rPr>
          <w:rFonts w:ascii="Times New Roman" w:hAnsi="Times New Roman" w:cs="Times New Roman"/>
          <w:sz w:val="20"/>
          <w:szCs w:val="20"/>
          <w:lang w:val="en-US"/>
        </w:rPr>
        <w:t xml:space="preserve"> 2nd </w:t>
      </w:r>
      <w:proofErr w:type="spellStart"/>
      <w:r>
        <w:rPr>
          <w:rFonts w:ascii="Times New Roman" w:hAnsi="Times New Roman" w:cs="Times New Roman"/>
          <w:sz w:val="20"/>
          <w:szCs w:val="20"/>
          <w:lang w:val="en-US"/>
        </w:rPr>
        <w:t>edn</w:t>
      </w:r>
      <w:proofErr w:type="spellEnd"/>
      <w:r>
        <w:rPr>
          <w:rFonts w:ascii="Times New Roman" w:hAnsi="Times New Roman" w:cs="Times New Roman"/>
          <w:sz w:val="20"/>
          <w:szCs w:val="20"/>
          <w:lang w:val="en-US"/>
        </w:rPr>
        <w:t xml:space="preserve">. Cognizant Communication Corporation. </w:t>
      </w:r>
    </w:p>
    <w:p w14:paraId="25AA918C" w14:textId="77777777" w:rsidR="00A36743" w:rsidRDefault="00A36743">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Times New Roman" w:hAnsi="Times New Roman" w:cs="Times New Roman"/>
          <w:sz w:val="20"/>
          <w:szCs w:val="20"/>
        </w:rPr>
      </w:pPr>
    </w:p>
    <w:p w14:paraId="1B9E79FC"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GOV.UK (2024) </w:t>
      </w:r>
      <w:r>
        <w:rPr>
          <w:rFonts w:ascii="Times New Roman" w:hAnsi="Times New Roman" w:cs="Times New Roman"/>
          <w:i/>
          <w:iCs/>
          <w:sz w:val="20"/>
          <w:szCs w:val="20"/>
        </w:rPr>
        <w:t>Equality, Diversity and Inclusion Strategy 2020 to 2024</w:t>
      </w:r>
      <w:r>
        <w:rPr>
          <w:rFonts w:ascii="Times New Roman" w:hAnsi="Times New Roman" w:cs="Times New Roman"/>
          <w:sz w:val="20"/>
          <w:szCs w:val="20"/>
        </w:rPr>
        <w:t>. https://www.gov.uk/government/publications/cma-diversity-and-inclusion-strategy-2020-to-2024/equality-diversity-and-inclusion-strategy-2020-to-2024.</w:t>
      </w:r>
    </w:p>
    <w:p w14:paraId="29BA6F05"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Hwang, H. and Suárez, D. (2019) Chapter 5 Beyond Service Provision: Advocacy and the construction of nonprofits as organizational actors, in </w:t>
      </w:r>
      <w:r>
        <w:rPr>
          <w:rFonts w:ascii="Times New Roman" w:hAnsi="Times New Roman" w:cs="Times New Roman"/>
          <w:i/>
          <w:iCs/>
          <w:sz w:val="20"/>
          <w:szCs w:val="20"/>
        </w:rPr>
        <w:t>Research in the sociology of organizations</w:t>
      </w:r>
      <w:r>
        <w:rPr>
          <w:rFonts w:ascii="Times New Roman" w:hAnsi="Times New Roman" w:cs="Times New Roman"/>
          <w:sz w:val="20"/>
          <w:szCs w:val="20"/>
        </w:rPr>
        <w:t>, pp. 87–109. https://doi.org/10.1108/s0733-558x20190000058007.</w:t>
      </w:r>
    </w:p>
    <w:p w14:paraId="7041EEAD"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ICAEW (2025) </w:t>
      </w:r>
      <w:r>
        <w:rPr>
          <w:rFonts w:ascii="Times New Roman" w:hAnsi="Times New Roman" w:cs="Times New Roman"/>
          <w:i/>
          <w:iCs/>
          <w:sz w:val="20"/>
          <w:szCs w:val="20"/>
        </w:rPr>
        <w:t>Economic update: five key trends for 2025</w:t>
      </w:r>
      <w:r>
        <w:rPr>
          <w:rFonts w:ascii="Times New Roman" w:hAnsi="Times New Roman" w:cs="Times New Roman"/>
          <w:sz w:val="20"/>
          <w:szCs w:val="20"/>
        </w:rPr>
        <w:t>. https://www.icaew.com/insights/viewpoints-on-the-news/2025/jan-2025/economic-update-five-key-trends-for-2025</w:t>
      </w:r>
    </w:p>
    <w:p w14:paraId="2C6E5736"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Karis, D., Wildman, D. and Mané, A. (2014) Improving remote collaboration with video conferencing and video portals, </w:t>
      </w:r>
      <w:r>
        <w:rPr>
          <w:rFonts w:ascii="Times New Roman" w:hAnsi="Times New Roman" w:cs="Times New Roman"/>
          <w:i/>
          <w:iCs/>
          <w:sz w:val="20"/>
          <w:szCs w:val="20"/>
        </w:rPr>
        <w:t>Human-Computer Interaction</w:t>
      </w:r>
      <w:r>
        <w:rPr>
          <w:rFonts w:ascii="Times New Roman" w:hAnsi="Times New Roman" w:cs="Times New Roman"/>
          <w:sz w:val="20"/>
          <w:szCs w:val="20"/>
        </w:rPr>
        <w:t>, 31(1), pp. 1–58. https://doi.org/10.1080/07370024.2014.921506.</w:t>
      </w:r>
    </w:p>
    <w:p w14:paraId="20148FE8"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Khando, K. </w:t>
      </w:r>
      <w:r>
        <w:rPr>
          <w:rFonts w:ascii="Times New Roman" w:hAnsi="Times New Roman" w:cs="Times New Roman"/>
          <w:i/>
          <w:iCs/>
          <w:sz w:val="20"/>
          <w:szCs w:val="20"/>
        </w:rPr>
        <w:t>et al.</w:t>
      </w:r>
      <w:r>
        <w:rPr>
          <w:rFonts w:ascii="Times New Roman" w:hAnsi="Times New Roman" w:cs="Times New Roman"/>
          <w:sz w:val="20"/>
          <w:szCs w:val="20"/>
        </w:rPr>
        <w:t xml:space="preserve"> (2021) Enhancing employees information security awareness in private and public organisations: A systematic literature review, </w:t>
      </w:r>
      <w:r>
        <w:rPr>
          <w:rFonts w:ascii="Times New Roman" w:hAnsi="Times New Roman" w:cs="Times New Roman"/>
          <w:i/>
          <w:iCs/>
          <w:sz w:val="20"/>
          <w:szCs w:val="20"/>
        </w:rPr>
        <w:t>Computers &amp; Security</w:t>
      </w:r>
      <w:r>
        <w:rPr>
          <w:rFonts w:ascii="Times New Roman" w:hAnsi="Times New Roman" w:cs="Times New Roman"/>
          <w:sz w:val="20"/>
          <w:szCs w:val="20"/>
        </w:rPr>
        <w:t>, 106, p. 102267. https://doi.org/10.1016/j.cose.2021.102267.</w:t>
      </w:r>
    </w:p>
    <w:p w14:paraId="4FE1703A"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Leigh, S. (2022) </w:t>
      </w:r>
      <w:r>
        <w:rPr>
          <w:rFonts w:ascii="Times New Roman" w:hAnsi="Times New Roman" w:cs="Times New Roman"/>
          <w:i/>
          <w:iCs/>
          <w:sz w:val="20"/>
          <w:szCs w:val="20"/>
        </w:rPr>
        <w:t>Why diverse work environments are vital for staff retention</w:t>
      </w:r>
      <w:r>
        <w:rPr>
          <w:rFonts w:ascii="Times New Roman" w:hAnsi="Times New Roman" w:cs="Times New Roman"/>
          <w:sz w:val="20"/>
          <w:szCs w:val="20"/>
        </w:rPr>
        <w:t>. https://www.peoplemanagement.co.uk/article/1797243/why-diverse-work-environments-vital-staff-retention.</w:t>
      </w:r>
    </w:p>
    <w:p w14:paraId="169B3CB6" w14:textId="77777777" w:rsidR="00A36743"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Leuhery</w:t>
      </w:r>
      <w:proofErr w:type="spellEnd"/>
      <w:r>
        <w:rPr>
          <w:rFonts w:ascii="Times New Roman" w:hAnsi="Times New Roman" w:cs="Times New Roman"/>
          <w:sz w:val="20"/>
          <w:szCs w:val="20"/>
        </w:rPr>
        <w:t xml:space="preserve">, F. </w:t>
      </w:r>
      <w:r>
        <w:rPr>
          <w:rFonts w:ascii="Times New Roman" w:hAnsi="Times New Roman" w:cs="Times New Roman"/>
          <w:i/>
          <w:iCs/>
          <w:sz w:val="20"/>
          <w:szCs w:val="20"/>
        </w:rPr>
        <w:t>et al.</w:t>
      </w:r>
      <w:r>
        <w:rPr>
          <w:rFonts w:ascii="Times New Roman" w:hAnsi="Times New Roman" w:cs="Times New Roman"/>
          <w:sz w:val="20"/>
          <w:szCs w:val="20"/>
        </w:rPr>
        <w:t xml:space="preserve"> (2024) Workplace Diversity and Inclusion: Strategies for Effective implementation and Benefits to Organizational culture, </w:t>
      </w:r>
      <w:r>
        <w:rPr>
          <w:rFonts w:ascii="Times New Roman" w:hAnsi="Times New Roman" w:cs="Times New Roman"/>
          <w:i/>
          <w:iCs/>
          <w:sz w:val="20"/>
          <w:szCs w:val="20"/>
        </w:rPr>
        <w:t>Dinasti International Journal of Economics Finance &amp; Accounting</w:t>
      </w:r>
      <w:r>
        <w:rPr>
          <w:rFonts w:ascii="Times New Roman" w:hAnsi="Times New Roman" w:cs="Times New Roman"/>
          <w:sz w:val="20"/>
          <w:szCs w:val="20"/>
        </w:rPr>
        <w:t>, 5(4), pp. 4647–4653. https://doi.org/10.38035/dijefa.v5i4.3373.</w:t>
      </w:r>
    </w:p>
    <w:p w14:paraId="5C74CB36"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Lorenzo, R. </w:t>
      </w:r>
      <w:r>
        <w:rPr>
          <w:rFonts w:ascii="Times New Roman" w:hAnsi="Times New Roman" w:cs="Times New Roman"/>
          <w:i/>
          <w:iCs/>
          <w:sz w:val="20"/>
          <w:szCs w:val="20"/>
        </w:rPr>
        <w:t>et al.</w:t>
      </w:r>
      <w:r>
        <w:rPr>
          <w:rFonts w:ascii="Times New Roman" w:hAnsi="Times New Roman" w:cs="Times New Roman"/>
          <w:sz w:val="20"/>
          <w:szCs w:val="20"/>
        </w:rPr>
        <w:t xml:space="preserve"> (2018) How diverse leadership teams boost Innovation, </w:t>
      </w:r>
      <w:r>
        <w:rPr>
          <w:rFonts w:ascii="Times New Roman" w:hAnsi="Times New Roman" w:cs="Times New Roman"/>
          <w:i/>
          <w:iCs/>
          <w:sz w:val="20"/>
          <w:szCs w:val="20"/>
        </w:rPr>
        <w:t>BCG</w:t>
      </w:r>
      <w:r>
        <w:rPr>
          <w:rFonts w:ascii="Times New Roman" w:hAnsi="Times New Roman" w:cs="Times New Roman"/>
          <w:sz w:val="20"/>
          <w:szCs w:val="20"/>
        </w:rPr>
        <w:t xml:space="preserve"> [Preprint].</w:t>
      </w:r>
    </w:p>
    <w:p w14:paraId="07A4C032"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Murray, C. and Bohannon, M. (2025) Warner Bros. Discovery drops ‘Diversity’ and ‘Equity’ language from DEI initiatives: Here are all the companies cutting DEI programs, </w:t>
      </w:r>
      <w:r>
        <w:rPr>
          <w:rFonts w:ascii="Times New Roman" w:hAnsi="Times New Roman" w:cs="Times New Roman"/>
          <w:i/>
          <w:iCs/>
          <w:sz w:val="20"/>
          <w:szCs w:val="20"/>
        </w:rPr>
        <w:t>Forbes</w:t>
      </w:r>
      <w:r>
        <w:rPr>
          <w:rFonts w:ascii="Times New Roman" w:hAnsi="Times New Roman" w:cs="Times New Roman"/>
          <w:sz w:val="20"/>
          <w:szCs w:val="20"/>
        </w:rPr>
        <w:t>, 27 February. https://www.forbes.com/sites/conormurray/2025/02/27/paramount-rolls-back-diversity-hiring-targets-here-are-all-the-companies-cutting-dei-programs/.</w:t>
      </w:r>
    </w:p>
    <w:p w14:paraId="566DEF04"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O’Donovan, D. (2017) Diversity and inclusion in the workplace, in </w:t>
      </w:r>
      <w:r>
        <w:rPr>
          <w:rFonts w:ascii="Times New Roman" w:hAnsi="Times New Roman" w:cs="Times New Roman"/>
          <w:i/>
          <w:iCs/>
          <w:sz w:val="20"/>
          <w:szCs w:val="20"/>
        </w:rPr>
        <w:t>Management and industrial engineering</w:t>
      </w:r>
      <w:r>
        <w:rPr>
          <w:rFonts w:ascii="Times New Roman" w:hAnsi="Times New Roman" w:cs="Times New Roman"/>
          <w:sz w:val="20"/>
          <w:szCs w:val="20"/>
        </w:rPr>
        <w:t>, pp. 73–108. https://doi.org/10.1007/978-3-319-66864-2_4.</w:t>
      </w:r>
    </w:p>
    <w:p w14:paraId="527756C7" w14:textId="77777777" w:rsidR="00A36743"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lastRenderedPageBreak/>
        <w:t>Okae</w:t>
      </w:r>
      <w:proofErr w:type="spellEnd"/>
      <w:r>
        <w:rPr>
          <w:rFonts w:ascii="Times New Roman" w:hAnsi="Times New Roman" w:cs="Times New Roman"/>
          <w:sz w:val="20"/>
          <w:szCs w:val="20"/>
        </w:rPr>
        <w:t xml:space="preserve">, B.H. (2018) The effect of employee turnover in the hospitality industry: Quantitative Correlational study, </w:t>
      </w:r>
      <w:r>
        <w:rPr>
          <w:rFonts w:ascii="Times New Roman" w:hAnsi="Times New Roman" w:cs="Times New Roman"/>
          <w:i/>
          <w:iCs/>
          <w:sz w:val="20"/>
          <w:szCs w:val="20"/>
        </w:rPr>
        <w:t>International Journal of Learning and Development</w:t>
      </w:r>
      <w:r>
        <w:rPr>
          <w:rFonts w:ascii="Times New Roman" w:hAnsi="Times New Roman" w:cs="Times New Roman"/>
          <w:sz w:val="20"/>
          <w:szCs w:val="20"/>
        </w:rPr>
        <w:t>, 8(1), p. 156. https://doi.org/10.5296/ijld.v8i1.12513.</w:t>
      </w:r>
    </w:p>
    <w:p w14:paraId="4748E077" w14:textId="77777777" w:rsidR="00A36743"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Pipic</w:t>
      </w:r>
      <w:proofErr w:type="spellEnd"/>
      <w:r>
        <w:rPr>
          <w:rFonts w:ascii="Times New Roman" w:hAnsi="Times New Roman" w:cs="Times New Roman"/>
          <w:sz w:val="20"/>
          <w:szCs w:val="20"/>
        </w:rPr>
        <w:t xml:space="preserve">, E. and Baller, S. (2023) 4 Ways Companies can make real progress on diversity, equity and inclusion, </w:t>
      </w:r>
      <w:r>
        <w:rPr>
          <w:rFonts w:ascii="Times New Roman" w:hAnsi="Times New Roman" w:cs="Times New Roman"/>
          <w:i/>
          <w:iCs/>
          <w:sz w:val="20"/>
          <w:szCs w:val="20"/>
        </w:rPr>
        <w:t>World Economic Forum</w:t>
      </w:r>
      <w:r>
        <w:rPr>
          <w:rFonts w:ascii="Times New Roman" w:hAnsi="Times New Roman" w:cs="Times New Roman"/>
          <w:sz w:val="20"/>
          <w:szCs w:val="20"/>
        </w:rPr>
        <w:t xml:space="preserve"> [Preprint]. https://www.weforum.org/stories/2023/09/4-ways-companies-can-make-real-progress-on-dei/.</w:t>
      </w:r>
    </w:p>
    <w:p w14:paraId="51D81CB5"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Ralph, A. (2025) Trump’s war on diversity initiatives divides Britons, </w:t>
      </w:r>
      <w:r>
        <w:rPr>
          <w:rFonts w:ascii="Times New Roman" w:hAnsi="Times New Roman" w:cs="Times New Roman"/>
          <w:i/>
          <w:iCs/>
          <w:sz w:val="20"/>
          <w:szCs w:val="20"/>
        </w:rPr>
        <w:t>The Times</w:t>
      </w:r>
      <w:r>
        <w:rPr>
          <w:rFonts w:ascii="Times New Roman" w:hAnsi="Times New Roman" w:cs="Times New Roman"/>
          <w:sz w:val="20"/>
          <w:szCs w:val="20"/>
        </w:rPr>
        <w:t>, 24 February. https://www.thetimes.com/business-money/companies/article/trumps-war-on-diversity-initiatives-divides-britons-zhr5dn3gg#:~:text=A%20majority%20of%20Britons%2C%2053,would%20miss%20out%20on%20talent.</w:t>
      </w:r>
    </w:p>
    <w:p w14:paraId="6AD21FAC"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Richards, G., Marques, L. and Mein, K. (2014) Introduction: Designing events, events as a design strategy, in </w:t>
      </w:r>
      <w:r>
        <w:rPr>
          <w:rFonts w:ascii="Times New Roman" w:hAnsi="Times New Roman" w:cs="Times New Roman"/>
          <w:i/>
          <w:iCs/>
          <w:sz w:val="20"/>
          <w:szCs w:val="20"/>
        </w:rPr>
        <w:t>Event Design: Social perspectives and practices</w:t>
      </w:r>
      <w:r>
        <w:rPr>
          <w:rFonts w:ascii="Times New Roman" w:hAnsi="Times New Roman" w:cs="Times New Roman"/>
          <w:sz w:val="20"/>
          <w:szCs w:val="20"/>
        </w:rPr>
        <w:t>. Routledge, pp. 1–13. https://www.researchgate.net/publication/297363789_Introduction_Designing_events_events_as_a_design_strategy.</w:t>
      </w:r>
    </w:p>
    <w:p w14:paraId="1A15F41C"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Sahoo, D., Mishra, S.J. and Rout, D. (2024) Marketing diversity: How inclusive workplaces attract customers and improve brand image, </w:t>
      </w:r>
      <w:r>
        <w:rPr>
          <w:rFonts w:ascii="Times New Roman" w:hAnsi="Times New Roman" w:cs="Times New Roman"/>
          <w:i/>
          <w:iCs/>
          <w:sz w:val="20"/>
          <w:szCs w:val="20"/>
        </w:rPr>
        <w:t>International Journal of Multidisciplinary Trends</w:t>
      </w:r>
      <w:r>
        <w:rPr>
          <w:rFonts w:ascii="Times New Roman" w:hAnsi="Times New Roman" w:cs="Times New Roman"/>
          <w:sz w:val="20"/>
          <w:szCs w:val="20"/>
        </w:rPr>
        <w:t>, 6(8), pp. 14–19. https://doi.org/10.22271/multi.2024.v6.i8a.453.</w:t>
      </w:r>
    </w:p>
    <w:p w14:paraId="57429BEE"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Santos, J.A.C. </w:t>
      </w:r>
      <w:r>
        <w:rPr>
          <w:rFonts w:ascii="Times New Roman" w:hAnsi="Times New Roman" w:cs="Times New Roman"/>
          <w:i/>
          <w:iCs/>
          <w:sz w:val="20"/>
          <w:szCs w:val="20"/>
        </w:rPr>
        <w:t>et al.</w:t>
      </w:r>
      <w:r>
        <w:rPr>
          <w:rFonts w:ascii="Times New Roman" w:hAnsi="Times New Roman" w:cs="Times New Roman"/>
          <w:sz w:val="20"/>
          <w:szCs w:val="20"/>
        </w:rPr>
        <w:t xml:space="preserve"> (2024) Sustainability in Business Events: How hybrid formats shape attendee Decision-Making, </w:t>
      </w:r>
      <w:r>
        <w:rPr>
          <w:rFonts w:ascii="Times New Roman" w:hAnsi="Times New Roman" w:cs="Times New Roman"/>
          <w:i/>
          <w:iCs/>
          <w:sz w:val="20"/>
          <w:szCs w:val="20"/>
        </w:rPr>
        <w:t>Journal of Tourism and Services</w:t>
      </w:r>
      <w:r>
        <w:rPr>
          <w:rFonts w:ascii="Times New Roman" w:hAnsi="Times New Roman" w:cs="Times New Roman"/>
          <w:sz w:val="20"/>
          <w:szCs w:val="20"/>
        </w:rPr>
        <w:t>, 15(29), pp. 320–348. https://doi.org/10.29036/jots.v15i29.1006.</w:t>
      </w:r>
    </w:p>
    <w:p w14:paraId="3164D76C" w14:textId="77777777" w:rsidR="00A36743" w:rsidRDefault="00000000">
      <w:pPr>
        <w:pStyle w:val="Bibliography"/>
        <w:spacing w:line="360" w:lineRule="auto"/>
        <w:rPr>
          <w:rFonts w:ascii="Times New Roman" w:hAnsi="Times New Roman" w:cs="Times New Roman"/>
          <w:sz w:val="20"/>
          <w:szCs w:val="20"/>
        </w:rPr>
      </w:pPr>
      <w:proofErr w:type="spellStart"/>
      <w:r>
        <w:rPr>
          <w:rFonts w:ascii="Times New Roman" w:hAnsi="Times New Roman" w:cs="Times New Roman"/>
          <w:sz w:val="20"/>
          <w:szCs w:val="20"/>
        </w:rPr>
        <w:t>Seočanac</w:t>
      </w:r>
      <w:proofErr w:type="spellEnd"/>
      <w:r>
        <w:rPr>
          <w:rFonts w:ascii="Times New Roman" w:hAnsi="Times New Roman" w:cs="Times New Roman"/>
          <w:sz w:val="20"/>
          <w:szCs w:val="20"/>
        </w:rPr>
        <w:t xml:space="preserve">, M. (2023) Events and sustainability: Why and how to organize green events?, </w:t>
      </w:r>
      <w:r>
        <w:rPr>
          <w:rFonts w:ascii="Times New Roman" w:hAnsi="Times New Roman" w:cs="Times New Roman"/>
          <w:i/>
          <w:iCs/>
          <w:sz w:val="20"/>
          <w:szCs w:val="20"/>
        </w:rPr>
        <w:t>Economics of Sustainable Development</w:t>
      </w:r>
      <w:r>
        <w:rPr>
          <w:rFonts w:ascii="Times New Roman" w:hAnsi="Times New Roman" w:cs="Times New Roman"/>
          <w:sz w:val="20"/>
          <w:szCs w:val="20"/>
        </w:rPr>
        <w:t>, 7(1), pp. 39–48. https://doi.org/10.5937/esd2301039s.</w:t>
      </w:r>
    </w:p>
    <w:p w14:paraId="04A91B89"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Starmer, K. (2024) </w:t>
      </w:r>
      <w:r>
        <w:rPr>
          <w:rFonts w:ascii="Times New Roman" w:hAnsi="Times New Roman" w:cs="Times New Roman"/>
          <w:i/>
          <w:iCs/>
          <w:sz w:val="20"/>
          <w:szCs w:val="20"/>
        </w:rPr>
        <w:t>Change Labour Party Manifesto 2024</w:t>
      </w:r>
      <w:r>
        <w:rPr>
          <w:rFonts w:ascii="Times New Roman" w:hAnsi="Times New Roman" w:cs="Times New Roman"/>
          <w:sz w:val="20"/>
          <w:szCs w:val="20"/>
        </w:rPr>
        <w:t>. https://labour.org.uk/wp-content/uploads/2024/06/Change-Labour-Party-Manifesto-2024-large-print.pdf.</w:t>
      </w:r>
    </w:p>
    <w:p w14:paraId="66920D51"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Thomas, M. (2023) Masterclass in Budget Management for Event Planners, </w:t>
      </w:r>
      <w:r>
        <w:rPr>
          <w:rFonts w:ascii="Times New Roman" w:hAnsi="Times New Roman" w:cs="Times New Roman"/>
          <w:i/>
          <w:iCs/>
          <w:sz w:val="20"/>
          <w:szCs w:val="20"/>
        </w:rPr>
        <w:t>Medium</w:t>
      </w:r>
      <w:r>
        <w:rPr>
          <w:rFonts w:ascii="Times New Roman" w:hAnsi="Times New Roman" w:cs="Times New Roman"/>
          <w:sz w:val="20"/>
          <w:szCs w:val="20"/>
        </w:rPr>
        <w:t>, 16 July. https://medium.com/@MariaEvents/masterclass-in-budget-management-for-event-planners-616451d8bfa1.</w:t>
      </w:r>
    </w:p>
    <w:p w14:paraId="0C15BF42"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UK Government (2023) </w:t>
      </w:r>
      <w:r>
        <w:rPr>
          <w:rFonts w:ascii="Times New Roman" w:hAnsi="Times New Roman" w:cs="Times New Roman"/>
          <w:i/>
          <w:iCs/>
          <w:sz w:val="20"/>
          <w:szCs w:val="20"/>
        </w:rPr>
        <w:t>Net Zero Government Initiative: UK Roadmap</w:t>
      </w:r>
      <w:r>
        <w:rPr>
          <w:rFonts w:ascii="Times New Roman" w:hAnsi="Times New Roman" w:cs="Times New Roman"/>
          <w:sz w:val="20"/>
          <w:szCs w:val="20"/>
        </w:rPr>
        <w:t xml:space="preserve">, </w:t>
      </w:r>
      <w:r>
        <w:rPr>
          <w:rFonts w:ascii="Times New Roman" w:hAnsi="Times New Roman" w:cs="Times New Roman"/>
          <w:i/>
          <w:iCs/>
          <w:sz w:val="20"/>
          <w:szCs w:val="20"/>
        </w:rPr>
        <w:t>Net Zero Government Initiative</w:t>
      </w:r>
      <w:r>
        <w:rPr>
          <w:rFonts w:ascii="Times New Roman" w:hAnsi="Times New Roman" w:cs="Times New Roman"/>
          <w:sz w:val="20"/>
          <w:szCs w:val="20"/>
        </w:rPr>
        <w:t>. https://assets.publishing.service.gov.uk/media/6569cb331104cf000dfa7352/net-zero-government-emissions-roadmap.pdf.</w:t>
      </w:r>
    </w:p>
    <w:p w14:paraId="395710DB" w14:textId="77777777" w:rsidR="00A36743" w:rsidRDefault="00000000">
      <w:pPr>
        <w:pStyle w:val="Bibliography"/>
        <w:spacing w:line="360" w:lineRule="auto"/>
        <w:rPr>
          <w:rFonts w:ascii="Times New Roman" w:hAnsi="Times New Roman" w:cs="Times New Roman"/>
          <w:sz w:val="20"/>
          <w:szCs w:val="20"/>
        </w:rPr>
      </w:pPr>
      <w:r>
        <w:rPr>
          <w:rFonts w:ascii="Times New Roman" w:hAnsi="Times New Roman" w:cs="Times New Roman"/>
          <w:sz w:val="20"/>
          <w:szCs w:val="20"/>
        </w:rPr>
        <w:t xml:space="preserve">Webber, J. (2025) </w:t>
      </w:r>
      <w:r>
        <w:rPr>
          <w:rFonts w:ascii="Times New Roman" w:hAnsi="Times New Roman" w:cs="Times New Roman"/>
          <w:i/>
          <w:iCs/>
          <w:sz w:val="20"/>
          <w:szCs w:val="20"/>
        </w:rPr>
        <w:t>The future of EDI: 2025 in focus</w:t>
      </w:r>
      <w:r>
        <w:rPr>
          <w:rFonts w:ascii="Times New Roman" w:hAnsi="Times New Roman" w:cs="Times New Roman"/>
          <w:sz w:val="20"/>
          <w:szCs w:val="20"/>
        </w:rPr>
        <w:t>. https://www.linkedin.com/pulse/future-edi-2025-focus-jason-webber-xufle/.</w:t>
      </w:r>
    </w:p>
    <w:p w14:paraId="5C2E7F25" w14:textId="77777777" w:rsidR="00A36743" w:rsidRDefault="00A36743">
      <w:pPr>
        <w:spacing w:line="360" w:lineRule="auto"/>
        <w:jc w:val="both"/>
        <w:rPr>
          <w:rFonts w:hint="eastAsia"/>
        </w:rPr>
      </w:pPr>
    </w:p>
    <w:sectPr w:rsidR="00A36743">
      <w:headerReference w:type="default" r:id="rId13"/>
      <w:footerReference w:type="default" r:id="rId14"/>
      <w:pgSz w:w="11906" w:h="16838"/>
      <w:pgMar w:top="1440" w:right="1440" w:bottom="1440" w:left="1440" w:header="708" w:footer="708" w:gutter="0"/>
      <w:paperSrc w:first="1" w:other="1"/>
      <w:pgBorders w:offsetFrom="page">
        <w:top w:val="single" w:sz="24" w:space="24" w:color="auto"/>
        <w:left w:val="single" w:sz="24" w:space="24" w:color="auto"/>
        <w:bottom w:val="single" w:sz="24" w:space="24" w:color="auto"/>
        <w:right w:val="single" w:sz="2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2B6B9" w14:textId="77777777" w:rsidR="004A21F7" w:rsidRDefault="004A21F7">
      <w:pPr>
        <w:spacing w:after="0" w:line="240" w:lineRule="auto"/>
        <w:rPr>
          <w:rFonts w:hint="eastAsia"/>
        </w:rPr>
      </w:pPr>
      <w:r>
        <w:separator/>
      </w:r>
    </w:p>
  </w:endnote>
  <w:endnote w:type="continuationSeparator" w:id="0">
    <w:p w14:paraId="51C8645D" w14:textId="77777777" w:rsidR="004A21F7" w:rsidRDefault="004A21F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6896F" w14:textId="77777777" w:rsidR="00A36743" w:rsidRDefault="00000000">
    <w:pPr>
      <w:spacing w:after="0" w:line="240" w:lineRule="auto"/>
      <w:jc w:val="center"/>
      <w:rPr>
        <w:rFonts w:ascii="Times New Roman" w:hAnsi="Times New Roman" w:cs="Times New Roman"/>
        <w:sz w:val="16"/>
        <w:szCs w:val="16"/>
      </w:rPr>
    </w:pPr>
    <w:r>
      <w:rPr>
        <w:rFonts w:ascii="Times New Roman" w:hAnsi="Times New Roman" w:cs="Times New Roman"/>
        <w:sz w:val="16"/>
        <w:szCs w:val="16"/>
        <w:lang w:val="en-US"/>
      </w:rPr>
      <w:fldChar w:fldCharType="begin"/>
    </w:r>
    <w:r>
      <w:rPr>
        <w:rFonts w:ascii="Times New Roman" w:hAnsi="Times New Roman" w:cs="Times New Roman"/>
        <w:sz w:val="16"/>
        <w:szCs w:val="16"/>
        <w:lang w:val="en-US"/>
      </w:rPr>
      <w:instrText>PAGE</w:instrText>
    </w:r>
    <w:r>
      <w:rPr>
        <w:rFonts w:ascii="Times New Roman" w:hAnsi="Times New Roman" w:cs="Times New Roman"/>
        <w:sz w:val="16"/>
        <w:szCs w:val="16"/>
        <w:lang w:val="en-US"/>
      </w:rPr>
      <w:fldChar w:fldCharType="separate"/>
    </w:r>
    <w:r>
      <w:rPr>
        <w:rFonts w:ascii="Times New Roman" w:hAnsi="Times New Roman" w:cs="Times New Roman"/>
        <w:sz w:val="16"/>
        <w:szCs w:val="16"/>
        <w:lang w:val="en-US"/>
      </w:rPr>
      <w:t>*</w:t>
    </w:r>
    <w:r>
      <w:rPr>
        <w:rFonts w:ascii="Times New Roman" w:hAnsi="Times New Roman" w:cs="Times New Roman"/>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2F1E7" w14:textId="77777777" w:rsidR="004A21F7" w:rsidRDefault="004A21F7">
      <w:pPr>
        <w:spacing w:after="0" w:line="240" w:lineRule="auto"/>
        <w:rPr>
          <w:rFonts w:hint="eastAsia"/>
        </w:rPr>
      </w:pPr>
      <w:r>
        <w:separator/>
      </w:r>
    </w:p>
  </w:footnote>
  <w:footnote w:type="continuationSeparator" w:id="0">
    <w:p w14:paraId="204CB341" w14:textId="77777777" w:rsidR="004A21F7" w:rsidRDefault="004A21F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66F09" w14:textId="77777777" w:rsidR="00A36743" w:rsidRDefault="00A36743">
    <w:pPr>
      <w:spacing w:after="0" w:line="240" w:lineRule="auto"/>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F4D88"/>
    <w:multiLevelType w:val="multilevel"/>
    <w:tmpl w:val="4C408C6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AC970E5"/>
    <w:multiLevelType w:val="multilevel"/>
    <w:tmpl w:val="9990ADE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DF11149"/>
    <w:multiLevelType w:val="multilevel"/>
    <w:tmpl w:val="85D253BE"/>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0D53936"/>
    <w:multiLevelType w:val="multilevel"/>
    <w:tmpl w:val="0E2046E6"/>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222C2DB0"/>
    <w:multiLevelType w:val="multilevel"/>
    <w:tmpl w:val="0A40AD46"/>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82A14D9"/>
    <w:multiLevelType w:val="multilevel"/>
    <w:tmpl w:val="16A03B32"/>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61A6640F"/>
    <w:multiLevelType w:val="multilevel"/>
    <w:tmpl w:val="CE764134"/>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61AF4F6B"/>
    <w:multiLevelType w:val="multilevel"/>
    <w:tmpl w:val="09763F9A"/>
    <w:lvl w:ilvl="0">
      <w:start w:val="1"/>
      <w:numFmt w:val="bullet"/>
      <w:lvlText w:val=""/>
      <w:lvlJc w:val="left"/>
      <w:pPr>
        <w:ind w:left="720" w:hanging="360"/>
      </w:pPr>
      <w:rPr>
        <w:rFonts w:ascii="Symbol" w:hAnsi="Symbol"/>
      </w:rPr>
    </w:lvl>
    <w:lvl w:ilvl="1" w:tentative="1">
      <w:start w:val="1"/>
      <w:numFmt w:val="bullet"/>
      <w:lvlText w:val="o"/>
      <w:lvlJc w:val="left"/>
      <w:pPr>
        <w:ind w:left="1440" w:hanging="360"/>
      </w:pPr>
      <w:rPr>
        <w:rFonts w:ascii="Courier New" w:hAnsi="Courier New" w:cs="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hAnsi="Courier New" w:cs="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hAnsi="Courier New" w:cs="Courier New"/>
      </w:rPr>
    </w:lvl>
    <w:lvl w:ilvl="8" w:tentative="1">
      <w:start w:val="1"/>
      <w:numFmt w:val="bullet"/>
      <w:lvlText w:val=""/>
      <w:lvlJc w:val="left"/>
      <w:pPr>
        <w:ind w:left="6480" w:hanging="360"/>
      </w:pPr>
      <w:rPr>
        <w:rFonts w:ascii="Wingdings" w:hAnsi="Wingdings"/>
      </w:rPr>
    </w:lvl>
  </w:abstractNum>
  <w:abstractNum w:abstractNumId="8" w15:restartNumberingAfterBreak="0">
    <w:nsid w:val="78FD55FE"/>
    <w:multiLevelType w:val="multilevel"/>
    <w:tmpl w:val="5AECACAE"/>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7AB2557F"/>
    <w:multiLevelType w:val="multilevel"/>
    <w:tmpl w:val="6EE82DBA"/>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7DAF6733"/>
    <w:multiLevelType w:val="multilevel"/>
    <w:tmpl w:val="97E4AC9E"/>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000087159">
    <w:abstractNumId w:val="2"/>
    <w:lvlOverride w:ilvl="0">
      <w:lvl w:ilvl="0" w:tentative="1">
        <w:numFmt w:val="bullet"/>
        <w:lvlText w:val="·"/>
        <w:lvlJc w:val="left"/>
      </w:lvl>
    </w:lvlOverride>
  </w:num>
  <w:num w:numId="2" w16cid:durableId="1046216912">
    <w:abstractNumId w:val="8"/>
    <w:lvlOverride w:ilvl="0">
      <w:lvl w:ilvl="0">
        <w:numFmt w:val="bullet"/>
        <w:lvlText w:val="1."/>
        <w:lvlJc w:val="left"/>
      </w:lvl>
    </w:lvlOverride>
  </w:num>
  <w:num w:numId="3" w16cid:durableId="811287450">
    <w:abstractNumId w:val="0"/>
    <w:lvlOverride w:ilvl="0">
      <w:lvl w:ilvl="0">
        <w:numFmt w:val="bullet"/>
        <w:lvlText w:val="2."/>
        <w:lvlJc w:val="left"/>
      </w:lvl>
    </w:lvlOverride>
  </w:num>
  <w:num w:numId="4" w16cid:durableId="122844342">
    <w:abstractNumId w:val="10"/>
    <w:lvlOverride w:ilvl="0">
      <w:lvl w:ilvl="0">
        <w:numFmt w:val="bullet"/>
        <w:lvlText w:val="3."/>
        <w:lvlJc w:val="left"/>
      </w:lvl>
    </w:lvlOverride>
  </w:num>
  <w:num w:numId="5" w16cid:durableId="304087836">
    <w:abstractNumId w:val="9"/>
    <w:lvlOverride w:ilvl="0">
      <w:lvl w:ilvl="0" w:tentative="1">
        <w:numFmt w:val="bullet"/>
        <w:lvlText w:val="1."/>
        <w:lvlJc w:val="left"/>
      </w:lvl>
    </w:lvlOverride>
  </w:num>
  <w:num w:numId="6" w16cid:durableId="1416129444">
    <w:abstractNumId w:val="6"/>
    <w:lvlOverride w:ilvl="0">
      <w:lvl w:ilvl="0" w:tentative="1">
        <w:numFmt w:val="bullet"/>
        <w:lvlText w:val="2."/>
        <w:lvlJc w:val="left"/>
      </w:lvl>
    </w:lvlOverride>
  </w:num>
  <w:num w:numId="7" w16cid:durableId="179509868">
    <w:abstractNumId w:val="4"/>
    <w:lvlOverride w:ilvl="0">
      <w:lvl w:ilvl="0" w:tentative="1">
        <w:numFmt w:val="bullet"/>
        <w:lvlText w:val="3."/>
        <w:lvlJc w:val="left"/>
      </w:lvl>
    </w:lvlOverride>
  </w:num>
  <w:num w:numId="8" w16cid:durableId="799222561">
    <w:abstractNumId w:val="1"/>
    <w:lvlOverride w:ilvl="0">
      <w:lvl w:ilvl="0" w:tentative="1">
        <w:numFmt w:val="bullet"/>
        <w:lvlText w:val="4."/>
        <w:lvlJc w:val="left"/>
      </w:lvl>
    </w:lvlOverride>
  </w:num>
  <w:num w:numId="9" w16cid:durableId="200090555">
    <w:abstractNumId w:val="3"/>
    <w:lvlOverride w:ilvl="0">
      <w:lvl w:ilvl="0" w:tentative="1">
        <w:numFmt w:val="bullet"/>
        <w:lvlText w:val="5."/>
        <w:lvlJc w:val="left"/>
      </w:lvl>
    </w:lvlOverride>
  </w:num>
  <w:num w:numId="10" w16cid:durableId="1647315802">
    <w:abstractNumId w:val="7"/>
  </w:num>
  <w:num w:numId="11" w16cid:durableId="1367606074">
    <w:abstractNumId w:val="5"/>
    <w:lvlOverride w:ilvl="0">
      <w:lvl w:ilvl="0">
        <w:numFmt w:val="bullet"/>
        <w:lvlText w:val="·"/>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A36743"/>
    <w:rsid w:val="0003758A"/>
    <w:rsid w:val="004A21F7"/>
    <w:rsid w:val="00A36743"/>
    <w:rsid w:val="00D423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67DA1"/>
  <w15:docId w15:val="{1B555DA4-07E9-4660-8EC2-33D38F16F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Segoe UI" w:eastAsiaTheme="minorEastAsia" w:hAnsi="Segoe UI" w:cs="Arial"/>
        <w:color w:val="000000"/>
        <w:sz w:val="18"/>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Cs w:val="18"/>
    </w:rPr>
  </w:style>
  <w:style w:type="table" w:customStyle="1" w:styleId="LightShading-Accent11">
    <w:name w:val="Light Shading - Accent 11"/>
    <w:uiPriority w:val="60"/>
    <w:pPr>
      <w:spacing w:after="0" w:line="240" w:lineRule="auto"/>
    </w:pPr>
    <w:rPr>
      <w:color w:val="2F5496" w:themeColor="accent1" w:themeShade="BF"/>
      <w:sz w:val="20"/>
      <w:szCs w:val="20"/>
    </w:rPr>
    <w:tblPr>
      <w:tblStyleRowBandSize w:val="1"/>
      <w:tblStyleColBandSize w:val="1"/>
      <w:tblInd w:w="0" w:type="dxa"/>
      <w:tblBorders>
        <w:top w:val="single" w:sz="8" w:space="0" w:color="4472C4" w:themeColor="accent1"/>
        <w:bottom w:val="single" w:sz="8" w:space="0" w:color="4472C4"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uiPriority w:val="5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List-Accent5">
    <w:name w:val="Light List Accent 5"/>
    <w:uiPriority w:val="61"/>
    <w:pPr>
      <w:spacing w:after="0" w:line="240" w:lineRule="auto"/>
    </w:pPr>
    <w:tblPr>
      <w:tblStyleRowBandSize w:val="1"/>
      <w:tblStyleColBandSize w:val="1"/>
      <w:tblInd w:w="0" w:type="dxa"/>
      <w:tblBorders>
        <w:top w:val="single" w:sz="8" w:space="0" w:color="5B9BD5" w:themeColor="accent5"/>
        <w:left w:val="single" w:sz="8" w:space="0" w:color="5B9BD5" w:themeColor="accent5"/>
        <w:bottom w:val="single" w:sz="8" w:space="0" w:color="5B9BD5" w:themeColor="accent5"/>
        <w:right w:val="single" w:sz="8" w:space="0" w:color="5B9BD5"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customStyle="1" w:styleId="LightGrid-Accent11">
    <w:name w:val="Light Grid - Accent 11"/>
    <w:uiPriority w:val="62"/>
    <w:pPr>
      <w:spacing w:after="0" w:line="240" w:lineRule="auto"/>
    </w:pPr>
    <w:tblPr>
      <w:tblStyleRowBandSize w:val="1"/>
      <w:tblStyleColBandSize w:val="1"/>
      <w:tblInd w:w="0" w:type="dxa"/>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customStyle="1" w:styleId="LightList-Accent11">
    <w:name w:val="Light List - Accent 11"/>
    <w:uiPriority w:val="61"/>
    <w:pPr>
      <w:spacing w:after="0" w:line="240" w:lineRule="auto"/>
    </w:pPr>
    <w:tblPr>
      <w:tblStyleRowBandSize w:val="1"/>
      <w:tblStyleColBandSize w:val="1"/>
      <w:tblInd w:w="0" w:type="dxa"/>
      <w:tblBorders>
        <w:top w:val="single" w:sz="8" w:space="0" w:color="4472C4" w:themeColor="accent1"/>
        <w:left w:val="single" w:sz="8" w:space="0" w:color="4472C4" w:themeColor="accent1"/>
        <w:bottom w:val="single" w:sz="8" w:space="0" w:color="4472C4" w:themeColor="accent1"/>
        <w:right w:val="single" w:sz="8" w:space="0" w:color="4472C4"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TOCHeading">
    <w:name w:val="TOC Heading"/>
    <w:basedOn w:val="Heading1"/>
    <w:next w:val="Normal"/>
    <w:uiPriority w:val="39"/>
    <w:unhideWhenUsed/>
    <w:qFormat/>
    <w:rPr>
      <w:b w:val="0"/>
      <w:bCs w:val="0"/>
      <w:sz w:val="32"/>
      <w:szCs w:val="3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table" w:styleId="LightShading-Accent5">
    <w:name w:val="Light Shading Accent 5"/>
    <w:uiPriority w:val="60"/>
    <w:pPr>
      <w:spacing w:after="0" w:line="240" w:lineRule="auto"/>
    </w:pPr>
    <w:rPr>
      <w:color w:val="2E74B5" w:themeColor="accent5" w:themeShade="BF"/>
      <w:sz w:val="20"/>
      <w:szCs w:val="20"/>
    </w:rPr>
    <w:tblPr>
      <w:tblStyleRowBandSize w:val="1"/>
      <w:tblStyleColBandSize w:val="1"/>
      <w:tblInd w:w="0" w:type="dxa"/>
      <w:tblBorders>
        <w:top w:val="single" w:sz="8" w:space="0" w:color="5B9BD5" w:themeColor="accent5"/>
        <w:bottom w:val="single" w:sz="8" w:space="0" w:color="5B9BD5"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Grid-Accent5">
    <w:name w:val="Light Grid Accent 5"/>
    <w:uiPriority w:val="62"/>
    <w:pPr>
      <w:spacing w:after="0" w:line="240" w:lineRule="auto"/>
    </w:pPr>
    <w:tblPr>
      <w:tblStyleRowBandSize w:val="1"/>
      <w:tblStyleColBandSize w:val="1"/>
      <w:tblInd w:w="0" w:type="dxa"/>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MediumShading1-Accent5">
    <w:name w:val="Medium Shading 1 Accent 5"/>
    <w:uiPriority w:val="63"/>
    <w:pPr>
      <w:spacing w:after="0" w:line="240" w:lineRule="auto"/>
    </w:pPr>
    <w:tblPr>
      <w:tblStyleRowBandSize w:val="1"/>
      <w:tblStyleColBandSize w:val="1"/>
      <w:tblInd w:w="0" w:type="dxa"/>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ColorfulShading-Accent5">
    <w:name w:val="Colorful Shading Accent 5"/>
    <w:uiPriority w:val="71"/>
    <w:pPr>
      <w:spacing w:after="0" w:line="240" w:lineRule="auto"/>
    </w:pPr>
    <w:rPr>
      <w:color w:val="000000" w:themeColor="text1"/>
      <w:sz w:val="20"/>
      <w:szCs w:val="20"/>
    </w:rPr>
    <w:tblPr>
      <w:tblStyleRowBandSize w:val="1"/>
      <w:tblStyleColBandSize w:val="1"/>
      <w:tblInd w:w="0" w:type="dxa"/>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uiPriority w:val="71"/>
    <w:pPr>
      <w:spacing w:after="0" w:line="240" w:lineRule="auto"/>
    </w:pPr>
    <w:rPr>
      <w:color w:val="000000" w:themeColor="text1"/>
      <w:sz w:val="20"/>
      <w:szCs w:val="20"/>
    </w:rPr>
    <w:tblPr>
      <w:tblStyleRowBandSize w:val="1"/>
      <w:tblStyleColBandSize w:val="1"/>
      <w:tblInd w:w="0" w:type="dxa"/>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paragraph" w:styleId="Bibliography">
    <w:name w:val="Bibliography"/>
    <w:basedOn w:val="Normal"/>
    <w:uiPriority w:val="99"/>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17</Pages>
  <Words>5002</Words>
  <Characters>28514</Characters>
  <Application>Microsoft Office Word</Application>
  <DocSecurity>0</DocSecurity>
  <Lines>237</Lines>
  <Paragraphs>66</Paragraphs>
  <ScaleCrop>false</ScaleCrop>
  <Company/>
  <LinksUpToDate>false</LinksUpToDate>
  <CharactersWithSpaces>33450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Party Kids</dc:creator>
  <cp:lastModifiedBy>Ovidiu Crozolo</cp:lastModifiedBy>
  <cp:revision>2</cp:revision>
  <dcterms:created xsi:type="dcterms:W3CDTF">2025-02-28T20:22:00Z</dcterms:created>
  <dcterms:modified xsi:type="dcterms:W3CDTF">2025-02-28T20:24:00Z</dcterms:modified>
</cp:coreProperties>
</file>