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Trebuchet MS" w:cs="Arial Unicode MS" w:hAnsi="Trebuchet MS"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pPr>
      <w:r>
        <w:rPr>
          <w:rFonts w:ascii="Georgia" w:cs="Arial Unicode MS" w:hAnsi="Georgia" w:eastAsia="Arial Unicode MS"/>
          <w:b w:val="0"/>
          <w:bCs w:val="0"/>
          <w:i w:val="0"/>
          <w:iCs w:val="0"/>
          <w:caps w:val="0"/>
          <w:smallCaps w:val="0"/>
          <w:strike w:val="0"/>
          <w:dstrike w:val="0"/>
          <w:outline w:val="0"/>
          <w:color w:val="000000"/>
          <w:spacing w:val="0"/>
          <w:kern w:val="0"/>
          <w:position w:val="0"/>
          <w:sz w:val="21"/>
          <w:szCs w:val="21"/>
          <w:u w:val="none" w:color="000000"/>
          <w:vertAlign w:val="baseline"/>
          <w:rtl w:val="0"/>
          <w:lang w:val="en-US"/>
        </w:rPr>
        <w:drawing>
          <wp:inline distT="0" distB="0" distL="0" distR="0">
            <wp:extent cx="2877973" cy="1048512"/>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TSD_logo2010.png"/>
                    <pic:cNvPicPr>
                      <a:picLocks noChangeAspect="1"/>
                    </pic:cNvPicPr>
                  </pic:nvPicPr>
                  <pic:blipFill>
                    <a:blip r:embed="rId4">
                      <a:extLst/>
                    </a:blip>
                    <a:stretch>
                      <a:fillRect/>
                    </a:stretch>
                  </pic:blipFill>
                  <pic:spPr>
                    <a:xfrm>
                      <a:off x="0" y="0"/>
                      <a:ext cx="2877973" cy="1048512"/>
                    </a:xfrm>
                    <a:prstGeom prst="rect">
                      <a:avLst/>
                    </a:prstGeom>
                    <a:ln w="19050" cap="flat">
                      <a:solidFill>
                        <a:srgbClr val="000000"/>
                      </a:solidFill>
                      <a:prstDash val="solid"/>
                      <a:round/>
                    </a:ln>
                    <a:effectLst/>
                  </pic:spPr>
                </pic:pic>
              </a:graphicData>
            </a:graphic>
          </wp:inline>
        </w:drawing>
      </w:r>
    </w:p>
    <w:p>
      <w:pPr>
        <w:pStyle w:val="Heading"/>
        <w:bidi w:val="0"/>
        <w:spacing w:before="240" w:after="60"/>
        <w:ind w:left="0" w:right="0" w:firstLine="0"/>
        <w:jc w:val="center"/>
        <w:rPr>
          <w:rFonts w:ascii="Arial" w:cs="Arial" w:hAnsi="Arial" w:eastAsia="Arial"/>
          <w:kern w:val="32"/>
          <w:sz w:val="32"/>
          <w:szCs w:val="32"/>
          <w:u w:color="000000"/>
          <w:rtl w:val="0"/>
        </w:rPr>
      </w:pPr>
      <w:r>
        <w:rPr>
          <w:rFonts w:ascii="Arial" w:hAnsi="Arial"/>
          <w:kern w:val="32"/>
          <w:sz w:val="32"/>
          <w:szCs w:val="32"/>
          <w:u w:color="000000"/>
          <w:rtl w:val="0"/>
        </w:rPr>
        <w:t>Undergraduate assignment feedback form</w:t>
      </w:r>
    </w:p>
    <w:p>
      <w:pPr>
        <w:pStyle w:val="Body"/>
        <w:bidi w:val="0"/>
        <w:ind w:left="0" w:right="0" w:firstLine="0"/>
        <w:jc w:val="center"/>
        <w:rPr>
          <w:rFonts w:ascii="Arial" w:cs="Arial" w:hAnsi="Arial" w:eastAsia="Arial"/>
          <w:b w:val="1"/>
          <w:bCs w:val="1"/>
          <w:sz w:val="24"/>
          <w:szCs w:val="24"/>
          <w:u w:color="000000"/>
          <w:rtl w:val="0"/>
        </w:rPr>
      </w:pPr>
      <w:r>
        <w:rPr>
          <w:rFonts w:ascii="Arial" w:hAnsi="Arial"/>
          <w:b w:val="1"/>
          <w:bCs w:val="1"/>
          <w:sz w:val="24"/>
          <w:szCs w:val="24"/>
          <w:u w:color="000000"/>
          <w:rtl w:val="0"/>
        </w:rPr>
        <w:t>(to be completed by marker)</w:t>
      </w:r>
    </w:p>
    <w:p>
      <w:pPr>
        <w:pStyle w:val="Body"/>
        <w:bidi w:val="0"/>
        <w:ind w:left="0" w:right="0" w:firstLine="0"/>
        <w:jc w:val="center"/>
        <w:rPr>
          <w:rFonts w:ascii="Arial" w:cs="Arial" w:hAnsi="Arial" w:eastAsia="Arial"/>
          <w:b w:val="1"/>
          <w:bCs w:val="1"/>
          <w:sz w:val="24"/>
          <w:szCs w:val="24"/>
          <w:u w:color="000000"/>
          <w:rtl w:val="0"/>
        </w:rPr>
      </w:pPr>
    </w:p>
    <w:p>
      <w:pPr>
        <w:pStyle w:val="Heading 3"/>
        <w:pBdr>
          <w:top w:val="nil"/>
          <w:left w:val="nil"/>
          <w:bottom w:val="nil"/>
          <w:right w:val="nil"/>
        </w:pBdr>
        <w:bidi w:val="0"/>
        <w:spacing w:before="0" w:after="0" w:line="240" w:lineRule="auto"/>
        <w:ind w:left="720" w:right="0" w:firstLine="0"/>
        <w:jc w:val="both"/>
        <w:rPr>
          <w:rFonts w:ascii="Trebuchet MS" w:cs="Trebuchet MS" w:hAnsi="Trebuchet MS" w:eastAsia="Trebuchet MS"/>
          <w:b w:val="1"/>
          <w:bCs w:val="1"/>
          <w:spacing w:val="0"/>
          <w:sz w:val="20"/>
          <w:szCs w:val="20"/>
          <w:u w:color="000000"/>
          <w:rtl w:val="0"/>
          <w:lang w:val="en-US"/>
        </w:rPr>
      </w:pPr>
    </w:p>
    <w:tbl>
      <w:tblPr>
        <w:tblW w:w="8755"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788"/>
        <w:gridCol w:w="1980"/>
        <w:gridCol w:w="1987"/>
      </w:tblGrid>
      <w:tr>
        <w:tblPrEx>
          <w:shd w:val="clear" w:color="auto" w:fill="ced7e7"/>
        </w:tblPrEx>
        <w:trPr>
          <w:trHeight w:val="570" w:hRule="atLeast"/>
        </w:trPr>
        <w:tc>
          <w:tcPr>
            <w:tcW w:type="dxa" w:w="875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center"/>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rPr>
            </w:pPr>
            <w:r>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t>Student Name:</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t>Michelle Meunier</w:t>
            </w:r>
          </w:p>
        </w:tc>
      </w:tr>
      <w:tr>
        <w:tblPrEx>
          <w:shd w:val="clear" w:color="auto" w:fill="ced7e7"/>
        </w:tblPrEx>
        <w:trPr>
          <w:trHeight w:val="1410"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114"/>
            </w:tcMar>
            <w:vAlign w:val="center"/>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rPr>
            </w:pPr>
            <w:r>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t>Module Code:</w:t>
            </w:r>
            <w:r>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t>HUSK 6004</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t xml:space="preserve">Module title: </w:t>
            </w:r>
            <w:r>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t>Roderic Bowder Library and Archives</w:t>
            </w:r>
            <w:r>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Pr>
            </w:r>
          </w:p>
        </w:tc>
        <w:tc>
          <w:tcPr>
            <w:tcW w:type="dxa" w:w="396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t>1708714</w:t>
            </w:r>
          </w:p>
        </w:tc>
      </w:tr>
      <w:tr>
        <w:tblPrEx>
          <w:shd w:val="clear" w:color="auto" w:fill="ced7e7"/>
        </w:tblPrEx>
        <w:trPr>
          <w:trHeight w:val="4850" w:hRule="atLeast"/>
        </w:trPr>
        <w:tc>
          <w:tcPr>
            <w:tcW w:type="dxa" w:w="875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rPr>
            </w:pPr>
            <w:r>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t>For completion by marker:</w:t>
            </w: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rPr>
            </w:pPr>
            <w:r>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t>Comments:</w:t>
            </w: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pP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pP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pP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pP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pP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pP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pP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pP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pP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tl w:val="0"/>
              </w:rPr>
            </w:pPr>
            <w:r>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r>
          </w:p>
        </w:tc>
      </w:tr>
      <w:tr>
        <w:tblPrEx>
          <w:shd w:val="clear" w:color="auto" w:fill="ced7e7"/>
        </w:tblPrEx>
        <w:trPr>
          <w:trHeight w:val="342" w:hRule="atLeast"/>
        </w:trPr>
        <w:tc>
          <w:tcPr>
            <w:tcW w:type="dxa" w:w="676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222"/>
              <w:bottom w:type="dxa" w:w="80"/>
              <w:right w:type="dxa" w:w="114"/>
            </w:tcMar>
            <w:vAlign w:val="center"/>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t>Marker</w:t>
            </w:r>
            <w:r>
              <w:rPr>
                <w:rFonts w:ascii="Calibri" w:cs="Calibri" w:hAnsi="Calibri" w:eastAsia="Calibri" w:hint="default"/>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t>’</w:t>
            </w:r>
            <w:r>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t>s signature:</w:t>
            </w:r>
          </w:p>
        </w:tc>
        <w:tc>
          <w:tcPr>
            <w:tcW w:type="dxa" w:w="19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222"/>
              <w:bottom w:type="dxa" w:w="80"/>
              <w:right w:type="dxa" w:w="114"/>
            </w:tcMar>
            <w:vAlign w:val="center"/>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t>Date:</w:t>
            </w:r>
          </w:p>
        </w:tc>
      </w:tr>
      <w:tr>
        <w:tblPrEx>
          <w:shd w:val="clear" w:color="auto" w:fill="ced7e7"/>
        </w:tblPrEx>
        <w:trPr>
          <w:trHeight w:val="850" w:hRule="atLeast"/>
        </w:trPr>
        <w:tc>
          <w:tcPr>
            <w:tcW w:type="dxa" w:w="875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center"/>
          </w:tcPr>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rPr>
            </w:pPr>
            <w:r>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t xml:space="preserve">Provisional mark: </w:t>
            </w: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tl w:val="0"/>
              </w:rPr>
            </w:pPr>
            <w:r>
              <w:rPr>
                <w:rFonts w:ascii="Calibri" w:cs="Calibri" w:hAnsi="Calibri" w:eastAsia="Calibri"/>
                <w:b w:val="1"/>
                <w:bCs w:val="1"/>
                <w:i w:val="1"/>
                <w:iCs w:val="1"/>
                <w:caps w:val="0"/>
                <w:smallCaps w:val="0"/>
                <w:strike w:val="0"/>
                <w:dstrike w:val="0"/>
                <w:outline w:val="0"/>
                <w:color w:val="000000"/>
                <w:spacing w:val="0"/>
                <w:kern w:val="0"/>
                <w:position w:val="0"/>
                <w:sz w:val="24"/>
                <w:szCs w:val="24"/>
                <w:u w:val="none" w:color="000000"/>
                <w:vertAlign w:val="baseline"/>
                <w:rtl w:val="0"/>
                <w:lang w:val="en-US"/>
              </w:rPr>
              <w:t>NB.</w:t>
            </w:r>
            <w:r>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t xml:space="preserve">  All marks are provisional until confirmed by the final examination board. </w:t>
            </w:r>
          </w:p>
        </w:tc>
      </w:tr>
    </w:tbl>
    <w:p>
      <w:pPr>
        <w:pStyle w:val="Heading 3"/>
        <w:widowControl w:val="0"/>
        <w:pBdr>
          <w:top w:val="nil"/>
          <w:left w:val="nil"/>
          <w:bottom w:val="nil"/>
          <w:right w:val="nil"/>
        </w:pBdr>
        <w:bidi w:val="0"/>
        <w:spacing w:before="0" w:after="0" w:line="240" w:lineRule="auto"/>
        <w:ind w:left="0" w:right="0" w:firstLine="0"/>
        <w:jc w:val="both"/>
        <w:rPr>
          <w:rFonts w:ascii="Trebuchet MS" w:cs="Trebuchet MS" w:hAnsi="Trebuchet MS" w:eastAsia="Trebuchet MS"/>
          <w:b w:val="1"/>
          <w:bCs w:val="1"/>
          <w:spacing w:val="0"/>
          <w:sz w:val="20"/>
          <w:szCs w:val="20"/>
          <w:u w:color="000000"/>
          <w:rtl w:val="0"/>
          <w:lang w:val="en-US"/>
        </w:rPr>
      </w:pPr>
    </w:p>
    <w:p>
      <w:pPr>
        <w:pStyle w:val="Heading 3"/>
        <w:widowControl w:val="0"/>
        <w:pBdr>
          <w:top w:val="nil"/>
          <w:left w:val="nil"/>
          <w:bottom w:val="nil"/>
          <w:right w:val="nil"/>
        </w:pBdr>
        <w:bidi w:val="0"/>
        <w:spacing w:before="0" w:after="0" w:line="240" w:lineRule="auto"/>
        <w:ind w:left="0" w:right="0" w:firstLine="0"/>
        <w:jc w:val="both"/>
        <w:rPr>
          <w:rFonts w:ascii="Arial" w:cs="Arial" w:hAnsi="Arial" w:eastAsia="Arial"/>
          <w:b w:val="1"/>
          <w:bCs w:val="1"/>
          <w:spacing w:val="0"/>
          <w:sz w:val="20"/>
          <w:szCs w:val="20"/>
          <w:u w:color="000000"/>
          <w:rtl w:val="0"/>
          <w:lang w:val="en-US"/>
        </w:rPr>
      </w:pPr>
    </w:p>
    <w:p>
      <w:pPr>
        <w:pStyle w:val="Body"/>
        <w:bidi w:val="0"/>
        <w:ind w:left="0" w:right="0" w:firstLine="0"/>
        <w:jc w:val="center"/>
        <w:rPr>
          <w:rFonts w:ascii="Arial" w:cs="Arial" w:hAnsi="Arial" w:eastAsia="Arial"/>
          <w:b w:val="1"/>
          <w:bCs w:val="1"/>
          <w:sz w:val="24"/>
          <w:szCs w:val="24"/>
          <w:u w:color="000000"/>
          <w:rtl w:val="0"/>
        </w:rPr>
      </w:pPr>
    </w:p>
    <w:p>
      <w:pPr>
        <w:pStyle w:val="Heading 3"/>
        <w:widowControl w:val="0"/>
        <w:pBdr>
          <w:top w:val="nil"/>
          <w:left w:val="nil"/>
          <w:bottom w:val="nil"/>
          <w:right w:val="nil"/>
        </w:pBdr>
        <w:bidi w:val="0"/>
        <w:spacing w:before="0" w:after="0" w:line="240" w:lineRule="auto"/>
        <w:ind w:left="0" w:right="0" w:firstLine="0"/>
        <w:jc w:val="both"/>
        <w:rPr>
          <w:rtl w:val="0"/>
        </w:rPr>
      </w:pPr>
      <w:r>
        <w:rPr>
          <w:rFonts w:ascii="Arial Unicode MS" w:cs="Arial Unicode MS" w:hAnsi="Arial Unicode MS" w:eastAsia="Arial Unicode MS"/>
          <w:b w:val="0"/>
          <w:bCs w:val="0"/>
          <w:i w:val="0"/>
          <w:iCs w:val="0"/>
          <w:spacing w:val="0"/>
          <w:sz w:val="20"/>
          <w:szCs w:val="20"/>
          <w:u w:color="000000"/>
          <w:rtl w:val="0"/>
          <w:lang w:val="en-US"/>
        </w:rPr>
        <w:br w:type="page"/>
      </w:r>
    </w:p>
    <w:p>
      <w:pPr>
        <w:pStyle w:val="Body"/>
        <w:bidi w:val="0"/>
      </w:pPr>
    </w:p>
    <w:p>
      <w:pPr>
        <w:pStyle w:val="Subtitle"/>
        <w:bidi w:val="0"/>
      </w:pPr>
      <w:r>
        <w:rPr>
          <w:rtl w:val="0"/>
        </w:rPr>
        <w:t xml:space="preserve">Finding Aid </w:t>
      </w:r>
    </w:p>
    <w:p>
      <w:pPr>
        <w:pStyle w:val="Body"/>
        <w:bidi w:val="0"/>
      </w:pPr>
    </w:p>
    <w:p>
      <w:pPr>
        <w:pStyle w:val="Heading"/>
        <w:bidi w:val="0"/>
      </w:pPr>
      <w:r>
        <w:rPr>
          <w:rtl w:val="0"/>
          <w:lang w:val="en-US"/>
        </w:rPr>
        <w:t>Image One</w:t>
      </w:r>
    </w:p>
    <w:p>
      <w:pPr>
        <w:pStyle w:val="Body"/>
        <w:bidi w:val="0"/>
      </w:pPr>
    </w:p>
    <w:p>
      <w:pPr>
        <w:pStyle w:val="Heading 3"/>
        <w:bidi w:val="0"/>
      </w:pPr>
      <w:r>
        <w:rPr>
          <w:rFonts w:cs="Arial Unicode MS" w:eastAsia="Arial Unicode MS"/>
          <w:rtl w:val="0"/>
          <w:lang w:val="en-US"/>
        </w:rPr>
        <w:t>Description</w:t>
      </w:r>
    </w:p>
    <w:p>
      <w:pPr>
        <w:pStyle w:val="Body"/>
        <w:bidi w:val="0"/>
      </w:pPr>
    </w:p>
    <w:p>
      <w:pPr>
        <w:pStyle w:val="Body"/>
        <w:bidi w:val="0"/>
      </w:pPr>
      <w:r>
        <w:rPr>
          <w:rtl w:val="0"/>
          <w:lang w:val="en-US"/>
        </w:rPr>
        <w:t>Tabe i of Bernard Siegfried Albinus</w:t>
      </w:r>
      <w:r>
        <w:rPr>
          <w:rtl w:val="0"/>
          <w:lang w:val="en-US"/>
        </w:rPr>
        <w:t xml:space="preserve">’ </w:t>
      </w:r>
      <w:r>
        <w:rPr>
          <w:rtl w:val="0"/>
          <w:lang w:val="en-US"/>
        </w:rPr>
        <w:t xml:space="preserve">Tables of the Skeleton and the Muscle of the Human Body (Edinburgh, Andrew Bell 1777) being the anatomical table of a human skeleton, presenting a front view with one arm raised, minimal 3D details. </w:t>
      </w:r>
    </w:p>
    <w:p>
      <w:pPr>
        <w:pStyle w:val="Body"/>
        <w:bidi w:val="0"/>
      </w:pPr>
    </w:p>
    <w:p>
      <w:pPr>
        <w:pStyle w:val="Heading 3"/>
        <w:bidi w:val="0"/>
      </w:pPr>
      <w:r>
        <w:rPr>
          <w:rFonts w:cs="Arial Unicode MS" w:eastAsia="Arial Unicode MS"/>
          <w:rtl w:val="0"/>
          <w:lang w:val="en-US"/>
        </w:rPr>
        <w:t xml:space="preserve">Call Number </w:t>
      </w:r>
    </w:p>
    <w:p>
      <w:pPr>
        <w:pStyle w:val="Body"/>
        <w:bidi w:val="0"/>
      </w:pPr>
      <w:r>
        <w:rPr>
          <w:rtl w:val="0"/>
          <w:lang w:val="en-US"/>
        </w:rPr>
        <w:t>PHI 00324</w:t>
      </w:r>
    </w:p>
    <w:p>
      <w:pPr>
        <w:pStyle w:val="Body"/>
        <w:bidi w:val="0"/>
      </w:pPr>
    </w:p>
    <w:p>
      <w:pPr>
        <w:pStyle w:val="Heading 3"/>
        <w:bidi w:val="0"/>
      </w:pPr>
      <w:r>
        <w:rPr>
          <w:rFonts w:cs="Arial Unicode MS" w:eastAsia="Arial Unicode MS"/>
          <w:rtl w:val="0"/>
          <w:lang w:val="en-US"/>
        </w:rPr>
        <w:t xml:space="preserve">Inscription </w:t>
      </w:r>
    </w:p>
    <w:p>
      <w:pPr>
        <w:pStyle w:val="Body"/>
        <w:bidi w:val="0"/>
      </w:pPr>
    </w:p>
    <w:p>
      <w:pPr>
        <w:pStyle w:val="Body"/>
        <w:bidi w:val="0"/>
      </w:pPr>
      <w:r>
        <w:rPr>
          <w:rtl w:val="0"/>
          <w:lang w:val="en-US"/>
        </w:rPr>
        <w:t xml:space="preserve">Title Inscription: TAB. I </w:t>
      </w:r>
    </w:p>
    <w:p>
      <w:pPr>
        <w:pStyle w:val="Body"/>
        <w:bidi w:val="0"/>
      </w:pPr>
      <w:r>
        <w:rPr>
          <w:rtl w:val="0"/>
          <w:lang w:val="en-US"/>
        </w:rPr>
        <w:t xml:space="preserve">Lettered keying mechanism on skeleton (with desertions on the following two pages, not visible on illustration)  </w:t>
      </w:r>
    </w:p>
    <w:p>
      <w:pPr>
        <w:pStyle w:val="Body"/>
        <w:bidi w:val="0"/>
      </w:pPr>
      <w:r>
        <w:rPr>
          <w:rtl w:val="0"/>
          <w:lang w:val="en-US"/>
        </w:rPr>
        <w:t xml:space="preserve">Signature: A Bell Sculpt </w:t>
      </w:r>
    </w:p>
    <w:p>
      <w:pPr>
        <w:pStyle w:val="Body"/>
        <w:bidi w:val="0"/>
      </w:pPr>
    </w:p>
    <w:p>
      <w:pPr>
        <w:pStyle w:val="Heading 3"/>
        <w:bidi w:val="0"/>
      </w:pPr>
      <w:r>
        <w:rPr>
          <w:rFonts w:cs="Arial Unicode MS" w:eastAsia="Arial Unicode MS"/>
          <w:rtl w:val="0"/>
          <w:lang w:val="en-US"/>
        </w:rPr>
        <w:t xml:space="preserve">Production </w:t>
      </w:r>
    </w:p>
    <w:p>
      <w:pPr>
        <w:pStyle w:val="Body"/>
        <w:bidi w:val="0"/>
      </w:pPr>
      <w:r>
        <w:rPr>
          <w:rtl w:val="0"/>
          <w:lang w:val="en-US"/>
        </w:rPr>
        <w:t xml:space="preserve">Engraver: Andrew Bell </w:t>
      </w:r>
    </w:p>
    <w:p>
      <w:pPr>
        <w:pStyle w:val="Body"/>
        <w:bidi w:val="0"/>
      </w:pPr>
    </w:p>
    <w:p>
      <w:pPr>
        <w:pStyle w:val="Heading 3"/>
        <w:bidi w:val="0"/>
      </w:pPr>
      <w:r>
        <w:rPr>
          <w:rFonts w:cs="Arial Unicode MS" w:eastAsia="Arial Unicode MS"/>
          <w:rtl w:val="0"/>
          <w:lang w:val="en-US"/>
        </w:rPr>
        <w:t>Comments</w:t>
      </w:r>
    </w:p>
    <w:p>
      <w:pPr>
        <w:pStyle w:val="Body"/>
        <w:bidi w:val="0"/>
      </w:pPr>
      <w:r>
        <w:rPr>
          <w:rtl w:val="0"/>
          <w:lang w:val="en-US"/>
        </w:rPr>
        <w:t xml:space="preserve">Tables of the Skeleton and Muscle of the Human Body by Bernard Albinus is a streamlined and compacted version of a much larger production by the same name. The images have been scaled down and all backgrounds to the anatomical images have been removed. </w:t>
      </w:r>
    </w:p>
    <w:p>
      <w:pPr>
        <w:pStyle w:val="Body"/>
        <w:bidi w:val="0"/>
      </w:pPr>
    </w:p>
    <w:p>
      <w:pPr>
        <w:pStyle w:val="Heading 3"/>
        <w:bidi w:val="0"/>
      </w:pPr>
      <w:r>
        <w:rPr>
          <w:rFonts w:cs="Arial Unicode MS" w:eastAsia="Arial Unicode MS"/>
          <w:rtl w:val="0"/>
          <w:lang w:val="en-US"/>
        </w:rPr>
        <w:t xml:space="preserve">Subjects </w:t>
      </w:r>
    </w:p>
    <w:p>
      <w:pPr>
        <w:pStyle w:val="Body"/>
        <w:bidi w:val="0"/>
      </w:pPr>
      <w:r>
        <w:rPr>
          <w:rtl w:val="0"/>
          <w:lang w:val="en-US"/>
        </w:rPr>
        <w:t xml:space="preserve">Human Being - Human Body - Human Anatomy - Skeleton </w:t>
      </w:r>
    </w:p>
    <w:p>
      <w:pPr>
        <w:pStyle w:val="Body"/>
        <w:bidi w:val="0"/>
      </w:pPr>
      <w:r>
        <w:rPr>
          <w:rtl w:val="0"/>
          <w:lang w:val="en-US"/>
        </w:rPr>
        <w:t>Medicine</w:t>
      </w:r>
    </w:p>
    <w:p>
      <w:pPr>
        <w:pStyle w:val="Body"/>
        <w:bidi w:val="0"/>
      </w:pPr>
      <w:r>
        <w:rPr>
          <w:rtl w:val="0"/>
          <w:lang w:val="en-US"/>
        </w:rPr>
        <w:t xml:space="preserve">Anatomical Studies </w:t>
      </w:r>
    </w:p>
    <w:p>
      <w:pPr>
        <w:pStyle w:val="Body"/>
        <w:bidi w:val="0"/>
      </w:pPr>
    </w:p>
    <w:p>
      <w:pPr>
        <w:pStyle w:val="Body"/>
        <w:bidi w:val="0"/>
      </w:pPr>
    </w:p>
    <w:p>
      <w:pPr>
        <w:pStyle w:val="Heading"/>
        <w:bidi w:val="0"/>
      </w:pPr>
      <w:r>
        <w:rPr>
          <w:rtl w:val="0"/>
          <w:lang w:val="en-US"/>
        </w:rPr>
        <w:t xml:space="preserve">Image Two </w:t>
      </w:r>
    </w:p>
    <w:p>
      <w:pPr>
        <w:pStyle w:val="Body"/>
        <w:bidi w:val="0"/>
      </w:pPr>
    </w:p>
    <w:p>
      <w:pPr>
        <w:pStyle w:val="Heading 3"/>
        <w:bidi w:val="0"/>
      </w:pPr>
      <w:r>
        <w:rPr>
          <w:rFonts w:cs="Arial Unicode MS" w:eastAsia="Arial Unicode MS"/>
          <w:rtl w:val="0"/>
          <w:lang w:val="en-US"/>
        </w:rPr>
        <w:t xml:space="preserve">Description </w:t>
      </w:r>
    </w:p>
    <w:p>
      <w:pPr>
        <w:pStyle w:val="Body"/>
        <w:bidi w:val="0"/>
      </w:pPr>
      <w:r>
        <w:rPr>
          <w:rtl w:val="0"/>
          <w:lang w:val="en-US"/>
        </w:rPr>
        <w:t xml:space="preserve">Plate 2 of Tables of the skeleton and Muscle of the Human Body by Bernard Albinus (Edinburgh, Andrew Bell) being a second version of the first plate. Showing the 3D aspects of the front view of a human skeleton with one arm raised. </w:t>
      </w:r>
    </w:p>
    <w:p>
      <w:pPr>
        <w:pStyle w:val="Body"/>
        <w:bidi w:val="0"/>
      </w:pPr>
    </w:p>
    <w:p>
      <w:pPr>
        <w:pStyle w:val="Heading 3"/>
        <w:bidi w:val="0"/>
      </w:pPr>
      <w:r>
        <w:rPr>
          <w:rFonts w:cs="Arial Unicode MS" w:eastAsia="Arial Unicode MS"/>
          <w:rtl w:val="0"/>
          <w:lang w:val="en-US"/>
        </w:rPr>
        <w:t xml:space="preserve">Call Number </w:t>
      </w:r>
    </w:p>
    <w:p>
      <w:pPr>
        <w:pStyle w:val="Body"/>
        <w:bidi w:val="0"/>
      </w:pPr>
      <w:r>
        <w:rPr>
          <w:rtl w:val="0"/>
          <w:lang w:val="en-US"/>
        </w:rPr>
        <w:t xml:space="preserve">PHI 00324 </w:t>
      </w:r>
    </w:p>
    <w:p>
      <w:pPr>
        <w:pStyle w:val="Body"/>
        <w:bidi w:val="0"/>
      </w:pPr>
    </w:p>
    <w:p>
      <w:pPr>
        <w:pStyle w:val="Heading 3"/>
        <w:bidi w:val="0"/>
      </w:pPr>
      <w:r>
        <w:rPr>
          <w:rFonts w:cs="Arial Unicode MS" w:eastAsia="Arial Unicode MS"/>
          <w:rtl w:val="0"/>
          <w:lang w:val="en-US"/>
        </w:rPr>
        <w:t xml:space="preserve">Inscription </w:t>
      </w:r>
    </w:p>
    <w:p>
      <w:pPr>
        <w:pStyle w:val="Body"/>
        <w:bidi w:val="0"/>
      </w:pPr>
    </w:p>
    <w:p>
      <w:pPr>
        <w:pStyle w:val="Body"/>
        <w:bidi w:val="0"/>
      </w:pPr>
      <w:r>
        <w:rPr>
          <w:rtl w:val="0"/>
          <w:lang w:val="en-US"/>
        </w:rPr>
        <w:t>Tilte Inscription at head of page: TAB I</w:t>
      </w:r>
    </w:p>
    <w:p>
      <w:pPr>
        <w:pStyle w:val="Body"/>
        <w:bidi w:val="0"/>
      </w:pPr>
      <w:r>
        <w:rPr>
          <w:rtl w:val="0"/>
          <w:lang w:val="en-US"/>
        </w:rPr>
        <w:t xml:space="preserve">Signature: A Bell S.A.S.S. PRINCT&gt; SCOT &amp; WAL. SCULPTOR </w:t>
      </w:r>
    </w:p>
    <w:p>
      <w:pPr>
        <w:pStyle w:val="Body"/>
        <w:bidi w:val="0"/>
      </w:pPr>
    </w:p>
    <w:p>
      <w:pPr>
        <w:pStyle w:val="Heading 3"/>
        <w:bidi w:val="0"/>
      </w:pPr>
      <w:r>
        <w:rPr>
          <w:rFonts w:cs="Arial Unicode MS" w:eastAsia="Arial Unicode MS"/>
          <w:rtl w:val="0"/>
          <w:lang w:val="en-US"/>
        </w:rPr>
        <w:t xml:space="preserve">Production </w:t>
      </w:r>
    </w:p>
    <w:p>
      <w:pPr>
        <w:pStyle w:val="Body"/>
        <w:bidi w:val="0"/>
      </w:pPr>
      <w:r>
        <w:rPr>
          <w:rtl w:val="0"/>
          <w:lang w:val="en-US"/>
        </w:rPr>
        <w:t xml:space="preserve">Engraver: Andrew Bell </w:t>
      </w:r>
    </w:p>
    <w:p>
      <w:pPr>
        <w:pStyle w:val="Body"/>
        <w:bidi w:val="0"/>
      </w:pPr>
    </w:p>
    <w:p>
      <w:pPr>
        <w:pStyle w:val="Heading 3"/>
        <w:bidi w:val="0"/>
      </w:pPr>
      <w:r>
        <w:rPr>
          <w:rFonts w:cs="Arial Unicode MS" w:eastAsia="Arial Unicode MS"/>
          <w:rtl w:val="0"/>
          <w:lang w:val="en-US"/>
        </w:rPr>
        <w:t>Comments</w:t>
      </w:r>
    </w:p>
    <w:p>
      <w:pPr>
        <w:pStyle w:val="Body"/>
        <w:bidi w:val="0"/>
      </w:pPr>
      <w:r>
        <w:rPr>
          <w:rtl w:val="0"/>
          <w:lang w:val="en-US"/>
        </w:rPr>
        <w:t xml:space="preserve">Tables of the Skeleton and Muscle of the Human Body by Bernard Albinus is a streamlined and compacted version of a much larger production by the same name. The images have been scaled down and all backgrounds to the anatomical images have been removed. </w:t>
      </w:r>
    </w:p>
    <w:p>
      <w:pPr>
        <w:pStyle w:val="Body"/>
        <w:bidi w:val="0"/>
      </w:pPr>
    </w:p>
    <w:p>
      <w:pPr>
        <w:pStyle w:val="Heading 3"/>
        <w:bidi w:val="0"/>
      </w:pPr>
      <w:r>
        <w:rPr>
          <w:rFonts w:cs="Arial Unicode MS" w:eastAsia="Arial Unicode MS"/>
          <w:rtl w:val="0"/>
          <w:lang w:val="en-US"/>
        </w:rPr>
        <w:t xml:space="preserve">Subjects </w:t>
      </w:r>
    </w:p>
    <w:p>
      <w:pPr>
        <w:pStyle w:val="Body"/>
        <w:bidi w:val="0"/>
      </w:pPr>
      <w:r>
        <w:rPr>
          <w:rtl w:val="0"/>
          <w:lang w:val="en-US"/>
        </w:rPr>
        <w:t xml:space="preserve">Human Being - Human Body - Human Anatomy - Skeleton </w:t>
      </w:r>
    </w:p>
    <w:p>
      <w:pPr>
        <w:pStyle w:val="Body"/>
        <w:bidi w:val="0"/>
      </w:pPr>
      <w:r>
        <w:rPr>
          <w:rtl w:val="0"/>
          <w:lang w:val="en-US"/>
        </w:rPr>
        <w:t>Medicine</w:t>
      </w:r>
    </w:p>
    <w:p>
      <w:pPr>
        <w:pStyle w:val="Body"/>
        <w:bidi w:val="0"/>
      </w:pPr>
      <w:r>
        <w:rPr>
          <w:rtl w:val="0"/>
          <w:lang w:val="en-US"/>
        </w:rPr>
        <w:t xml:space="preserve">Anatomical Studies </w:t>
      </w:r>
    </w:p>
    <w:p>
      <w:pPr>
        <w:pStyle w:val="Body"/>
        <w:bidi w:val="0"/>
      </w:pPr>
    </w:p>
    <w:p>
      <w:pPr>
        <w:pStyle w:val="Body"/>
        <w:bidi w:val="0"/>
      </w:pPr>
    </w:p>
    <w:p>
      <w:pPr>
        <w:pStyle w:val="Heading"/>
        <w:bidi w:val="0"/>
      </w:pPr>
      <w:r>
        <w:rPr>
          <w:rtl w:val="0"/>
          <w:lang w:val="en-US"/>
        </w:rPr>
        <w:t xml:space="preserve">Image 3 </w:t>
      </w:r>
    </w:p>
    <w:p>
      <w:pPr>
        <w:pStyle w:val="Body"/>
        <w:bidi w:val="0"/>
      </w:pPr>
    </w:p>
    <w:p>
      <w:pPr>
        <w:pStyle w:val="Heading 3"/>
        <w:bidi w:val="0"/>
      </w:pPr>
      <w:r>
        <w:rPr>
          <w:rFonts w:cs="Arial Unicode MS" w:eastAsia="Arial Unicode MS"/>
          <w:rtl w:val="0"/>
          <w:lang w:val="en-US"/>
        </w:rPr>
        <w:t xml:space="preserve">Description </w:t>
      </w:r>
    </w:p>
    <w:p>
      <w:pPr>
        <w:pStyle w:val="Body"/>
        <w:bidi w:val="0"/>
      </w:pPr>
      <w:r>
        <w:rPr>
          <w:rtl w:val="0"/>
          <w:lang w:val="en-US"/>
        </w:rPr>
        <w:t xml:space="preserve">Pate 3 of Tables of the Skeleton and Muscle of the Human Body by Bernard Albinus,( Edinburgh, Andrew Bell), being a back view of a human skeleton with one arm raised. Minimal detail is used to illustrate the 3D nature of the subject. </w:t>
      </w:r>
    </w:p>
    <w:p>
      <w:pPr>
        <w:pStyle w:val="Body"/>
        <w:bidi w:val="0"/>
      </w:pPr>
    </w:p>
    <w:p>
      <w:pPr>
        <w:pStyle w:val="Heading 3"/>
        <w:bidi w:val="0"/>
      </w:pPr>
      <w:r>
        <w:rPr>
          <w:rFonts w:cs="Arial Unicode MS" w:eastAsia="Arial Unicode MS"/>
          <w:rtl w:val="0"/>
          <w:lang w:val="en-US"/>
        </w:rPr>
        <w:t xml:space="preserve">Call Number </w:t>
      </w:r>
    </w:p>
    <w:p>
      <w:pPr>
        <w:pStyle w:val="Body"/>
        <w:bidi w:val="0"/>
      </w:pPr>
      <w:r>
        <w:rPr>
          <w:rtl w:val="0"/>
          <w:lang w:val="en-US"/>
        </w:rPr>
        <w:t xml:space="preserve">PHI 00324 </w:t>
      </w:r>
    </w:p>
    <w:p>
      <w:pPr>
        <w:pStyle w:val="Body"/>
        <w:bidi w:val="0"/>
      </w:pPr>
    </w:p>
    <w:p>
      <w:pPr>
        <w:pStyle w:val="Heading 3"/>
        <w:bidi w:val="0"/>
      </w:pPr>
      <w:r>
        <w:rPr>
          <w:rFonts w:cs="Arial Unicode MS" w:eastAsia="Arial Unicode MS"/>
          <w:rtl w:val="0"/>
          <w:lang w:val="en-US"/>
        </w:rPr>
        <w:t xml:space="preserve">Inscriptions </w:t>
      </w:r>
    </w:p>
    <w:p>
      <w:pPr>
        <w:pStyle w:val="Body"/>
        <w:bidi w:val="0"/>
      </w:pPr>
      <w:r>
        <w:rPr>
          <w:rtl w:val="0"/>
          <w:lang w:val="en-US"/>
        </w:rPr>
        <w:t xml:space="preserve">Title inscription at head: TAB. II </w:t>
      </w:r>
    </w:p>
    <w:p>
      <w:pPr>
        <w:pStyle w:val="Body"/>
        <w:bidi w:val="0"/>
      </w:pPr>
      <w:r>
        <w:rPr>
          <w:rtl w:val="0"/>
          <w:lang w:val="en-US"/>
        </w:rPr>
        <w:t xml:space="preserve">Letter keying mechanism on Skeleton ( with descriptions on the following two pages, not visible on illustration) </w:t>
      </w:r>
    </w:p>
    <w:p>
      <w:pPr>
        <w:pStyle w:val="Body"/>
        <w:bidi w:val="0"/>
      </w:pPr>
      <w:r>
        <w:rPr>
          <w:rtl w:val="0"/>
          <w:lang w:val="en-US"/>
        </w:rPr>
        <w:t xml:space="preserve">Signature: A. Bell sculpt </w:t>
      </w:r>
    </w:p>
    <w:p>
      <w:pPr>
        <w:pStyle w:val="Body"/>
        <w:bidi w:val="0"/>
      </w:pPr>
    </w:p>
    <w:p>
      <w:pPr>
        <w:pStyle w:val="Heading 3"/>
        <w:bidi w:val="0"/>
      </w:pPr>
      <w:r>
        <w:rPr>
          <w:rFonts w:cs="Arial Unicode MS" w:eastAsia="Arial Unicode MS"/>
          <w:rtl w:val="0"/>
          <w:lang w:val="en-US"/>
        </w:rPr>
        <w:t xml:space="preserve">Production </w:t>
      </w:r>
    </w:p>
    <w:p>
      <w:pPr>
        <w:pStyle w:val="Body"/>
        <w:bidi w:val="0"/>
      </w:pPr>
      <w:r>
        <w:rPr>
          <w:rtl w:val="0"/>
          <w:lang w:val="en-US"/>
        </w:rPr>
        <w:t xml:space="preserve">Engraver Andrew Bell </w:t>
      </w:r>
    </w:p>
    <w:p>
      <w:pPr>
        <w:pStyle w:val="Body"/>
        <w:bidi w:val="0"/>
      </w:pPr>
    </w:p>
    <w:p>
      <w:pPr>
        <w:pStyle w:val="Heading 3"/>
        <w:bidi w:val="0"/>
      </w:pPr>
      <w:r>
        <w:rPr>
          <w:rFonts w:cs="Arial Unicode MS" w:eastAsia="Arial Unicode MS"/>
          <w:rtl w:val="0"/>
          <w:lang w:val="en-US"/>
        </w:rPr>
        <w:t xml:space="preserve">Comments </w:t>
      </w:r>
    </w:p>
    <w:p>
      <w:pPr>
        <w:pStyle w:val="Body"/>
        <w:bidi w:val="0"/>
      </w:pPr>
      <w:r>
        <w:rPr>
          <w:rtl w:val="0"/>
          <w:lang w:val="en-US"/>
        </w:rPr>
        <w:t xml:space="preserve">Tables of the Skeleton and Muscle of the Human Body by Bernard Albinus is a streamlined and compacted version of a much larger production by the same name. The images have been scaled down and all backgrounds to the anatomical images have been removed. Each image is repeated, once in a minimalist fashion with a battering key, and again with 3D details added without a letter key. </w:t>
      </w:r>
    </w:p>
    <w:p>
      <w:pPr>
        <w:pStyle w:val="Body"/>
        <w:bidi w:val="0"/>
      </w:pPr>
    </w:p>
    <w:p>
      <w:pPr>
        <w:pStyle w:val="Heading 3"/>
        <w:bidi w:val="0"/>
      </w:pPr>
      <w:r>
        <w:rPr>
          <w:rFonts w:cs="Arial Unicode MS" w:eastAsia="Arial Unicode MS"/>
          <w:rtl w:val="0"/>
          <w:lang w:val="en-US"/>
        </w:rPr>
        <w:t xml:space="preserve">Subjects </w:t>
      </w:r>
    </w:p>
    <w:p>
      <w:pPr>
        <w:pStyle w:val="Body"/>
        <w:bidi w:val="0"/>
      </w:pPr>
      <w:r>
        <w:rPr>
          <w:rtl w:val="0"/>
          <w:lang w:val="en-US"/>
        </w:rPr>
        <w:t xml:space="preserve">Human Being - Human Body - Human Anatomy - Skeleton </w:t>
      </w:r>
    </w:p>
    <w:p>
      <w:pPr>
        <w:pStyle w:val="Body"/>
        <w:bidi w:val="0"/>
      </w:pPr>
      <w:r>
        <w:rPr>
          <w:rtl w:val="0"/>
          <w:lang w:val="en-US"/>
        </w:rPr>
        <w:t>Medicine</w:t>
      </w:r>
    </w:p>
    <w:p>
      <w:pPr>
        <w:pStyle w:val="Body"/>
        <w:bidi w:val="0"/>
      </w:pPr>
      <w:r>
        <w:rPr>
          <w:rtl w:val="0"/>
          <w:lang w:val="en-US"/>
        </w:rPr>
        <w:t xml:space="preserve">Anatomical Studies </w:t>
      </w:r>
    </w:p>
    <w:p>
      <w:pPr>
        <w:pStyle w:val="Body"/>
        <w:bidi w:val="0"/>
      </w:pPr>
    </w:p>
    <w:p>
      <w:pPr>
        <w:pStyle w:val="Body"/>
        <w:bidi w:val="0"/>
      </w:pPr>
    </w:p>
    <w:p>
      <w:pPr>
        <w:pStyle w:val="Heading"/>
        <w:bidi w:val="0"/>
      </w:pPr>
      <w:r>
        <w:rPr>
          <w:rtl w:val="0"/>
          <w:lang w:val="en-US"/>
        </w:rPr>
        <w:t xml:space="preserve">Image 4 </w:t>
      </w:r>
    </w:p>
    <w:p>
      <w:pPr>
        <w:pStyle w:val="Body"/>
        <w:bidi w:val="0"/>
      </w:pPr>
    </w:p>
    <w:p>
      <w:pPr>
        <w:pStyle w:val="Heading 3"/>
        <w:bidi w:val="0"/>
      </w:pPr>
      <w:r>
        <w:rPr>
          <w:rFonts w:cs="Arial Unicode MS" w:eastAsia="Arial Unicode MS"/>
          <w:rtl w:val="0"/>
          <w:lang w:val="en-US"/>
        </w:rPr>
        <w:t xml:space="preserve">Description </w:t>
      </w:r>
    </w:p>
    <w:p>
      <w:pPr>
        <w:pStyle w:val="Body"/>
        <w:bidi w:val="0"/>
      </w:pPr>
      <w:r>
        <w:rPr>
          <w:rtl w:val="0"/>
          <w:lang w:val="en-US"/>
        </w:rPr>
        <w:t xml:space="preserve">Plate 4 (pg 116) of Explanation of the Tables in Myotomia Reformata or an Anatomical Treatise on the Muscles of the Human Body Illustrated with Figures After The Life (Robert Knaplock ad William and John Innys 1724) being a skeleton front facing, posed as if to appear walking towards the viewer, three skulls lay the path. </w:t>
      </w:r>
    </w:p>
    <w:p>
      <w:pPr>
        <w:pStyle w:val="Body"/>
        <w:bidi w:val="0"/>
      </w:pPr>
    </w:p>
    <w:p>
      <w:pPr>
        <w:pStyle w:val="Heading 3"/>
        <w:bidi w:val="0"/>
      </w:pPr>
      <w:r>
        <w:rPr>
          <w:rFonts w:cs="Arial Unicode MS" w:eastAsia="Arial Unicode MS"/>
          <w:rtl w:val="0"/>
          <w:lang w:val="en-US"/>
        </w:rPr>
        <w:t>Call Number</w:t>
      </w:r>
    </w:p>
    <w:p>
      <w:pPr>
        <w:pStyle w:val="Body"/>
        <w:bidi w:val="0"/>
      </w:pPr>
      <w:r>
        <w:rPr>
          <w:rtl w:val="0"/>
          <w:lang w:val="en-US"/>
        </w:rPr>
        <w:t>PHI 00118</w:t>
      </w:r>
    </w:p>
    <w:p>
      <w:pPr>
        <w:pStyle w:val="Body"/>
        <w:bidi w:val="0"/>
      </w:pPr>
    </w:p>
    <w:p>
      <w:pPr>
        <w:pStyle w:val="Heading 3"/>
        <w:bidi w:val="0"/>
      </w:pPr>
      <w:r>
        <w:rPr>
          <w:rFonts w:cs="Arial Unicode MS" w:eastAsia="Arial Unicode MS"/>
          <w:rtl w:val="0"/>
          <w:lang w:val="en-US"/>
        </w:rPr>
        <w:t xml:space="preserve">Inscriptions </w:t>
      </w:r>
    </w:p>
    <w:p>
      <w:pPr>
        <w:pStyle w:val="Body"/>
        <w:bidi w:val="0"/>
      </w:pPr>
    </w:p>
    <w:p>
      <w:pPr>
        <w:pStyle w:val="Body"/>
        <w:bidi w:val="0"/>
      </w:pPr>
      <w:r>
        <w:rPr>
          <w:rtl w:val="0"/>
          <w:lang w:val="en-US"/>
        </w:rPr>
        <w:t xml:space="preserve">Title inscription at head: TAB. II </w:t>
      </w:r>
    </w:p>
    <w:p>
      <w:pPr>
        <w:pStyle w:val="Body"/>
        <w:bidi w:val="0"/>
      </w:pPr>
      <w:r>
        <w:rPr>
          <w:rtl w:val="0"/>
          <w:lang w:val="en-US"/>
        </w:rPr>
        <w:t xml:space="preserve">Letter keying mechanism on Skeleton ( with descriptions on the following page, not visible on illustration) </w:t>
      </w:r>
    </w:p>
    <w:p>
      <w:pPr>
        <w:pStyle w:val="Body"/>
        <w:bidi w:val="0"/>
      </w:pPr>
    </w:p>
    <w:p>
      <w:pPr>
        <w:pStyle w:val="Heading 3"/>
        <w:bidi w:val="0"/>
      </w:pPr>
      <w:r>
        <w:rPr>
          <w:rFonts w:cs="Arial Unicode MS" w:eastAsia="Arial Unicode MS"/>
          <w:rtl w:val="0"/>
          <w:lang w:val="en-US"/>
        </w:rPr>
        <w:t xml:space="preserve">Production </w:t>
      </w:r>
    </w:p>
    <w:p>
      <w:pPr>
        <w:pStyle w:val="Body"/>
        <w:bidi w:val="0"/>
      </w:pPr>
      <w:r>
        <w:rPr>
          <w:rtl w:val="0"/>
          <w:lang w:val="en-US"/>
        </w:rPr>
        <w:t xml:space="preserve">Engraver: William Cowper </w:t>
      </w:r>
    </w:p>
    <w:p>
      <w:pPr>
        <w:pStyle w:val="Body"/>
        <w:bidi w:val="0"/>
      </w:pPr>
    </w:p>
    <w:p>
      <w:pPr>
        <w:pStyle w:val="Heading 3"/>
        <w:bidi w:val="0"/>
      </w:pPr>
      <w:r>
        <w:rPr>
          <w:rFonts w:cs="Arial Unicode MS" w:eastAsia="Arial Unicode MS"/>
          <w:rtl w:val="0"/>
          <w:lang w:val="en-US"/>
        </w:rPr>
        <w:t xml:space="preserve">Comments </w:t>
      </w:r>
    </w:p>
    <w:p>
      <w:pPr>
        <w:pStyle w:val="Body"/>
        <w:bidi w:val="0"/>
      </w:pPr>
      <w:r>
        <w:rPr>
          <w:rtl w:val="0"/>
          <w:lang w:val="en-US"/>
        </w:rPr>
        <w:t xml:space="preserve">This is the second edition of </w:t>
      </w:r>
      <w:r>
        <w:rPr>
          <w:rtl w:val="0"/>
          <w:lang w:val="en-US"/>
        </w:rPr>
        <w:t>Myotomia Reformata or an Anatomical Treatise on the Muscles of the Human Body Illustrated with Figures After The Life</w:t>
      </w:r>
      <w:r>
        <w:rPr>
          <w:rtl w:val="0"/>
          <w:lang w:val="en-US"/>
        </w:rPr>
        <w:t xml:space="preserve"> done my anatomist and engraver William Cowper. It was published 13 years after his death as he died before finishing the inscriptions. It details the human muscular system in a painstakingly precise fashion. </w:t>
      </w:r>
    </w:p>
    <w:p>
      <w:pPr>
        <w:pStyle w:val="Body"/>
        <w:bidi w:val="0"/>
      </w:pPr>
    </w:p>
    <w:p>
      <w:pPr>
        <w:pStyle w:val="Heading 3"/>
        <w:bidi w:val="0"/>
      </w:pPr>
      <w:r>
        <w:rPr>
          <w:rFonts w:cs="Arial Unicode MS" w:eastAsia="Arial Unicode MS"/>
          <w:rtl w:val="0"/>
          <w:lang w:val="en-US"/>
        </w:rPr>
        <w:t xml:space="preserve">Subjects </w:t>
      </w:r>
    </w:p>
    <w:p>
      <w:pPr>
        <w:pStyle w:val="Body"/>
        <w:bidi w:val="0"/>
      </w:pPr>
      <w:r>
        <w:rPr>
          <w:rtl w:val="0"/>
          <w:lang w:val="en-US"/>
        </w:rPr>
        <w:t xml:space="preserve">Human Being - Human Body - Human Anatomy - Skeleton </w:t>
      </w:r>
    </w:p>
    <w:p>
      <w:pPr>
        <w:pStyle w:val="Body"/>
        <w:bidi w:val="0"/>
      </w:pPr>
      <w:r>
        <w:rPr>
          <w:rtl w:val="0"/>
          <w:lang w:val="en-US"/>
        </w:rPr>
        <w:t>Medicine</w:t>
      </w:r>
    </w:p>
    <w:p>
      <w:pPr>
        <w:pStyle w:val="Body"/>
        <w:bidi w:val="0"/>
      </w:pPr>
      <w:r>
        <w:rPr>
          <w:rtl w:val="0"/>
          <w:lang w:val="en-US"/>
        </w:rPr>
        <w:t xml:space="preserve">Anatomical Studies </w:t>
      </w:r>
    </w:p>
    <w:p>
      <w:pPr>
        <w:pStyle w:val="Body"/>
        <w:bidi w:val="0"/>
      </w:pPr>
    </w:p>
    <w:p>
      <w:pPr>
        <w:pStyle w:val="Heading"/>
        <w:bidi w:val="0"/>
      </w:pPr>
      <w:r>
        <w:rPr>
          <w:rtl w:val="0"/>
          <w:lang w:val="en-US"/>
        </w:rPr>
        <w:t xml:space="preserve">Image 5 </w:t>
      </w:r>
    </w:p>
    <w:p>
      <w:pPr>
        <w:pStyle w:val="Body"/>
        <w:bidi w:val="0"/>
      </w:pPr>
    </w:p>
    <w:p>
      <w:pPr>
        <w:pStyle w:val="Heading 3"/>
        <w:bidi w:val="0"/>
      </w:pPr>
      <w:r>
        <w:rPr>
          <w:rFonts w:cs="Arial Unicode MS" w:eastAsia="Arial Unicode MS"/>
          <w:rtl w:val="0"/>
          <w:lang w:val="en-US"/>
        </w:rPr>
        <w:t xml:space="preserve">Description </w:t>
      </w:r>
    </w:p>
    <w:p>
      <w:pPr>
        <w:pStyle w:val="Body"/>
        <w:bidi w:val="0"/>
      </w:pPr>
      <w:r>
        <w:rPr>
          <w:rtl w:val="0"/>
          <w:lang w:val="en-US"/>
        </w:rPr>
        <w:t xml:space="preserve">Plate 10 (pg 125) of Explanation of the Tables in Myotomia Reformata or an Anatomical Treatise on the Muscles of the Human Body Illustrated with Figures After The Life (Robert Knaplock ad William and John Innys 1724) being the back view of a skeleton of a man, with one arm raised. A second skeleton in seated in the background in a similar pose to the anatomical skeleton. </w:t>
      </w:r>
    </w:p>
    <w:p>
      <w:pPr>
        <w:pStyle w:val="Body"/>
        <w:bidi w:val="0"/>
      </w:pPr>
    </w:p>
    <w:p>
      <w:pPr>
        <w:pStyle w:val="Heading 3"/>
        <w:bidi w:val="0"/>
      </w:pPr>
      <w:r>
        <w:rPr>
          <w:rFonts w:cs="Arial Unicode MS" w:eastAsia="Arial Unicode MS"/>
          <w:rtl w:val="0"/>
          <w:lang w:val="en-US"/>
        </w:rPr>
        <w:t xml:space="preserve">Call Number </w:t>
      </w:r>
    </w:p>
    <w:p>
      <w:pPr>
        <w:pStyle w:val="Body"/>
        <w:bidi w:val="0"/>
      </w:pPr>
      <w:r>
        <w:rPr>
          <w:rtl w:val="0"/>
          <w:lang w:val="en-US"/>
        </w:rPr>
        <w:t xml:space="preserve">PHI 00118 </w:t>
      </w:r>
    </w:p>
    <w:p>
      <w:pPr>
        <w:pStyle w:val="Body"/>
        <w:bidi w:val="0"/>
      </w:pPr>
    </w:p>
    <w:p>
      <w:pPr>
        <w:pStyle w:val="Heading 3"/>
        <w:bidi w:val="0"/>
      </w:pPr>
      <w:r>
        <w:rPr>
          <w:rFonts w:cs="Arial Unicode MS" w:eastAsia="Arial Unicode MS"/>
          <w:rtl w:val="0"/>
          <w:lang w:val="en-US"/>
        </w:rPr>
        <w:t xml:space="preserve">Inscriptions </w:t>
      </w:r>
    </w:p>
    <w:p>
      <w:pPr>
        <w:pStyle w:val="Body"/>
        <w:bidi w:val="0"/>
      </w:pPr>
      <w:r>
        <w:rPr>
          <w:rtl w:val="0"/>
          <w:lang w:val="en-US"/>
        </w:rPr>
        <w:t>Title inscription at head: TAB. X</w:t>
      </w:r>
    </w:p>
    <w:p>
      <w:pPr>
        <w:pStyle w:val="Body"/>
        <w:bidi w:val="0"/>
      </w:pPr>
      <w:r>
        <w:rPr>
          <w:rtl w:val="0"/>
          <w:lang w:val="en-US"/>
        </w:rPr>
        <w:t xml:space="preserve">Letter keying mechanism on Skeleton ( with descriptions on the following page, not visible on illustration) </w:t>
      </w:r>
    </w:p>
    <w:p>
      <w:pPr>
        <w:pStyle w:val="Body"/>
        <w:bidi w:val="0"/>
      </w:pPr>
    </w:p>
    <w:p>
      <w:pPr>
        <w:pStyle w:val="Heading 3"/>
        <w:bidi w:val="0"/>
      </w:pPr>
      <w:r>
        <w:rPr>
          <w:rFonts w:cs="Arial Unicode MS" w:eastAsia="Arial Unicode MS"/>
          <w:rtl w:val="0"/>
          <w:lang w:val="en-US"/>
        </w:rPr>
        <w:t xml:space="preserve">Production </w:t>
      </w:r>
    </w:p>
    <w:p>
      <w:pPr>
        <w:pStyle w:val="Body"/>
        <w:bidi w:val="0"/>
      </w:pPr>
      <w:r>
        <w:rPr>
          <w:rtl w:val="0"/>
          <w:lang w:val="en-US"/>
        </w:rPr>
        <w:t xml:space="preserve">Engraver: William Cowper </w:t>
      </w:r>
    </w:p>
    <w:p>
      <w:pPr>
        <w:pStyle w:val="Body"/>
        <w:bidi w:val="0"/>
      </w:pPr>
    </w:p>
    <w:p>
      <w:pPr>
        <w:pStyle w:val="Heading 3"/>
        <w:bidi w:val="0"/>
      </w:pPr>
      <w:r>
        <w:rPr>
          <w:rFonts w:cs="Arial Unicode MS" w:eastAsia="Arial Unicode MS"/>
          <w:rtl w:val="0"/>
          <w:lang w:val="en-US"/>
        </w:rPr>
        <w:t xml:space="preserve">Comments </w:t>
      </w:r>
    </w:p>
    <w:p>
      <w:pPr>
        <w:pStyle w:val="Body"/>
        <w:bidi w:val="0"/>
      </w:pPr>
      <w:r>
        <w:rPr>
          <w:rtl w:val="0"/>
          <w:lang w:val="en-US"/>
        </w:rPr>
        <w:t xml:space="preserve">This is the second edition of </w:t>
      </w:r>
      <w:r>
        <w:rPr>
          <w:rtl w:val="0"/>
          <w:lang w:val="en-US"/>
        </w:rPr>
        <w:t>Myotomia Reformata or an Anatomical Treatise on the Muscles of the Human Body Illustrated with Figures After The Life</w:t>
      </w:r>
      <w:r>
        <w:rPr>
          <w:rtl w:val="0"/>
          <w:lang w:val="en-US"/>
        </w:rPr>
        <w:t xml:space="preserve"> done my anatomist and engraver William Cowper. It was published 13 years after his death as he died before finishing the inscriptions. It details the human muscular system in a painstakingly precise fashion. </w:t>
      </w:r>
    </w:p>
    <w:p>
      <w:pPr>
        <w:pStyle w:val="Body"/>
        <w:bidi w:val="0"/>
      </w:pPr>
    </w:p>
    <w:p>
      <w:pPr>
        <w:pStyle w:val="Heading 3"/>
        <w:bidi w:val="0"/>
      </w:pPr>
      <w:r>
        <w:rPr>
          <w:rFonts w:cs="Arial Unicode MS" w:eastAsia="Arial Unicode MS"/>
          <w:rtl w:val="0"/>
          <w:lang w:val="en-US"/>
        </w:rPr>
        <w:t xml:space="preserve">Subjects </w:t>
      </w:r>
    </w:p>
    <w:p>
      <w:pPr>
        <w:pStyle w:val="Body"/>
        <w:bidi w:val="0"/>
      </w:pPr>
      <w:r>
        <w:rPr>
          <w:rtl w:val="0"/>
          <w:lang w:val="en-US"/>
        </w:rPr>
        <w:t xml:space="preserve">Human Being - Human Body - Human Anatomy - Skeleton </w:t>
      </w:r>
    </w:p>
    <w:p>
      <w:pPr>
        <w:pStyle w:val="Body"/>
        <w:bidi w:val="0"/>
      </w:pPr>
      <w:r>
        <w:rPr>
          <w:rtl w:val="0"/>
          <w:lang w:val="en-US"/>
        </w:rPr>
        <w:t>Medicine</w:t>
      </w:r>
    </w:p>
    <w:p>
      <w:pPr>
        <w:pStyle w:val="Body"/>
        <w:bidi w:val="0"/>
      </w:pPr>
      <w:r>
        <w:rPr>
          <w:rtl w:val="0"/>
          <w:lang w:val="en-US"/>
        </w:rPr>
        <w:t xml:space="preserve">Anatomical Studies </w:t>
      </w:r>
    </w:p>
    <w:p>
      <w:pPr>
        <w:pStyle w:val="Body"/>
        <w:bidi w:val="0"/>
      </w:pPr>
    </w:p>
    <w:p>
      <w:pPr>
        <w:pStyle w:val="Body"/>
        <w:bidi w:val="0"/>
      </w:pPr>
      <w:r>
        <w:rPr>
          <w:rFonts w:ascii="Arial Unicode MS" w:cs="Arial Unicode MS" w:hAnsi="Arial Unicode MS" w:eastAsia="Arial Unicode MS"/>
          <w:b w:val="0"/>
          <w:bCs w:val="0"/>
          <w:i w:val="0"/>
          <w:iCs w:val="0"/>
        </w:rPr>
        <w:br w:type="page"/>
      </w:r>
    </w:p>
    <w:p>
      <w:pPr>
        <w:pStyle w:val="Body"/>
        <w:bidi w:val="0"/>
      </w:pPr>
    </w:p>
    <w:p>
      <w:pPr>
        <w:pStyle w:val="Body"/>
        <w:bidi w:val="0"/>
      </w:pPr>
    </w:p>
    <w:p>
      <w:pPr>
        <w:pStyle w:val="Subtitle"/>
        <w:bidi w:val="0"/>
      </w:pPr>
      <w:r>
        <w:rPr>
          <w:rtl w:val="0"/>
        </w:rPr>
        <w:t xml:space="preserve">Notes for Presentation </w:t>
      </w:r>
    </w:p>
    <w:p>
      <w:pPr>
        <w:pStyle w:val="Body"/>
        <w:bidi w:val="0"/>
      </w:pPr>
    </w:p>
    <w:p>
      <w:pPr>
        <w:pStyle w:val="Body"/>
        <w:bidi w:val="0"/>
      </w:pPr>
      <w:r>
        <w:rPr>
          <w:rtl w:val="0"/>
          <w:lang w:val="en-US"/>
        </w:rPr>
        <w:t>(I don</w:t>
      </w:r>
      <w:r>
        <w:rPr>
          <w:rtl w:val="0"/>
          <w:lang w:val="en-US"/>
        </w:rPr>
        <w:t>’</w:t>
      </w:r>
      <w:r>
        <w:rPr>
          <w:rtl w:val="0"/>
          <w:lang w:val="en-US"/>
        </w:rPr>
        <w:t>t use a script during presentations so I tried to provide expanded bullet points)</w:t>
      </w:r>
    </w:p>
    <w:p>
      <w:pPr>
        <w:pStyle w:val="Body"/>
        <w:bidi w:val="0"/>
      </w:pPr>
    </w:p>
    <w:p>
      <w:pPr>
        <w:pStyle w:val="Body"/>
        <w:bidi w:val="0"/>
      </w:pPr>
      <w:r>
        <w:rPr>
          <w:rtl w:val="0"/>
          <w:lang w:val="en-US"/>
        </w:rPr>
        <w:t>The explosion of medical science in the 1700s presented a difficulty for artists and medical professionals alike, a large number of accurate anatomical drawings were required in order to educate the high number of medical students. Restrictions of the availability of bodies for medical dissection meant that accurate depictions in reference books were all the more important as it wasn</w:t>
      </w:r>
      <w:r>
        <w:rPr>
          <w:rtl w:val="0"/>
          <w:lang w:val="en-US"/>
        </w:rPr>
        <w:t>’</w:t>
      </w:r>
      <w:r>
        <w:rPr>
          <w:rtl w:val="0"/>
          <w:lang w:val="en-US"/>
        </w:rPr>
        <w:t xml:space="preserve">t possible for each student to personally dissect a cadaver, or in some cases get a proper view in the operating theatre. </w:t>
      </w:r>
    </w:p>
    <w:p>
      <w:pPr>
        <w:pStyle w:val="Body"/>
        <w:bidi w:val="0"/>
      </w:pPr>
    </w:p>
    <w:p>
      <w:pPr>
        <w:pStyle w:val="Body"/>
        <w:bidi w:val="0"/>
      </w:pPr>
      <w:r>
        <w:rPr>
          <w:rtl w:val="0"/>
          <w:lang w:val="en-US"/>
        </w:rPr>
        <w:t xml:space="preserve"> One difficulty to overcome was ensuring accurate representation when translating a 3D subject to a 2D surface. Albinus overcame the difficulty of attempting to explain to the artist how to accurately portray the sequence of muscles, veins, and arteries with a somewhat macabre solution. A cadaver was denuded of all but the nesscary connective tissue to keep all the bones in their proper place, then a rope was strung placed around the neck and the skeleton was hoisted into a standing position. A number of other ropes were used in order to pose the limbs in a life like manner, the goal being an elegant pose. After this a grid of ropes was erected between the artist and the skeleton and screens were employed to prevent the artist from seeing more than one square at a time. The sketch paper was also divided into squares of corresponding side, so each square preserved the scale of the skeleton exactly. After all that could be proportionately drawn was complete the skeleton was completely denuded, and drawings of each joint were drawn individually before being added to the main drawing. This process took months but the painstaking devotion allowed for amazingly accurate drawings of the human skeleton, by a non-anatomist. The original engravings contained whimsical backgrounds that embraced the </w:t>
      </w:r>
      <w:r>
        <w:rPr>
          <w:rtl w:val="0"/>
          <w:lang w:val="en-US"/>
        </w:rPr>
        <w:t>“</w:t>
      </w:r>
      <w:r>
        <w:rPr>
          <w:rtl w:val="0"/>
          <w:lang w:val="en-US"/>
        </w:rPr>
        <w:t>to the Life</w:t>
      </w:r>
      <w:r>
        <w:rPr>
          <w:rtl w:val="0"/>
          <w:lang w:val="en-US"/>
        </w:rPr>
        <w:t xml:space="preserve">” </w:t>
      </w:r>
      <w:r>
        <w:rPr>
          <w:rtl w:val="0"/>
          <w:lang w:val="en-US"/>
        </w:rPr>
        <w:t xml:space="preserve">movement as well as placing the anatomical figures in various mythological situations. </w:t>
      </w:r>
    </w:p>
    <w:p>
      <w:pPr>
        <w:pStyle w:val="Body"/>
        <w:bidi w:val="0"/>
      </w:pPr>
    </w:p>
    <w:p>
      <w:pPr>
        <w:pStyle w:val="Body"/>
        <w:bidi w:val="0"/>
      </w:pPr>
    </w:p>
    <w:p>
      <w:pPr>
        <w:pStyle w:val="Body"/>
        <w:bidi w:val="0"/>
      </w:pPr>
      <w:r>
        <w:rPr>
          <w:rtl w:val="0"/>
          <w:lang w:val="en-US"/>
        </w:rPr>
        <w:t>The version we have in the archive here is a condensed, minimalist version done by engraver Andrew Bell (</w:t>
      </w:r>
      <w:r>
        <w:rPr>
          <w:rtl w:val="0"/>
        </w:rPr>
        <w:t>1725/6</w:t>
      </w:r>
      <w:r>
        <w:rPr>
          <w:rtl w:val="0"/>
        </w:rPr>
        <w:t>–</w:t>
      </w:r>
      <w:r>
        <w:rPr>
          <w:rtl w:val="0"/>
        </w:rPr>
        <w:t>1809</w:t>
      </w:r>
      <w:r>
        <w:rPr>
          <w:rtl w:val="0"/>
          <w:lang w:val="en-US"/>
        </w:rPr>
        <w:t xml:space="preserve">), a famously quarrelsome engraver from Edinburgh. Although a successful engraver Bell was known for copying other artists plates and he did not do the original plates for </w:t>
      </w:r>
      <w:r>
        <w:rPr>
          <w:rtl w:val="0"/>
          <w:lang w:val="en-US"/>
        </w:rPr>
        <w:t>Tables of the Skeleton and Muscles of the Human Body</w:t>
      </w:r>
      <w:r>
        <w:rPr>
          <w:rtl w:val="0"/>
          <w:lang w:val="en-US"/>
        </w:rPr>
        <w:t xml:space="preserve">. </w:t>
      </w:r>
    </w:p>
    <w:p>
      <w:pPr>
        <w:pStyle w:val="Body"/>
        <w:bidi w:val="0"/>
      </w:pPr>
    </w:p>
    <w:p>
      <w:pPr>
        <w:pStyle w:val="Body"/>
        <w:bidi w:val="0"/>
      </w:pPr>
      <w:r>
        <w:rPr>
          <w:rtl w:val="0"/>
          <w:lang w:val="de-DE"/>
        </w:rPr>
        <w:t>Bernhard Siegfried Albinus</w:t>
      </w:r>
      <w:r>
        <w:rPr>
          <w:rtl w:val="0"/>
          <w:lang w:val="en-US"/>
        </w:rPr>
        <w:t xml:space="preserve">  (1697-1777) was the anatomist responsible for the creation of </w:t>
      </w:r>
      <w:r>
        <w:rPr>
          <w:rtl w:val="0"/>
          <w:lang w:val="en-US"/>
        </w:rPr>
        <w:t>Tables of the Skeleton and Muscles of the Human Body</w:t>
      </w:r>
      <w:r>
        <w:rPr>
          <w:rtl w:val="0"/>
          <w:lang w:val="en-US"/>
        </w:rPr>
        <w:t xml:space="preserve">, from 1721 until is death Albinus was the chair of anatomy, surgery and medicine at the University of Leiden. However, </w:t>
      </w:r>
      <w:r>
        <w:rPr>
          <w:rtl w:val="0"/>
          <w:lang w:val="en-US"/>
        </w:rPr>
        <w:t>Tables of the Skeleton and Muscles of the Human Body</w:t>
      </w:r>
      <w:r>
        <w:rPr>
          <w:rtl w:val="0"/>
          <w:lang w:val="en-US"/>
        </w:rPr>
        <w:t xml:space="preserve"> is arguably his best known work today. </w:t>
      </w:r>
    </w:p>
    <w:p>
      <w:pPr>
        <w:pStyle w:val="Body"/>
        <w:bidi w:val="0"/>
      </w:pPr>
    </w:p>
    <w:p>
      <w:pPr>
        <w:pStyle w:val="Body"/>
        <w:bidi w:val="0"/>
      </w:pPr>
      <w:r>
        <w:rPr>
          <w:rtl w:val="0"/>
          <w:lang w:val="en-US"/>
        </w:rPr>
        <w:t xml:space="preserve">Each engraving of the human skeleton in Tables is repeated in order to provide the reader with the best possible understanding of the anatomy presented. The first version presented has been drawn with as little detail as possible on the bones themselves, as well as the keying mechanism. This ensures that the person attempting to read the keying mechanism can clearly see what each letter is referring to the on skeleton itself and therefore able to look up each part in the extensive notes. The second engraving is of the same subject and angle, but the letter key is removed in lieu of a highly detailed three dimensional depiction of the bones. This double system provides additional clarity without compromising on detail. </w:t>
      </w:r>
    </w:p>
    <w:p>
      <w:pPr>
        <w:pStyle w:val="Body"/>
        <w:bidi w:val="0"/>
      </w:pPr>
    </w:p>
    <w:p>
      <w:pPr>
        <w:pStyle w:val="Body"/>
        <w:bidi w:val="0"/>
      </w:pPr>
      <w:r>
        <w:rPr>
          <w:rtl w:val="0"/>
          <w:lang w:val="en-US"/>
        </w:rPr>
        <w:t xml:space="preserve">In Myotomia Reformica, however, the compromise between artistic expression and anatomical detail is weighted in favour of artistry when compared to Tables of the Human Skeleton and Muscles. The detail in these engravings is also impressive, but the line work is not as bold, nor the letter key system as extensive. These engravings are more true to the </w:t>
      </w:r>
      <w:r>
        <w:rPr>
          <w:rtl w:val="0"/>
          <w:lang w:val="en-US"/>
        </w:rPr>
        <w:t>‘</w:t>
      </w:r>
      <w:r>
        <w:rPr>
          <w:rtl w:val="0"/>
          <w:lang w:val="en-US"/>
        </w:rPr>
        <w:t>to the life</w:t>
      </w:r>
      <w:r>
        <w:rPr>
          <w:rtl w:val="0"/>
          <w:lang w:val="en-US"/>
        </w:rPr>
        <w:t xml:space="preserve">’ </w:t>
      </w:r>
      <w:r>
        <w:rPr>
          <w:rtl w:val="0"/>
          <w:lang w:val="en-US"/>
        </w:rPr>
        <w:t xml:space="preserve">movement in anatomy  of the time. The artistic additions of backgrounds, extraneous anatomical figures, and posing of the figures themselves is all representative of a medical movement given artistic expression. </w:t>
      </w:r>
    </w:p>
    <w:p>
      <w:pPr>
        <w:pStyle w:val="Body"/>
        <w:bidi w:val="0"/>
      </w:pPr>
    </w:p>
    <w:p>
      <w:pPr>
        <w:pStyle w:val="Body"/>
        <w:bidi w:val="0"/>
      </w:pPr>
      <w:r>
        <w:rPr>
          <w:rtl w:val="0"/>
          <w:lang w:val="en-US"/>
        </w:rPr>
        <w:t xml:space="preserve">William Cowper was both the artist and anatomist for Myotomica Reformica, allowing him to bypass the issues that Albinus faced when attempting to convey to the artist how to properly depict anatomical specimens. His first major work was the first edition of Myotomica Reformica published in 1694, in which he detailed many areas of human anatomy that he considered insufficiently described. For his work he was elected to the Royal Society in 1698. The work we have in the archives is a copy of the second version of Myotomica, unfortunately Cowper died before he could finish the inscriptions for each engraving, ultimately delaying its publication for 14 years after his death. </w:t>
      </w:r>
    </w:p>
    <w:p>
      <w:pPr>
        <w:pStyle w:val="Body"/>
        <w:bidi w:val="0"/>
      </w:pPr>
    </w:p>
    <w:p>
      <w:pPr>
        <w:pStyle w:val="Body"/>
        <w:bidi w:val="0"/>
      </w:pPr>
      <w:r>
        <w:rPr>
          <w:rFonts w:ascii="Arial Unicode MS" w:cs="Arial Unicode MS" w:hAnsi="Arial Unicode MS" w:eastAsia="Arial Unicode MS"/>
          <w:b w:val="0"/>
          <w:bCs w:val="0"/>
          <w:i w:val="0"/>
          <w:iCs w:val="0"/>
        </w:rPr>
        <w:br w:type="page"/>
      </w:r>
    </w:p>
    <w:p>
      <w:pPr>
        <w:pStyle w:val="Subtitle"/>
        <w:bidi w:val="0"/>
      </w:pPr>
      <w:r>
        <w:rPr>
          <w:rtl w:val="0"/>
        </w:rPr>
        <w:t>References</w:t>
      </w:r>
    </w:p>
    <w:p>
      <w:pPr>
        <w:pStyle w:val="Body"/>
        <w:bidi w:val="0"/>
      </w:pPr>
    </w:p>
    <w:p>
      <w:pPr>
        <w:pStyle w:val="Body"/>
        <w:bidi w:val="0"/>
      </w:pPr>
      <w:r>
        <w:rPr>
          <w:rtl w:val="0"/>
          <w:lang w:val="en-US"/>
        </w:rPr>
        <w:t>The Oxford Dictionary of National Biography</w:t>
      </w:r>
      <w:r>
        <w:rPr>
          <w:rtl w:val="0"/>
        </w:rPr>
        <w:t>. doi:10.1093/ref:odnb/6510.</w:t>
      </w:r>
    </w:p>
    <w:p>
      <w:pPr>
        <w:pStyle w:val="Body"/>
        <w:bidi w:val="0"/>
        <w:rPr>
          <w:shd w:val="clear" w:color="auto" w:fill="ffffff"/>
        </w:rPr>
      </w:pPr>
    </w:p>
    <w:p>
      <w:pPr>
        <w:pStyle w:val="Body"/>
        <w:bidi w:val="0"/>
      </w:pPr>
      <w:r>
        <w:rPr>
          <w:rtl w:val="0"/>
          <w:lang w:val="it-IT"/>
        </w:rPr>
        <w:t>Britannica, The Editors of Encyclopaedia. "Intaglio." Encyclop</w:t>
      </w:r>
      <w:r>
        <w:rPr>
          <w:rtl w:val="0"/>
          <w:lang w:val="da-DK"/>
        </w:rPr>
        <w:t>æ</w:t>
      </w:r>
      <w:r>
        <w:rPr>
          <w:rtl w:val="0"/>
          <w:lang w:val="en-US"/>
        </w:rPr>
        <w:t>dia Britannica. February 29, 2012. Accessed May 17, 2018. https://www.britannica.com/topic/intaglio-printing.</w:t>
      </w:r>
    </w:p>
    <w:p>
      <w:pPr>
        <w:pStyle w:val="Body"/>
        <w:bidi w:val="0"/>
        <w:rPr>
          <w:shd w:val="clear" w:color="auto" w:fill="ffffff"/>
        </w:rPr>
      </w:pPr>
    </w:p>
    <w:p>
      <w:pPr>
        <w:pStyle w:val="Body"/>
        <w:bidi w:val="0"/>
      </w:pPr>
      <w:r>
        <w:rPr>
          <w:rtl w:val="0"/>
          <w:lang w:val="en-US"/>
        </w:rPr>
        <w:t>Britannica, The Editors of Encyclopaedia. "Bernard Siegfried Albinus." Encyclop</w:t>
      </w:r>
      <w:r>
        <w:rPr>
          <w:rtl w:val="0"/>
          <w:lang w:val="da-DK"/>
        </w:rPr>
        <w:t>æ</w:t>
      </w:r>
      <w:r>
        <w:rPr>
          <w:rtl w:val="0"/>
          <w:lang w:val="en-US"/>
        </w:rPr>
        <w:t>dia Britannica. February 17, 2018. Accessed May 15, 2018. https://www.britannica.com/biography/Bernard-Siegfried-Albinus.</w:t>
      </w:r>
    </w:p>
    <w:p>
      <w:pPr>
        <w:pStyle w:val="Body"/>
        <w:bidi w:val="0"/>
        <w:rPr>
          <w:shd w:val="clear" w:color="auto" w:fill="ffffff"/>
        </w:rPr>
      </w:pPr>
    </w:p>
    <w:p>
      <w:pPr>
        <w:pStyle w:val="Body"/>
        <w:bidi w:val="0"/>
      </w:pPr>
      <w:r>
        <w:rPr>
          <w:rtl w:val="0"/>
          <w:lang w:val="de-DE"/>
        </w:rPr>
        <w:t>Kafker, Frank A. "Bell, Andrew (1725/6</w:t>
      </w:r>
      <w:r>
        <w:rPr>
          <w:rtl w:val="0"/>
        </w:rPr>
        <w:t>–</w:t>
      </w:r>
      <w:r>
        <w:rPr>
          <w:rtl w:val="0"/>
          <w:lang w:val="en-US"/>
        </w:rPr>
        <w:t xml:space="preserve">1809), Engraver and Publisher." </w:t>
      </w:r>
      <w:r>
        <w:rPr>
          <w:i w:val="1"/>
          <w:iCs w:val="1"/>
          <w:rtl w:val="0"/>
          <w:lang w:val="en-US"/>
        </w:rPr>
        <w:t>Oxford Dictionary of National Biography</w:t>
      </w:r>
      <w:r>
        <w:rPr>
          <w:rtl w:val="0"/>
        </w:rPr>
        <w:t>, 2004. doi:10.1093/ref:odnb/1994.</w:t>
      </w:r>
    </w:p>
    <w:p>
      <w:pPr>
        <w:pStyle w:val="Default"/>
        <w:bidi w:val="0"/>
        <w:ind w:left="0" w:right="0" w:firstLine="0"/>
        <w:jc w:val="left"/>
        <w:rPr>
          <w:rFonts w:ascii="Times New Roman" w:cs="Times New Roman" w:hAnsi="Times New Roman" w:eastAsia="Times New Roman"/>
          <w:color w:val="333333"/>
          <w:sz w:val="32"/>
          <w:szCs w:val="32"/>
          <w:shd w:val="clear" w:color="auto" w:fill="ffffff"/>
          <w:rtl w:val="0"/>
        </w:rPr>
      </w:pPr>
      <w:r>
        <w:rPr>
          <w:rFonts w:ascii="Times New Roman" w:hAnsi="Times New Roman"/>
          <w:color w:val="333333"/>
          <w:sz w:val="32"/>
          <w:szCs w:val="32"/>
          <w:shd w:val="clear" w:color="auto" w:fill="ffffff"/>
          <w:rtl w:val="0"/>
          <w:lang w:val="en-US"/>
        </w:rPr>
        <w:t xml:space="preserve"> </w:t>
      </w:r>
    </w:p>
    <w:p>
      <w:pPr>
        <w:pStyle w:val="Body"/>
        <w:bidi w:val="0"/>
      </w:pPr>
      <w:r>
        <w:rPr>
          <w:rtl w:val="0"/>
          <w:lang w:val="en-US"/>
        </w:rPr>
        <w:t xml:space="preserve">Roderic Bowden Library and Archives PHI 00118 </w:t>
      </w:r>
    </w:p>
    <w:p>
      <w:pPr>
        <w:pStyle w:val="Body"/>
        <w:bidi w:val="0"/>
      </w:pPr>
    </w:p>
    <w:p>
      <w:pPr>
        <w:pStyle w:val="Body"/>
        <w:bidi w:val="0"/>
      </w:pPr>
      <w:r>
        <w:rPr>
          <w:rtl w:val="0"/>
          <w:lang w:val="en-US"/>
        </w:rPr>
        <w:t>Roderic Bowden Library and Archives PHI 00324</w:t>
      </w:r>
    </w:p>
    <w:sectPr>
      <w:headerReference w:type="default" r:id="rId5"/>
      <w:footerReference w:type="default" r:id="rId6"/>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Georgia">
    <w:charset w:val="00"/>
    <w:family w:val="roman"/>
    <w:pitch w:val="default"/>
  </w:font>
  <w:font w:name="Trebuchet MS">
    <w:charset w:val="00"/>
    <w:family w:val="roman"/>
    <w:pitch w:val="default"/>
  </w:font>
  <w:font w:name="Calibri">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ing">
    <w:name w:val="Heading"/>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36"/>
      <w:szCs w:val="36"/>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rPr>
  </w:style>
  <w:style w:type="paragraph" w:styleId="Heading 3">
    <w:name w:val="Heading 3"/>
    <w:next w:val="Body"/>
    <w:pPr>
      <w:keepNext w:val="1"/>
      <w:keepLines w:val="0"/>
      <w:pageBreakBefore w:val="0"/>
      <w:widowControl w:val="1"/>
      <w:pBdr>
        <w:top w:val="single" w:color="515151" w:sz="4" w:space="0" w:shadow="0" w:frame="0"/>
        <w:left w:val="nil"/>
        <w:bottom w:val="nil"/>
        <w:right w:val="nil"/>
      </w:pBdr>
      <w:shd w:val="clear" w:color="auto" w:fill="auto"/>
      <w:suppressAutoHyphens w:val="0"/>
      <w:bidi w:val="0"/>
      <w:spacing w:before="360" w:after="40" w:line="288" w:lineRule="auto"/>
      <w:ind w:left="0" w:right="0" w:firstLine="0"/>
      <w:jc w:val="left"/>
      <w:outlineLvl w:val="2"/>
    </w:pPr>
    <w:rPr>
      <w:rFonts w:ascii="Helvetica Neue" w:cs="Helvetica Neue" w:hAnsi="Helvetica Neue" w:eastAsia="Helvetica Neue"/>
      <w:b w:val="0"/>
      <w:bCs w:val="0"/>
      <w:i w:val="0"/>
      <w:iCs w:val="0"/>
      <w:caps w:val="0"/>
      <w:smallCaps w:val="0"/>
      <w:strike w:val="0"/>
      <w:dstrike w:val="0"/>
      <w:outline w:val="0"/>
      <w:color w:val="000000"/>
      <w:spacing w:val="5"/>
      <w:kern w:val="0"/>
      <w:position w:val="0"/>
      <w:sz w:val="28"/>
      <w:szCs w:val="28"/>
      <w:u w:val="none"/>
      <w:vertAlign w:val="baseline"/>
    </w:rPr>
  </w:style>
  <w:style w:type="paragraph" w:styleId="Subtitle">
    <w:name w:val="Sub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40"/>
      <w:szCs w:val="40"/>
      <w:u w:val="none"/>
      <w:vertAlign w:val="baseline"/>
      <w:lang w:val="en-US"/>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